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 2022</w:t>
      </w:r>
    </w:p>
    <w:p>
      <w:pPr>
        <w:spacing w:after="0" w:line="31"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CENTESSA PHARMACEUTICALS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98-1612294</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Centessa Pharmaceuticals plc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3rd Floor, 1 Ashley Rd,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Altrincham, Cheshire,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Kingdom, WA14 2DT</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+44 (0) 203 920 6789, ext. 9999</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Centessa Pharmaceuticals plc 2021 Share Option and Incentive Plan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Centessa Pharmaceuticals plc 2021 Employee Share Purchase Plan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Saurabh Saha</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Centessa Pharmaceuticals,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Federal Street, 38th Floor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Massachusetts 02110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 (617)-468-5770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390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c>
          <w:tcPr>
            <w:tcW w:w="2840" w:type="dxa"/>
            <w:vAlign w:val="bottom"/>
          </w:tcPr>
          <w:p>
            <w:pPr>
              <w:spacing w:after="0"/>
              <w:rPr>
                <w:sz w:val="20"/>
                <w:szCs w:val="20"/>
                <w:color w:val="auto"/>
              </w:rPr>
            </w:pPr>
          </w:p>
        </w:tc>
      </w:tr>
      <w:tr>
        <w:trPr>
          <w:trHeight w:val="437"/>
        </w:trPr>
        <w:tc>
          <w:tcPr>
            <w:tcW w:w="258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Mitchell S. Bloom</w:t>
            </w:r>
          </w:p>
        </w:tc>
        <w:tc>
          <w:tcPr>
            <w:tcW w:w="39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Iqbal Hussain</w:t>
            </w:r>
          </w:p>
        </w:tc>
        <w:tc>
          <w:tcPr>
            <w:tcW w:w="28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Graham Defries</w:t>
            </w:r>
          </w:p>
        </w:tc>
      </w:tr>
      <w:tr>
        <w:trPr>
          <w:trHeight w:val="216"/>
        </w:trPr>
        <w:tc>
          <w:tcPr>
            <w:tcW w:w="258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Edwin M. O’Connor</w:t>
            </w:r>
          </w:p>
        </w:tc>
        <w:tc>
          <w:tcPr>
            <w:tcW w:w="39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Centessa Pharmaceuticals plc</w:t>
            </w:r>
          </w:p>
        </w:tc>
        <w:tc>
          <w:tcPr>
            <w:tcW w:w="28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Goodwin Procter (UK) LLP</w:t>
            </w:r>
          </w:p>
        </w:tc>
      </w:tr>
      <w:tr>
        <w:trPr>
          <w:trHeight w:val="216"/>
        </w:trPr>
        <w:tc>
          <w:tcPr>
            <w:tcW w:w="258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James Xu</w:t>
            </w:r>
          </w:p>
        </w:tc>
        <w:tc>
          <w:tcPr>
            <w:tcW w:w="39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3rd Floor, 1 Ashley Rd,</w:t>
            </w:r>
          </w:p>
        </w:tc>
        <w:tc>
          <w:tcPr>
            <w:tcW w:w="28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100 Cheapside</w:t>
            </w:r>
          </w:p>
        </w:tc>
      </w:tr>
      <w:tr>
        <w:trPr>
          <w:trHeight w:val="216"/>
        </w:trPr>
        <w:tc>
          <w:tcPr>
            <w:tcW w:w="258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39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Altrincham, Cheshire,</w:t>
            </w:r>
          </w:p>
        </w:tc>
        <w:tc>
          <w:tcPr>
            <w:tcW w:w="28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London EC2V 6DY</w:t>
            </w:r>
          </w:p>
        </w:tc>
      </w:tr>
      <w:tr>
        <w:trPr>
          <w:trHeight w:val="216"/>
        </w:trPr>
        <w:tc>
          <w:tcPr>
            <w:tcW w:w="258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100 Northern Avenue</w:t>
            </w:r>
          </w:p>
        </w:tc>
        <w:tc>
          <w:tcPr>
            <w:tcW w:w="39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United Kingdom, WA14 2DT</w:t>
            </w:r>
          </w:p>
        </w:tc>
        <w:tc>
          <w:tcPr>
            <w:tcW w:w="28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United Kingdom</w:t>
            </w:r>
          </w:p>
        </w:tc>
      </w:tr>
      <w:tr>
        <w:trPr>
          <w:trHeight w:val="216"/>
        </w:trPr>
        <w:tc>
          <w:tcPr>
            <w:tcW w:w="258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39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+44 (0) 203 920 6789, ext. 9999</w:t>
            </w:r>
          </w:p>
        </w:tc>
        <w:tc>
          <w:tcPr>
            <w:tcW w:w="28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+44 20 7447 4200</w:t>
            </w:r>
          </w:p>
        </w:tc>
      </w:tr>
      <w:tr>
        <w:trPr>
          <w:trHeight w:val="238"/>
        </w:trPr>
        <w:tc>
          <w:tcPr>
            <w:tcW w:w="258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577"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Registration Statement on Form S-8 registers 4,499,411 additional ordinary shares of Centessa Pharmaceuticals plc (the “Registrant”), nominal value £0.002 per share (the “Ordinary Shares”) under the Centessa Pharmaceuticals plc Amended and Restated 2021 Stock Option and Incentive Plan (the “2021 Plan”) and 899,882 additional Ordinary Shares under the Centessa Pharmaceuticals plc 2021 Employee Share Purchase Plan (the “2021 ESPP”), which shares may be represented by the American Depositary Shares (“ADSs”) of the Registrant, with each ADS representing one Ordinary Share. ADSs issuable upon deposit of the Ordinary Shares registered hereby were registered pursuant to a separate Registration Statement on Form F-6 (File No. 333-256385). The number of Ordinary Shares reserved and available for issuance under the 2021 Plan is subject to an automatic annual increase on each January 1, beginning January 1, 2022, by an amount equal to the lesser of: (i) 5% of the number of Ordinary Shares issued and outstanding on the immediately preceding December 31, and (ii) such lesser number of Ordinary Shares as determined by the Administrator (as defined in the 2021 Plan). Accordingly, on January 1, 2022, the number of Ordinary Shares reserved and available for issuance under the 2021 Plan increased by 4,499,411. The number of Ordinary Shares reserved and available for issuance under the 2021 ESPP is subject to an automatic annual increase on each January 1, beginning January 1, 2022, by an amount equal to the least of: (i) 1,720,000 Ordinary Shares, (ii) 1% of the number of Ordinary Shares issued and outstanding on the immediately preceding December 31, and (iii) such lesser number of Ordinary Shares as determined by the Administrator (as defined in the 2021 ESPP). Accordingly, on January 1, 2022, the number of Ordinary Shares reserved and available for issuance under the 2021 ESPP increased by 899,882. The additional Ordinary Shares are of the same class as other securities relating to the 2021 Plan and the 2021 ESPP for which the Registrant’s registration statement filed on Form S-8 filed with the Securities and Exchange Commission on June 11, 2021 (File No. 333-257027), is effective. The information contained in the Registrant’s registration statement on Form S-8 (Registration No. 333-257027) is hereby incorporated by reference pursuant to General Instruction E.</w:t>
      </w:r>
    </w:p>
    <w:p>
      <w:pPr>
        <w:sectPr>
          <w:pgSz w:w="11900" w:h="16838" w:orient="portrait"/>
          <w:cols w:equalWidth="0" w:num="1">
            <w:col w:w="10980"/>
          </w:cols>
          <w:pgMar w:left="440" w:top="266" w:right="479" w:bottom="1440" w:gutter="0" w:footer="0" w:header="0"/>
        </w:sectPr>
      </w:pPr>
    </w:p>
    <w:bookmarkStart w:id="2" w:name="page3"/>
    <w:bookmarkEnd w:id="2"/>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exhibits for a list of exhibits filed as part of this registration statement on Form S-8, which Exhibit Index is incorporated herein by reference.</w:t>
      </w:r>
    </w:p>
    <w:p>
      <w:pPr>
        <w:spacing w:after="0" w:line="37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4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4"/>
        </w:trPr>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120" w:type="dxa"/>
            <w:vAlign w:val="bottom"/>
            <w:gridSpan w:val="14"/>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Form of Articles of Association of the registrant (Incorporated by reference to Exhibit 3.2 to the Registrant’s Registration Statement on</w:t>
              </w:r>
            </w:hyperlink>
          </w:p>
        </w:tc>
      </w:tr>
      <w:tr>
        <w:trPr>
          <w:trHeight w:val="196"/>
        </w:trPr>
        <w:tc>
          <w:tcPr>
            <w:tcW w:w="800" w:type="dxa"/>
            <w:vAlign w:val="bottom"/>
          </w:tcPr>
          <w:p>
            <w:pPr>
              <w:spacing w:after="0"/>
              <w:rPr>
                <w:sz w:val="17"/>
                <w:szCs w:val="17"/>
                <w:color w:val="auto"/>
              </w:rPr>
            </w:pPr>
          </w:p>
        </w:tc>
        <w:tc>
          <w:tcPr>
            <w:tcW w:w="97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Form S-1 (File No. 333-255393)).</w:t>
              </w:r>
            </w:hyperlink>
          </w:p>
        </w:tc>
        <w:tc>
          <w:tcPr>
            <w:tcW w:w="34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4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Form of Deposit Agreement (Incorporated by reference to Exhibit 4.1 to the Registrant’s Registration Statement on Form S-1 (File</w:t>
              </w:r>
            </w:hyperlink>
          </w:p>
        </w:tc>
        <w:tc>
          <w:tcPr>
            <w:tcW w:w="70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No. 333-255393)).</w:t>
              </w:r>
            </w:hyperlink>
          </w:p>
        </w:tc>
        <w:tc>
          <w:tcPr>
            <w:tcW w:w="8760" w:type="dxa"/>
            <w:vAlign w:val="bottom"/>
            <w:gridSpan w:val="12"/>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8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Form of American Depositary Receipt (included in Exhibit 4.1) (Incorporated by reference to Exhibit 4.1 to the Registrant’s Registration</w:t>
              </w:r>
            </w:hyperlink>
          </w:p>
        </w:tc>
        <w:tc>
          <w:tcPr>
            <w:tcW w:w="2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Statement on Form S-1 (File No. 333-255393)).</w:t>
              </w:r>
            </w:hyperlink>
          </w:p>
        </w:tc>
        <w:tc>
          <w:tcPr>
            <w:tcW w:w="6660" w:type="dxa"/>
            <w:vAlign w:val="bottom"/>
            <w:gridSpan w:val="9"/>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Opinion of Goodwin Procter (UK) LLP.</w:t>
            </w:r>
          </w:p>
        </w:tc>
      </w:tr>
      <w:tr>
        <w:trPr>
          <w:trHeight w:val="20"/>
        </w:trPr>
        <w:tc>
          <w:tcPr>
            <w:tcW w:w="8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1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 public accounting firm.</w:t>
            </w:r>
          </w:p>
        </w:tc>
        <w:tc>
          <w:tcPr>
            <w:tcW w:w="4960" w:type="dxa"/>
            <w:vAlign w:val="bottom"/>
            <w:gridSpan w:val="5"/>
          </w:tcPr>
          <w:p>
            <w:pPr>
              <w:spacing w:after="0"/>
              <w:rPr>
                <w:sz w:val="24"/>
                <w:szCs w:val="24"/>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7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Goodwin Procter (UK) LLP (included in Exhibit 5.1).</w:t>
            </w:r>
          </w:p>
        </w:tc>
        <w:tc>
          <w:tcPr>
            <w:tcW w:w="5400" w:type="dxa"/>
            <w:vAlign w:val="bottom"/>
            <w:gridSpan w:val="6"/>
          </w:tcPr>
          <w:p>
            <w:pPr>
              <w:spacing w:after="0"/>
              <w:rPr>
                <w:sz w:val="24"/>
                <w:szCs w:val="24"/>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Power of Attorney (included on signature page).</w:t>
            </w:r>
          </w:p>
        </w:tc>
      </w:tr>
      <w:tr>
        <w:trPr>
          <w:trHeight w:val="20"/>
        </w:trPr>
        <w:tc>
          <w:tcPr>
            <w:tcW w:w="8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3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2021 Share Option Plan and forms of award agreements thereunder (Incorporated by reference to Exhibit 10.4 to the Registrant’s</w:t>
              </w:r>
            </w:hyperlink>
          </w:p>
        </w:tc>
        <w:tc>
          <w:tcPr>
            <w:tcW w:w="82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4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Registration Statement on Form S-1 (File No. 333-255393)).</w:t>
              </w:r>
            </w:hyperlink>
          </w:p>
        </w:tc>
        <w:tc>
          <w:tcPr>
            <w:tcW w:w="5740" w:type="dxa"/>
            <w:vAlign w:val="bottom"/>
            <w:gridSpan w:val="7"/>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2021 Employee Share Purchase Plan (Incorporated by reference to Exhibit 10.3 to the Registrant’s Registration Statement on Form S-1 (File</w:t>
              </w:r>
            </w:hyperlink>
          </w:p>
        </w:tc>
      </w:tr>
      <w:tr>
        <w:trPr>
          <w:trHeight w:val="196"/>
        </w:trPr>
        <w:tc>
          <w:tcPr>
            <w:tcW w:w="80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No. 333-255393)).</w:t>
              </w:r>
            </w:hyperlink>
          </w:p>
        </w:tc>
        <w:tc>
          <w:tcPr>
            <w:tcW w:w="8760" w:type="dxa"/>
            <w:vAlign w:val="bottom"/>
            <w:gridSpan w:val="12"/>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8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0944"/>
          </w:cols>
          <w:pgMar w:left="436" w:top="266" w:right="51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City of Boston, State of Massachusetts, on this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day of July,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CENTESSA PHARMACEUTICALS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Saurabh Saha,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Saurabh Saha, M.D., Ph.D.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0460"/>
          </w:cols>
          <w:pgMar w:left="440" w:top="266" w:right="99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 AND SIGNATURES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individual whose signature appears below hereby constitutes and appoints each of Saurabh Saha and Gregory Weinhoff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 in the capacities and on the date indicated.</w:t>
      </w:r>
    </w:p>
    <w:p>
      <w:pPr>
        <w:sectPr>
          <w:pgSz w:w="11900" w:h="16838" w:orient="portrait"/>
          <w:cols w:equalWidth="0" w:num="1">
            <w:col w:w="10900"/>
          </w:cols>
          <w:pgMar w:left="440" w:top="266" w:right="55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00" w:type="dxa"/>
            <w:vAlign w:val="bottom"/>
          </w:tcPr>
          <w:p>
            <w:pPr>
              <w:jc w:val="center"/>
              <w:ind w:left="91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Saurabh Saha, M.D., Ph.D.</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900" w:type="dxa"/>
            <w:vAlign w:val="bottom"/>
          </w:tcPr>
          <w:p>
            <w:pPr>
              <w:spacing w:after="0"/>
              <w:rPr>
                <w:sz w:val="24"/>
                <w:szCs w:val="24"/>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Saurabh Saha, M.D., Ph.D.</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July 1, 2022</w:t>
            </w: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Weinhoff, M.D., M.B.A.</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00" w:type="dxa"/>
            <w:vAlign w:val="bottom"/>
          </w:tcPr>
          <w:p>
            <w:pPr>
              <w:spacing w:after="0"/>
              <w:rPr>
                <w:sz w:val="24"/>
                <w:szCs w:val="24"/>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Gregory Weinhoff, M.D., M.B.A.</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July 1, 2022</w:t>
            </w: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Marella Thorell</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900" w:type="dxa"/>
            <w:vAlign w:val="bottom"/>
          </w:tcPr>
          <w:p>
            <w:pPr>
              <w:spacing w:after="0"/>
              <w:rPr>
                <w:sz w:val="24"/>
                <w:szCs w:val="24"/>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Marella Thorell</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July 1, 2022</w:t>
            </w: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Francesco De Rubertis, Ph.D.</w:t>
            </w:r>
          </w:p>
        </w:tc>
        <w:tc>
          <w:tcPr>
            <w:tcW w:w="4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Francesco De Rubertis, Ph.D.</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July 1, 2022</w:t>
            </w: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Arjun Goyal, M.D., M.Phil, M.B.A.</w:t>
            </w:r>
          </w:p>
        </w:tc>
        <w:tc>
          <w:tcPr>
            <w:tcW w:w="4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Arjun Goyal, M.D., M.Phil, M.B.A.</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July 1, 2022</w:t>
            </w: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Mathias Hukkelhoven</w:t>
            </w:r>
          </w:p>
        </w:tc>
        <w:tc>
          <w:tcPr>
            <w:tcW w:w="4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Mathias Hukkelhoven</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July 1, 2022</w:t>
            </w: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Brett Zbar, M.D</w:t>
            </w:r>
          </w:p>
        </w:tc>
        <w:tc>
          <w:tcPr>
            <w:tcW w:w="4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Brett Zbar, M.D.</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July 1, 2022</w:t>
            </w: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Lynne Hedley, Ph.D.</w:t>
            </w:r>
          </w:p>
        </w:tc>
        <w:tc>
          <w:tcPr>
            <w:tcW w:w="4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Mary Lynne Hedley, Ph.D.</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July 1, 2022</w:t>
            </w: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Samarth Kulkarni, Ph.D.</w:t>
            </w:r>
          </w:p>
        </w:tc>
        <w:tc>
          <w:tcPr>
            <w:tcW w:w="4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Samarth Kulkarni, Ph.D.</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July 1, 2022</w:t>
            </w:r>
          </w:p>
        </w:tc>
      </w:tr>
      <w:tr>
        <w:trPr>
          <w:trHeight w:val="427"/>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 Stuckley, M.B.A.</w:t>
            </w:r>
          </w:p>
        </w:tc>
        <w:tc>
          <w:tcPr>
            <w:tcW w:w="40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Carol Stuckley, M.B.A.</w:t>
            </w:r>
          </w:p>
        </w:tc>
        <w:tc>
          <w:tcPr>
            <w:tcW w:w="40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July 1, 2022</w:t>
            </w:r>
          </w:p>
        </w:tc>
      </w:tr>
    </w:tbl>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Securities Act, the undersigned, the duly authorized representative in the United States of the registrant has signed this Registration Statement on Form S-8 on this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day of July, 2022.</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Gregory Weinhoff,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Gregory Weinhoff, M.D., M.B.A.</w:t>
      </w:r>
    </w:p>
    <w:p>
      <w:pPr>
        <w:sectPr>
          <w:pgSz w:w="11900" w:h="16838" w:orient="portrait"/>
          <w:cols w:equalWidth="0" w:num="1">
            <w:col w:w="10960"/>
          </w:cols>
          <w:pgMar w:left="440" w:top="266" w:right="4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Goodwin Procter (UK)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91135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911350" cy="471805"/>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100 Cheapside</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London EC2V 6DY</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goodwinlaw.com</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+44 (0) 20 7447 4200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Centessa Pharmaceuticals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Ashley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Altrincham WA14 2DT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Centessa Pharmaceuticals plc – Registration Statement on Form S-8 – Exhibit 5.1</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acted as English legal advisers to Centessa Pharmaceuticals plc, a public limited company with limited liability incorporated under the laws of England and Wales with registered number 12973576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and filing of the registration statement on Form S-8 to which this letter is attached as an exhibit (such registration statement, including the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the U.S. Securities Act of 1933, as amended (the “</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For the purposes of this letter, the ordinary shares in the share capital of the Company each having a nominal value of £0.002 are referred to as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set out in the Registration Statement, it is proposed that an aggregate of up to 5,399,293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will be allotted and issued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exercise or settlement of equity awards granted under: (i) the Amended and Restated Centessa Pharmaceuticals plc 2021 Share Award Plan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on 20 May 2021 and approved by the Company’s shareholders on 20 May 2021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and (ii) the Centessa Pharmaceuticals plc 2021 Employee Share Purchase Plan as adopted by the Board on 20 May 2021 and approved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shareholders on 20 May 2021 (the “</w:t>
      </w:r>
      <w:r>
        <w:rPr>
          <w:rFonts w:ascii="Times New Roman" w:cs="Times New Roman" w:eastAsia="Times New Roman" w:hAnsi="Times New Roman"/>
          <w:sz w:val="18"/>
          <w:szCs w:val="18"/>
          <w:b w:val="1"/>
          <w:bCs w:val="1"/>
          <w:color w:val="auto"/>
        </w:rPr>
        <w:t>2021 ESPP</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understand that the existing issued Ordinary Shares are not, and are not intended to be, admitted to trading on any market or exchange, or otherwise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and filing of a registration statement on Form S-8, we have been asked to provide opinions on certain matters, as set out below. We have taken instruction in this regard solely from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Defined terms and headings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letter:</w:t>
      </w:r>
    </w:p>
    <w:p>
      <w:pPr>
        <w:spacing w:after="0" w:line="221" w:lineRule="exact"/>
        <w:rPr>
          <w:sz w:val="20"/>
          <w:szCs w:val="20"/>
          <w:color w:val="auto"/>
        </w:rPr>
      </w:pPr>
    </w:p>
    <w:p>
      <w:pPr>
        <w:jc w:val="center"/>
        <w:ind w:right="20"/>
        <w:spacing w:after="0" w:line="241" w:lineRule="auto"/>
        <w:rPr>
          <w:sz w:val="20"/>
          <w:szCs w:val="20"/>
          <w:color w:val="auto"/>
        </w:rPr>
      </w:pPr>
      <w:r>
        <w:rPr>
          <w:rFonts w:ascii="Times New Roman" w:cs="Times New Roman" w:eastAsia="Times New Roman" w:hAnsi="Times New Roman"/>
          <w:sz w:val="14"/>
          <w:szCs w:val="14"/>
          <w:color w:val="auto"/>
        </w:rPr>
        <w:t>Goodwin Procter (UK) LLP is a limited liability partnership registered in England and Wales with registered number OC362294. Its registered office is at 100 Cheapside, London, EC2V 6DY. A list of the names of the members of Goodwin Procter (UK) LLP is available for inspection at the registered office. Goodwin Procter (UK) LLP is authorised and regulated by the Solicitors Regulation Authority. Goodwin Procter (UK) LLP is affiliated with Goodwin Procter LLP, which operates in the United States of America.</w:t>
      </w:r>
    </w:p>
    <w:p>
      <w:pPr>
        <w:sectPr>
          <w:pgSz w:w="11900" w:h="16838" w:orient="portrait"/>
          <w:cols w:equalWidth="0" w:num="1">
            <w:col w:w="11020"/>
          </w:cols>
          <w:pgMar w:left="440"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911350"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71805"/>
                    </a:xfrm>
                    <a:prstGeom prst="rect">
                      <a:avLst/>
                    </a:prstGeom>
                    <a:noFill/>
                  </pic:spPr>
                </pic:pic>
              </a:graphicData>
            </a:graphic>
          </wp:anchor>
        </w:drawing>
        <w:t>Page 2</w:t>
      </w:r>
    </w:p>
    <w:p>
      <w:pPr>
        <w:spacing w:after="0" w:line="158" w:lineRule="exact"/>
        <w:rPr>
          <w:sz w:val="20"/>
          <w:szCs w:val="20"/>
          <w:color w:val="auto"/>
        </w:rPr>
      </w:pPr>
    </w:p>
    <w:p>
      <w:pPr>
        <w:ind w:left="960" w:right="460" w:hanging="532"/>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without definition in this letter or the schedules hereto have the meanings assigned to them in the Registration Statement unless a contrary indication appears;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ease of reference only and shall not affect interpretation.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Legal review</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purpose of issuing this letter, we have examined such questions of law as we have considered appropriate. We have reviewed the following documents and conducted only the following enquiries and searches:</w:t>
      </w:r>
    </w:p>
    <w:p>
      <w:pPr>
        <w:spacing w:after="0" w:line="67" w:lineRule="exact"/>
        <w:rPr>
          <w:sz w:val="20"/>
          <w:szCs w:val="20"/>
          <w:color w:val="auto"/>
        </w:rPr>
      </w:pPr>
    </w:p>
    <w:p>
      <w:pPr>
        <w:ind w:left="96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search at Companies House in respect of information available for inspection on the Company’s file conducted on July 1, 2022 at 10:49 am (UK time);</w:t>
      </w:r>
    </w:p>
    <w:p>
      <w:pPr>
        <w:spacing w:after="0" w:line="67" w:lineRule="exact"/>
        <w:rPr>
          <w:rFonts w:ascii="Times New Roman" w:cs="Times New Roman" w:eastAsia="Times New Roman" w:hAnsi="Times New Roman"/>
          <w:sz w:val="18"/>
          <w:szCs w:val="18"/>
          <w:color w:val="auto"/>
        </w:rPr>
      </w:pPr>
    </w:p>
    <w:p>
      <w:pPr>
        <w:ind w:left="960" w:right="660" w:hanging="532"/>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enquiry of the Central Index of Winding Up Petitions, London on July 1, 2022 at 10:01 am (UK time) ((a) and (b) together,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960" w:hanging="532"/>
        <w:spacing w:after="0" w:line="26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July 1, 2022 signed by the Chief Executive Officer of the Company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relating to certain factual matters as at the date of the Certificate and having annexed thereto copies (certified by the Chief Executive Officer of the Company as being true, complete, accurate and up-to-date in each case) of the following documents:</w:t>
      </w:r>
    </w:p>
    <w:p>
      <w:pPr>
        <w:spacing w:after="0" w:line="80" w:lineRule="exact"/>
        <w:rPr>
          <w:rFonts w:ascii="Times New Roman" w:cs="Times New Roman" w:eastAsia="Times New Roman" w:hAnsi="Times New Roman"/>
          <w:sz w:val="18"/>
          <w:szCs w:val="18"/>
          <w:color w:val="auto"/>
        </w:rPr>
      </w:pPr>
    </w:p>
    <w:p>
      <w:pPr>
        <w:ind w:left="1420" w:right="220" w:hanging="439"/>
        <w:spacing w:after="0" w:line="261"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print of the resolutions passed by the shareholders of the Company at a general meeting held on 20 May 2021, approving,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allotment of shares by the directors or a committee of the directors, or the granting of rights to subscribe for, or to convert any security into, shares on a non-pre-emptive basis up to an aggregate nominal amount of £305,000 and the adoption of the Plans by the Company (the “</w:t>
      </w:r>
      <w:r>
        <w:rPr>
          <w:rFonts w:ascii="Times New Roman" w:cs="Times New Roman" w:eastAsia="Times New Roman" w:hAnsi="Times New Roman"/>
          <w:sz w:val="18"/>
          <w:szCs w:val="18"/>
          <w:b w:val="1"/>
          <w:bCs w:val="1"/>
          <w:color w:val="auto"/>
        </w:rPr>
        <w:t>Shareholder Resolutions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minutes of a meeting of the board of directors of the Company dated 20 May 2021 pursuant to which it was resolved,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approve the Plans (the “</w:t>
      </w:r>
      <w:r>
        <w:rPr>
          <w:rFonts w:ascii="Times New Roman" w:cs="Times New Roman" w:eastAsia="Times New Roman" w:hAnsi="Times New Roman"/>
          <w:sz w:val="18"/>
          <w:szCs w:val="18"/>
          <w:b w:val="1"/>
          <w:bCs w:val="1"/>
          <w:color w:val="auto"/>
        </w:rPr>
        <w:t>Board Minutes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consent of an Investor Majority (as defined in the Articles (as defined below)) dated 20 May 2021, pursuant to which an Investor Majority approved,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adoption of the Plans (the “</w:t>
      </w:r>
      <w:r>
        <w:rPr>
          <w:rFonts w:ascii="Times New Roman" w:cs="Times New Roman" w:eastAsia="Times New Roman" w:hAnsi="Times New Roman"/>
          <w:sz w:val="18"/>
          <w:szCs w:val="18"/>
          <w:b w:val="1"/>
          <w:bCs w:val="1"/>
          <w:color w:val="auto"/>
        </w:rPr>
        <w:t>Investor Majority Consent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0" w:right="760" w:hanging="439"/>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prior articles of association of the Company adopted pursuant to a special resolution dated 10 May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0" w:right="520" w:hanging="439"/>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 the certificate of incorporation of the Company dated 26 October 2020 and (b) the certificate of incorporation on re-registration of the Company as a public limited company dated 14 May 2021; and</w:t>
      </w:r>
    </w:p>
    <w:p>
      <w:pPr>
        <w:spacing w:after="0" w:line="67"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articles of association of the Company adopted on 2 June 2021 pursuant to a special resolution passed pursuant to the Shareholder Resolutions (the “</w:t>
      </w:r>
      <w:r>
        <w:rPr>
          <w:rFonts w:ascii="Times New Roman" w:cs="Times New Roman" w:eastAsia="Times New Roman" w:hAnsi="Times New Roman"/>
          <w:sz w:val="18"/>
          <w:szCs w:val="18"/>
          <w:b w:val="1"/>
          <w:bCs w:val="1"/>
          <w:color w:val="auto"/>
        </w:rPr>
        <w:t>IPO Articles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Plan;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Statement in the form to be filed with the SEC on the date hereof,</w:t>
      </w:r>
    </w:p>
    <w:p>
      <w:pPr>
        <w:spacing w:after="0" w:line="11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and such other documents and made such searches and considered such facts as we consider appropriate for the purpose of this opinion. We express an opinion in respect of the Company and the issues of any Shares only as expressly specified in this opinion. We express no opinion as to any agreement, instrument or document other than the Documents and then only as expressly specified in this letter.</w:t>
      </w:r>
    </w:p>
    <w:p>
      <w:pPr>
        <w:sectPr>
          <w:pgSz w:w="11900" w:h="16838" w:orient="portrait"/>
          <w:cols w:equalWidth="0" w:num="1">
            <w:col w:w="10980"/>
          </w:cols>
          <w:pgMar w:left="440" w:top="1120" w:right="47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911350" cy="471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71805"/>
                    </a:xfrm>
                    <a:prstGeom prst="rect">
                      <a:avLst/>
                    </a:prstGeom>
                    <a:noFill/>
                  </pic:spPr>
                </pic:pic>
              </a:graphicData>
            </a:graphic>
          </wp:anchor>
        </w:drawing>
        <w:t>Page 3</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Applicable law</w:t>
      </w:r>
    </w:p>
    <w:p>
      <w:pPr>
        <w:spacing w:after="0" w:line="121"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This letter, the opinions given in it, and any non-contractual obligations arising out of or in connection with this letter and/or the opinions given in it, are governed by, and to be construed in accordance with, English law as in force on the date of this opinion and relate only to English law as applied by the English courts, as at today’s date. In particular:</w:t>
      </w:r>
    </w:p>
    <w:p>
      <w:pPr>
        <w:spacing w:after="0" w:line="81" w:lineRule="exact"/>
        <w:rPr>
          <w:sz w:val="20"/>
          <w:szCs w:val="20"/>
          <w:color w:val="auto"/>
        </w:rPr>
      </w:pPr>
    </w:p>
    <w:p>
      <w:pPr>
        <w:ind w:left="964" w:hanging="532"/>
        <w:spacing w:after="0" w:line="258"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investigated the laws of any country other than England and we express no opinion in this letter on the laws of any jurisdiction other than England and we assume that no foreign law affects any of the opinions given below. In particular, we express no opinion as to whether English law is consistent with the laws of the European Union, to the extent relevant on the date of this opinion. It is assumed that no foreign law which may apply to the matters contemplated by the Registration Statement, the Company, any document or any other matter contemplated by any document would or might affect this letter and/or the opinions given in it; and</w:t>
      </w:r>
    </w:p>
    <w:p>
      <w:pPr>
        <w:spacing w:after="0" w:line="88" w:lineRule="exact"/>
        <w:rPr>
          <w:rFonts w:ascii="Times New Roman" w:cs="Times New Roman" w:eastAsia="Times New Roman" w:hAnsi="Times New Roman"/>
          <w:sz w:val="18"/>
          <w:szCs w:val="18"/>
          <w:color w:val="auto"/>
        </w:rPr>
      </w:pPr>
    </w:p>
    <w:p>
      <w:pPr>
        <w:ind w:left="964" w:right="220" w:hanging="532"/>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undertake or accept any obligation to update this letter and/or the opinions given in it to reflect subsequent changes in English law or factual matters.</w:t>
      </w:r>
    </w:p>
    <w:p>
      <w:pPr>
        <w:spacing w:after="0" w:line="54"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It should be understood that we have not been responsible for investigating or verifying the accuracy of any facts or the reasonableness of any statement of opinion or intention contained in or relevant to any Document.</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Assumptions and reservations</w:t>
      </w:r>
    </w:p>
    <w:p>
      <w:pPr>
        <w:spacing w:after="0" w:line="119" w:lineRule="exact"/>
        <w:rPr>
          <w:sz w:val="20"/>
          <w:szCs w:val="20"/>
          <w:color w:val="auto"/>
        </w:rPr>
      </w:pPr>
    </w:p>
    <w:p>
      <w:pPr>
        <w:jc w:val="both"/>
        <w:ind w:left="4" w:right="340"/>
        <w:spacing w:after="0" w:line="267" w:lineRule="auto"/>
        <w:rPr>
          <w:sz w:val="20"/>
          <w:szCs w:val="20"/>
          <w:color w:val="auto"/>
        </w:rPr>
      </w:pPr>
      <w:r>
        <w:rPr>
          <w:rFonts w:ascii="Times New Roman" w:cs="Times New Roman" w:eastAsia="Times New Roman" w:hAnsi="Times New Roman"/>
          <w:sz w:val="18"/>
          <w:szCs w:val="18"/>
          <w:color w:val="auto"/>
        </w:rPr>
        <w:t>The opinions given in this letter are given on the basis of each of the assumptions set out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to this letter and are subject to each of the reservations set out in schedule 2 (</w:t>
      </w:r>
      <w:r>
        <w:rPr>
          <w:rFonts w:ascii="Times New Roman" w:cs="Times New Roman" w:eastAsia="Times New Roman" w:hAnsi="Times New Roman"/>
          <w:sz w:val="18"/>
          <w:szCs w:val="18"/>
          <w:i w:val="1"/>
          <w:iCs w:val="1"/>
          <w:color w:val="auto"/>
        </w:rPr>
        <w:t>Reservations</w:t>
      </w:r>
      <w:r>
        <w:rPr>
          <w:rFonts w:ascii="Times New Roman" w:cs="Times New Roman" w:eastAsia="Times New Roman" w:hAnsi="Times New Roman"/>
          <w:sz w:val="18"/>
          <w:szCs w:val="18"/>
          <w:color w:val="auto"/>
        </w:rPr>
        <w:t>) to this letter. The opinions given in this letter are strictly limited to the matters stated in paragraph 2 (</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 below and do not extend, and should not be read as extending, by implication or otherwise, to any other matters.</w:t>
      </w:r>
    </w:p>
    <w:p>
      <w:pPr>
        <w:spacing w:after="0" w:line="63" w:lineRule="exact"/>
        <w:rPr>
          <w:sz w:val="20"/>
          <w:szCs w:val="20"/>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32" w:lineRule="exact"/>
        <w:rPr>
          <w:rFonts w:ascii="Times New Roman" w:cs="Times New Roman" w:eastAsia="Times New Roman" w:hAnsi="Times New Roman"/>
          <w:sz w:val="18"/>
          <w:szCs w:val="18"/>
          <w:b w:val="1"/>
          <w:bCs w:val="1"/>
          <w:color w:val="auto"/>
        </w:rPr>
      </w:pPr>
    </w:p>
    <w:p>
      <w:pPr>
        <w:ind w:left="964" w:right="160" w:hanging="532"/>
        <w:spacing w:after="0" w:line="284"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1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and the other matters set out in this letter and its schedules, and subject further to the following: the Registration Statement becoming effective under the US Securities Act;</w:t>
      </w:r>
    </w:p>
    <w:p>
      <w:pPr>
        <w:spacing w:after="0" w:line="61" w:lineRule="exact"/>
        <w:rPr>
          <w:rFonts w:ascii="Times New Roman" w:cs="Times New Roman" w:eastAsia="Times New Roman" w:hAnsi="Times New Roman"/>
          <w:sz w:val="18"/>
          <w:szCs w:val="18"/>
          <w:color w:val="auto"/>
        </w:rPr>
      </w:pPr>
    </w:p>
    <w:p>
      <w:pPr>
        <w:jc w:val="both"/>
        <w:ind w:left="964" w:hanging="532"/>
        <w:spacing w:after="0" w:line="268"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delegation of authority to the compensation committee of the Board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as set out in the Board Minutes having been validly effected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in accordance with the Articles, the Companies Act 2006 as amended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and the Plans);</w:t>
      </w:r>
    </w:p>
    <w:p>
      <w:pPr>
        <w:spacing w:after="0" w:line="8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the shareholders of the Company having validly approved the Plans;</w:t>
      </w:r>
    </w:p>
    <w:p>
      <w:pPr>
        <w:spacing w:after="0" w:line="130" w:lineRule="exact"/>
        <w:rPr>
          <w:rFonts w:ascii="Times New Roman" w:cs="Times New Roman" w:eastAsia="Times New Roman" w:hAnsi="Times New Roman"/>
          <w:sz w:val="18"/>
          <w:szCs w:val="18"/>
          <w:color w:val="auto"/>
        </w:rPr>
      </w:pPr>
    </w:p>
    <w:p>
      <w:pPr>
        <w:ind w:left="964" w:right="40" w:hanging="532"/>
        <w:spacing w:after="0" w:line="261"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Compensation Committee having validly resolved to allot and issue the Shares, or grant rights to subscribe for the Shares, at a duly convened and quorate meeting of the Board or the Compensation Committee or by way of duly passed written resolutions of the Board or the Compensation Committee in compliance with the Plans, all applicable laws and regulations and such resolutions being in full force and effect and not having been rescinded or amended;</w:t>
      </w:r>
    </w:p>
    <w:p>
      <w:pPr>
        <w:sectPr>
          <w:pgSz w:w="11900" w:h="16838" w:orient="portrait"/>
          <w:cols w:equalWidth="0" w:num="1">
            <w:col w:w="11004"/>
          </w:cols>
          <w:pgMar w:left="436" w:top="112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911350" cy="47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71805"/>
                    </a:xfrm>
                    <a:prstGeom prst="rect">
                      <a:avLst/>
                    </a:prstGeom>
                    <a:noFill/>
                  </pic:spPr>
                </pic:pic>
              </a:graphicData>
            </a:graphic>
          </wp:anchor>
        </w:drawing>
        <w:t>Page 4</w:t>
      </w:r>
    </w:p>
    <w:p>
      <w:pPr>
        <w:spacing w:after="0" w:line="158" w:lineRule="exact"/>
        <w:rPr>
          <w:sz w:val="20"/>
          <w:szCs w:val="20"/>
          <w:color w:val="auto"/>
        </w:rPr>
      </w:pPr>
    </w:p>
    <w:p>
      <w:pPr>
        <w:ind w:left="960" w:right="4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Shareholder Resolutions were each passed at a meeting which was duly convened and held in accordance with all applicable laws and regulations (including as to quorum);</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resolutions in the Board Minutes were each passed pursuant to the terms of the Articles and the Companies Act (in each case, as applicable);</w:t>
      </w:r>
    </w:p>
    <w:p>
      <w:pPr>
        <w:spacing w:after="0" w:line="67"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in full of payment for the Shares in an amount of “cash consideration” (as defined in section 583(3) of the Companies Act) of not less than the aggregate nominal value for such Shares;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entries having been made in relation to the allotment and issue of the Shares in the books and registers of the Company,</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our opinion that, as at today’s date, insofar as English law is concerned and provided that all future actions, authorisations and approvals as described in paragraph 2 have been taken obtained and/or complied with, then the Shares, if and when allotted and issued, registered in the name of the recipient in the register of members of the Company and delivered in accordance with the terms and conditions referred to in the Plans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EXTENT OF OPINIONS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express no opinion as to any agreement, instrument or other document other than as specified in this letter or as to any liability to tax or duty which may arise or be suffered as a result of or in connection with the transactions contemplated by the Plans.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DISCLOSURE AND RELIANCE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letter is addressed to you in connection with the Registration Statement. We consent to the filing of this letter with the SEC as an exhibit to the Registration Statement in accordance with the requirements of Item 601(b)(5) of Regulation S-K promulgated under the US Securities Act. In giving such consent, we do not thereby admit that we are in the category of persons whose consent is required under section 7 of the US Securities Act or the rules and regulations of the SEC thereunder.</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Other than for the purpose set out in the prior paragraph, this letter may not be relied upon, or assigned, for any purpose, without our prior written consent, which may be granted or withheld in our discretion.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Goodwin Procter (UK)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Goodwin Procter (UK) LLP</w:t>
      </w:r>
    </w:p>
    <w:p>
      <w:pPr>
        <w:sectPr>
          <w:pgSz w:w="11900" w:h="16838" w:orient="portrait"/>
          <w:cols w:equalWidth="0" w:num="1">
            <w:col w:w="10920"/>
          </w:cols>
          <w:pgMar w:left="440" w:top="1120"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911350" cy="471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71805"/>
                    </a:xfrm>
                    <a:prstGeom prst="rect">
                      <a:avLst/>
                    </a:prstGeom>
                    <a:noFill/>
                  </pic:spPr>
                </pic:pic>
              </a:graphicData>
            </a:graphic>
          </wp:anchor>
        </w:drawing>
        <w:t>Page 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in this letter have been given on the basis of the following assumptions:</w:t>
      </w:r>
    </w:p>
    <w:p>
      <w:pPr>
        <w:spacing w:after="0" w:line="131" w:lineRule="exact"/>
        <w:rPr>
          <w:sz w:val="20"/>
          <w:szCs w:val="20"/>
          <w:color w:val="auto"/>
        </w:rPr>
      </w:pPr>
    </w:p>
    <w:p>
      <w:pPr>
        <w:ind w:left="960" w:right="4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(including electronic signatures), stamps and seals on all documents, the authenticity and completeness of all documents submitted to us as originals, and the conformity to original documents of all documents submitted to us as certified, electronic, photostatic or facsimile copies and the authenticity of the originals of such latter documents;</w:t>
      </w:r>
    </w:p>
    <w:p>
      <w:pPr>
        <w:spacing w:after="0" w:line="81" w:lineRule="exact"/>
        <w:rPr>
          <w:rFonts w:ascii="Times New Roman" w:cs="Times New Roman" w:eastAsia="Times New Roman" w:hAnsi="Times New Roman"/>
          <w:sz w:val="18"/>
          <w:szCs w:val="18"/>
          <w:color w:val="auto"/>
        </w:rPr>
      </w:pPr>
    </w:p>
    <w:p>
      <w:pPr>
        <w:jc w:val="both"/>
        <w:ind w:left="960" w:right="4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or specimen form, it will be or has been duly executed in the form of that draft or specimen, and that each of the signed documents examined by us has been duly executed and, where applicable, delivered on behalf of the Company;</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is no agreement or arrangement which modifies, supersedes or is inconsistent with any Document;</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IPO Articles referred to in paragraph 1.3(c) of this letter remain in full force and effect and no alteration has been made or will be made to such articles of association prior to the date of the allotment and issue of the Shares (the “</w:t>
      </w:r>
      <w:r>
        <w:rPr>
          <w:rFonts w:ascii="Times New Roman" w:cs="Times New Roman" w:eastAsia="Times New Roman" w:hAnsi="Times New Roman"/>
          <w:sz w:val="18"/>
          <w:szCs w:val="18"/>
          <w:b w:val="1"/>
          <w:bCs w:val="1"/>
          <w:color w:val="auto"/>
        </w:rPr>
        <w:t>Allotment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Allotment Date the Company will comply with all applicable laws to allot and issue the Shares and the Company will receive such amounts as are necessary to fully pay the nominal value of the Shares and any applicable share premium;</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Plans have been validly adopted, remain in full force and effect and no alteration has been made or will be made to the Plans prior to an Allotment Date;</w:t>
      </w:r>
    </w:p>
    <w:p>
      <w:pPr>
        <w:spacing w:after="0" w:line="67" w:lineRule="exact"/>
        <w:rPr>
          <w:rFonts w:ascii="Times New Roman" w:cs="Times New Roman" w:eastAsia="Times New Roman" w:hAnsi="Times New Roman"/>
          <w:sz w:val="18"/>
          <w:szCs w:val="18"/>
          <w:color w:val="auto"/>
        </w:rPr>
      </w:pPr>
    </w:p>
    <w:p>
      <w:pPr>
        <w:ind w:left="960" w:right="18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forms and notices which should have been delivered to the Registrar of Companies in respect of the Company have been so delivered, that information revealed by the Searches was complete and accurate in all respects and has not, since the time of the Searches, been altered and that the results of the Searches will remain complete and accurate as at the date of the Registration Statement;</w:t>
      </w:r>
    </w:p>
    <w:p>
      <w:pPr>
        <w:spacing w:after="0" w:line="81"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contents of the Certificate were true and not misleading when given and remain true and not misleading as at the date of this letter and there is no fact or matter not referred to in the Certificate which could make any of the information in the Certificate inaccurate or misleading;</w:t>
      </w:r>
    </w:p>
    <w:p>
      <w:pPr>
        <w:spacing w:after="0" w:line="81"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resolutions of the shareholders of the Company and the resolutions of the directors of the Company provided to us in connection with the giving of this opinion and as referred to in paragraph 1.3(c) of this letter or otherwise contemplated in connection with the matters referred to herein were duly passed, all constitutional, statutory and other formalities were observed in relation to such resolutions and such resolutions have not been revoked or varied and remain in full force and effect and will remain so as at the Allotment Date;</w:t>
      </w:r>
    </w:p>
    <w:p>
      <w:pPr>
        <w:spacing w:after="0" w:line="85" w:lineRule="exact"/>
        <w:rPr>
          <w:rFonts w:ascii="Times New Roman" w:cs="Times New Roman" w:eastAsia="Times New Roman" w:hAnsi="Times New Roman"/>
          <w:sz w:val="18"/>
          <w:szCs w:val="18"/>
          <w:color w:val="auto"/>
        </w:rPr>
      </w:pPr>
    </w:p>
    <w:p>
      <w:pPr>
        <w:jc w:val="both"/>
        <w:ind w:left="960" w:right="32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relation to the allotment and issue of the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w:t>
      </w:r>
    </w:p>
    <w:p>
      <w:pPr>
        <w:sectPr>
          <w:pgSz w:w="11900" w:h="16838" w:orient="portrait"/>
          <w:cols w:equalWidth="0" w:num="1">
            <w:col w:w="11000"/>
          </w:cols>
          <w:pgMar w:left="440" w:top="1120"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911350" cy="4718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71805"/>
                    </a:xfrm>
                    <a:prstGeom prst="rect">
                      <a:avLst/>
                    </a:prstGeom>
                    <a:noFill/>
                  </pic:spPr>
                </pic:pic>
              </a:graphicData>
            </a:graphic>
          </wp:anchor>
        </w:drawing>
        <w:t>Page 6</w:t>
      </w:r>
    </w:p>
    <w:p>
      <w:pPr>
        <w:spacing w:after="0" w:line="158" w:lineRule="exact"/>
        <w:rPr>
          <w:sz w:val="20"/>
          <w:szCs w:val="20"/>
          <w:color w:val="auto"/>
        </w:rPr>
      </w:pPr>
    </w:p>
    <w:p>
      <w:pPr>
        <w:ind w:left="960" w:hanging="532"/>
        <w:spacing w:after="0" w:line="261"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allotment and issue of any Shares by the Company pursuant to the Plans, that the recipient will have become entitled to such Shares under the terms of the relevant Plan such Shares or rights over Shares will, where applicable, be fully vested each in accordance with the terms of the relevant Plan and such recipient has or will have complied with all other requirements of the relevant Plan in connection with the allotment and issue of such Shares;</w:t>
      </w:r>
    </w:p>
    <w:p>
      <w:pPr>
        <w:spacing w:after="0" w:line="85" w:lineRule="exact"/>
        <w:rPr>
          <w:rFonts w:ascii="Times New Roman" w:cs="Times New Roman" w:eastAsia="Times New Roman" w:hAnsi="Times New Roman"/>
          <w:sz w:val="18"/>
          <w:szCs w:val="18"/>
          <w:color w:val="auto"/>
        </w:rPr>
      </w:pPr>
    </w:p>
    <w:p>
      <w:pPr>
        <w:ind w:left="960" w:right="220" w:hanging="532"/>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awards have been made under the terms of the relevant Plan, that the terms of all awards have not materially deviated from the terms set out in the relevant Plan and that any Shares will be allotted and issued in accordance with the terms set out in the relevant Plan and in accordance with the IPO Articles;</w:t>
      </w:r>
    </w:p>
    <w:p>
      <w:pPr>
        <w:spacing w:after="0" w:line="81"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or rights to subscribe for Shares have been or shall be offered to the public in the United Kingdom in breach of the Financial Services and Markets Act 2000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88" w:lineRule="exact"/>
        <w:rPr>
          <w:rFonts w:ascii="Times New Roman" w:cs="Times New Roman" w:eastAsia="Times New Roman" w:hAnsi="Times New Roman"/>
          <w:sz w:val="18"/>
          <w:szCs w:val="18"/>
          <w:color w:val="auto"/>
        </w:rPr>
      </w:pPr>
    </w:p>
    <w:p>
      <w:pPr>
        <w:ind w:left="960" w:right="20" w:hanging="532"/>
        <w:spacing w:after="0" w:line="254"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or administration order or appointment of a receiver, administrator, administrative receiver or similar officer has been made with respect to the Company); and</w:t>
      </w:r>
    </w:p>
    <w:p>
      <w:pPr>
        <w:spacing w:after="0" w:line="9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nor will be, engaging in criminal, misleading, deceptive or unconscionable conduct or seeking to conduct any relevant transaction or any associated activity in a manner or for a purpose which might render any transaction contemplated under any corporate approvals or any associated activity illegal, void or voidable.</w:t>
      </w:r>
    </w:p>
    <w:p>
      <w:pPr>
        <w:sectPr>
          <w:pgSz w:w="11900" w:h="16838" w:orient="portrait"/>
          <w:cols w:equalWidth="0" w:num="1">
            <w:col w:w="11000"/>
          </w:cols>
          <w:pgMar w:left="440" w:top="1120"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911350" cy="471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71805"/>
                    </a:xfrm>
                    <a:prstGeom prst="rect">
                      <a:avLst/>
                    </a:prstGeom>
                    <a:noFill/>
                  </pic:spPr>
                </pic:pic>
              </a:graphicData>
            </a:graphic>
          </wp:anchor>
        </w:drawing>
        <w:t>Page 7</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in this letter are subject to the following reservations:</w:t>
      </w:r>
    </w:p>
    <w:p>
      <w:pPr>
        <w:spacing w:after="0" w:line="131" w:lineRule="exact"/>
        <w:rPr>
          <w:sz w:val="20"/>
          <w:szCs w:val="20"/>
          <w:color w:val="auto"/>
        </w:rPr>
      </w:pPr>
    </w:p>
    <w:p>
      <w:pPr>
        <w:ind w:left="960" w:hanging="532"/>
        <w:spacing w:after="0" w:line="253"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are not capable of revealing conclusively whether or not a winding-up or administration petition or order has been presented or made, a receiver appointed, a company voluntary arrangement proposed or approved or any other insolvency proceeding commenced, and the available records may not be complete or up-to-date. In particular, the Central Registry of Winding-Up Petitions in England may not contain details of administration applications filed, or appointments recorded in or orders made by, district registries and county courts outside London. Searches at Companies House and at the Central Registry of Winding Up Petitions in England are not capable of revealing whether or not a winding up petition or a petition for the making of an administration order has been presented and, further, notice of a winding up order or resolution, notice of an administration order and notice of the appointment of a receiver may not be filed at Companies House immediately and there may be a delay in the relevant notice appearing on the file of the company concerned. Further, not all security interests are registrable, such security interests have not in fact been registered or such security interests have been created by an individual or an entity which is not registered in England. We have not made enquiries of any District Registry or County Court in England;</w:t>
      </w:r>
    </w:p>
    <w:p>
      <w:pPr>
        <w:spacing w:after="0" w:line="97" w:lineRule="exact"/>
        <w:rPr>
          <w:rFonts w:ascii="Times New Roman" w:cs="Times New Roman" w:eastAsia="Times New Roman" w:hAnsi="Times New Roman"/>
          <w:sz w:val="18"/>
          <w:szCs w:val="18"/>
          <w:color w:val="auto"/>
        </w:rPr>
      </w:pPr>
    </w:p>
    <w:p>
      <w:pPr>
        <w:ind w:left="960" w:right="160" w:hanging="532"/>
        <w:spacing w:after="0" w:line="26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set out in this letter are subject to: (i) any limitations arising from applicable laws relating to insolvency, bankruptcy, administration, reorganisation, liquidation, moratoria, schemes or analogous circumstances; and (ii) an English court exercising its discretion under section 426 of the Insolvency Act 1986 (</w:t>
      </w:r>
      <w:r>
        <w:rPr>
          <w:rFonts w:ascii="Times New Roman" w:cs="Times New Roman" w:eastAsia="Times New Roman" w:hAnsi="Times New Roman"/>
          <w:sz w:val="18"/>
          <w:szCs w:val="18"/>
          <w:i w:val="1"/>
          <w:iCs w:val="1"/>
          <w:color w:val="auto"/>
        </w:rPr>
        <w:t>co-operation between courts exercising jurisdiction in relation to insolvency</w:t>
      </w:r>
      <w:r>
        <w:rPr>
          <w:rFonts w:ascii="Times New Roman" w:cs="Times New Roman" w:eastAsia="Times New Roman" w:hAnsi="Times New Roman"/>
          <w:sz w:val="18"/>
          <w:szCs w:val="18"/>
          <w:color w:val="auto"/>
        </w:rPr>
        <w:t>) to assist the courts having the corresponding jurisdiction in any part of the United Kingdom or any relevant country or territory;</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agreement is entered into for a purpose prohibited by sections 678 and 679 of the Companies Act 2006, it will be void;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fact;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taxation matters;</w:t>
      </w:r>
    </w:p>
    <w:p>
      <w:pPr>
        <w:spacing w:after="0" w:line="130"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for the matters set out in the Certificate, we have made no enquiries of any individual connected with the Company and have relied entirely on the facts, statements and confirmations contained in the Certificate and we have not undertaken any independent investigation or verification of the matters referred to in the Certificate;</w:t>
      </w:r>
    </w:p>
    <w:p>
      <w:pPr>
        <w:spacing w:after="0" w:line="81"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documentation, notification, opinion or the like might be held by the English courts not to be conclusive if it can be shown to have an unreasonable or arbitrary basis or in the event of a manifest error; and</w:t>
      </w:r>
    </w:p>
    <w:p>
      <w:pPr>
        <w:spacing w:after="0" w:line="67"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understood that we have not been responsible for investigating or verifying: (i) the accuracy of the facts, including statements of foreign law, or the reasonableness of any statements of opinion, contained in the Registration Statement; or (ii) that no material facts have been omitted from it.</w:t>
      </w:r>
    </w:p>
    <w:p>
      <w:pPr>
        <w:sectPr>
          <w:pgSz w:w="11900" w:h="16838" w:orient="portrait"/>
          <w:cols w:equalWidth="0" w:num="1">
            <w:col w:w="11000"/>
          </w:cols>
          <w:pgMar w:left="440" w:top="1120" w:right="45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94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 dated March 30, 2022, with respect to the consolidated and combined financial statements of Centessa Pharmaceuticals plc and subsidiaries and the Centessa Predecessor Group (consisting of Z Factor Limited, LockBody Therapeutics Ltd, and Morphogen-IX Limited), incorporated herein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2022</w:t>
      </w:r>
    </w:p>
    <w:p>
      <w:pPr>
        <w:sectPr>
          <w:pgSz w:w="11900" w:h="16838" w:orient="portrait"/>
          <w:cols w:equalWidth="0" w:num="1">
            <w:col w:w="11020"/>
          </w:cols>
          <w:pgMar w:left="440" w:top="121" w:right="4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Centessa Pharmaceuticals plc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700" w:type="dxa"/>
            <w:vAlign w:val="bottom"/>
            <w:tcBorders>
              <w:top w:val="single" w:sz="8" w:color="auto"/>
              <w:left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34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r>
      <w:tr>
        <w:trPr>
          <w:trHeight w:val="135"/>
        </w:trPr>
        <w:tc>
          <w:tcPr>
            <w:tcW w:w="700" w:type="dxa"/>
            <w:vAlign w:val="bottom"/>
            <w:tcBorders>
              <w:left w:val="single" w:sz="8" w:color="auto"/>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4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40"/>
        </w:trPr>
        <w:tc>
          <w:tcPr>
            <w:tcW w:w="70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Offering</w:t>
            </w:r>
          </w:p>
        </w:tc>
        <w:tc>
          <w:tcPr>
            <w:tcW w:w="13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35"/>
        </w:trPr>
        <w:tc>
          <w:tcPr>
            <w:tcW w:w="700" w:type="dxa"/>
            <w:vAlign w:val="bottom"/>
            <w:tcBorders>
              <w:left w:val="single" w:sz="8" w:color="auto"/>
              <w:right w:val="single" w:sz="8" w:color="auto"/>
            </w:tcBorders>
          </w:tcPr>
          <w:p>
            <w:pPr>
              <w:jc w:val="center"/>
              <w:ind w:left="41"/>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4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Maximum Aggregate</w:t>
            </w: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4"/>
        </w:trPr>
        <w:tc>
          <w:tcPr>
            <w:tcW w:w="700" w:type="dxa"/>
            <w:vAlign w:val="bottom"/>
            <w:tcBorders>
              <w:left w:val="single" w:sz="8" w:color="auto"/>
              <w:bottom w:val="single" w:sz="8" w:color="auto"/>
              <w:right w:val="single" w:sz="8" w:color="auto"/>
            </w:tcBorders>
          </w:tcPr>
          <w:p>
            <w:pPr>
              <w:jc w:val="center"/>
              <w:ind w:left="61"/>
              <w:spacing w:after="0"/>
              <w:rPr>
                <w:sz w:val="20"/>
                <w:szCs w:val="20"/>
                <w:color w:val="auto"/>
              </w:rPr>
            </w:pPr>
            <w:r>
              <w:rPr>
                <w:rFonts w:ascii="Times New Roman" w:cs="Times New Roman" w:eastAsia="Times New Roman" w:hAnsi="Times New Roman"/>
                <w:sz w:val="13"/>
                <w:szCs w:val="13"/>
                <w:color w:val="auto"/>
                <w:w w:val="89"/>
              </w:rPr>
              <w:t>Type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Security Class Title</w:t>
            </w:r>
            <w:r>
              <w:rPr>
                <w:rFonts w:ascii="Times New Roman" w:cs="Times New Roman" w:eastAsia="Times New Roman" w:hAnsi="Times New Roman"/>
                <w:sz w:val="10"/>
                <w:szCs w:val="10"/>
                <w:color w:val="auto"/>
                <w:w w:val="98"/>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Fee Calculation Rule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Registered</w:t>
            </w:r>
            <w:r>
              <w:rPr>
                <w:rFonts w:ascii="Times New Roman" w:cs="Times New Roman" w:eastAsia="Times New Roman" w:hAnsi="Times New Roman"/>
                <w:sz w:val="10"/>
                <w:szCs w:val="10"/>
                <w:color w:val="auto"/>
                <w:w w:val="98"/>
              </w:rPr>
              <w:t>(2)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Share</w:t>
            </w:r>
            <w:r>
              <w:rPr>
                <w:rFonts w:ascii="Times New Roman" w:cs="Times New Roman" w:eastAsia="Times New Roman" w:hAnsi="Times New Roman"/>
                <w:sz w:val="10"/>
                <w:szCs w:val="10"/>
                <w:color w:val="auto"/>
              </w:rPr>
              <w:t>(5)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 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6"/>
        </w:trPr>
        <w:tc>
          <w:tcPr>
            <w:tcW w:w="700" w:type="dxa"/>
            <w:vAlign w:val="bottom"/>
            <w:tcBorders>
              <w:left w:val="single" w:sz="8" w:color="auto"/>
              <w:right w:val="single" w:sz="8" w:color="auto"/>
            </w:tcBorders>
          </w:tcPr>
          <w:p>
            <w:pPr>
              <w:jc w:val="center"/>
              <w:ind w:left="61"/>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Ordinary shares,</w:t>
            </w:r>
          </w:p>
        </w:tc>
        <w:tc>
          <w:tcPr>
            <w:tcW w:w="13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nominal value</w:t>
            </w: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41"/>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£0.002 per share</w:t>
            </w:r>
          </w:p>
        </w:tc>
        <w:tc>
          <w:tcPr>
            <w:tcW w:w="13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r>
      <w:tr>
        <w:trPr>
          <w:trHeight w:val="211"/>
        </w:trPr>
        <w:tc>
          <w:tcPr>
            <w:tcW w:w="700" w:type="dxa"/>
            <w:vAlign w:val="bottom"/>
            <w:tcBorders>
              <w:left w:val="single" w:sz="8" w:color="auto"/>
              <w:right w:val="single" w:sz="8" w:color="auto"/>
            </w:tcBorders>
          </w:tcPr>
          <w:p>
            <w:pPr>
              <w:jc w:val="center"/>
              <w:ind w:left="61"/>
              <w:spacing w:after="0"/>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reserved for</w:t>
            </w: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issuance pursuant</w:t>
            </w: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the Centessa</w:t>
            </w: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Pharmaceuticals</w:t>
            </w: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plc 2021 Share</w:t>
            </w: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Option and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457(c) and</w:t>
            </w: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41"/>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457(h)</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4,499,411 </w:t>
            </w:r>
            <w:r>
              <w:rPr>
                <w:rFonts w:ascii="Times New Roman" w:cs="Times New Roman" w:eastAsia="Times New Roman" w:hAnsi="Times New Roman"/>
                <w:sz w:val="15"/>
                <w:szCs w:val="15"/>
                <w:color w:val="auto"/>
              </w:rPr>
              <w:t>(3)</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$4.48</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$17,133,757.09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$0.0000927</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$1,588.30</w:t>
            </w:r>
          </w:p>
        </w:tc>
      </w:tr>
      <w:tr>
        <w:trPr>
          <w:trHeight w:val="211"/>
        </w:trPr>
        <w:tc>
          <w:tcPr>
            <w:tcW w:w="700" w:type="dxa"/>
            <w:vAlign w:val="bottom"/>
            <w:tcBorders>
              <w:left w:val="single" w:sz="8" w:color="auto"/>
              <w:right w:val="single" w:sz="8" w:color="auto"/>
            </w:tcBorders>
          </w:tcPr>
          <w:p>
            <w:pPr>
              <w:jc w:val="center"/>
              <w:ind w:left="61"/>
              <w:spacing w:after="0"/>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reserved for</w:t>
            </w: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issuance pursuant</w:t>
            </w: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the Centessa</w:t>
            </w: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Pharmaceuticals</w:t>
            </w: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plc 2021</w:t>
            </w:r>
          </w:p>
        </w:tc>
        <w:tc>
          <w:tcPr>
            <w:tcW w:w="13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Employee Share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457(c) and</w:t>
            </w:r>
          </w:p>
        </w:tc>
        <w:tc>
          <w:tcPr>
            <w:tcW w:w="10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41"/>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 Plan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457(h)</w:t>
            </w:r>
          </w:p>
        </w:tc>
        <w:tc>
          <w:tcPr>
            <w:tcW w:w="1080" w:type="dxa"/>
            <w:vAlign w:val="bottom"/>
            <w:tcBorders>
              <w:bottom w:val="single" w:sz="8" w:color="auto"/>
              <w:right w:val="single" w:sz="8" w:color="auto"/>
            </w:tcBorders>
          </w:tcPr>
          <w:p>
            <w:pPr>
              <w:jc w:val="center"/>
              <w:ind w:right="24"/>
              <w:spacing w:after="0"/>
              <w:rPr>
                <w:sz w:val="20"/>
                <w:szCs w:val="20"/>
                <w:color w:val="auto"/>
              </w:rPr>
            </w:pPr>
            <w:r>
              <w:rPr>
                <w:rFonts w:ascii="Times New Roman" w:cs="Times New Roman" w:eastAsia="Times New Roman" w:hAnsi="Times New Roman"/>
                <w:sz w:val="18"/>
                <w:szCs w:val="18"/>
                <w:color w:val="auto"/>
              </w:rPr>
              <w:t xml:space="preserve">899,882 </w:t>
            </w:r>
            <w:r>
              <w:rPr>
                <w:rFonts w:ascii="Times New Roman" w:cs="Times New Roman" w:eastAsia="Times New Roman" w:hAnsi="Times New Roman"/>
                <w:sz w:val="15"/>
                <w:szCs w:val="15"/>
                <w:color w:val="auto"/>
              </w:rPr>
              <w:t>(4)</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$4.48</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$4,031,471.36</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$0.0000927</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$373.72</w:t>
            </w:r>
          </w:p>
        </w:tc>
      </w:tr>
      <w:tr>
        <w:trPr>
          <w:trHeight w:val="239"/>
        </w:trPr>
        <w:tc>
          <w:tcPr>
            <w:tcW w:w="700" w:type="dxa"/>
            <w:vAlign w:val="bottom"/>
            <w:tcBorders>
              <w:left w:val="single" w:sz="8" w:color="auto"/>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center"/>
              <w:ind w:left="431"/>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$21,165,228.45</w:t>
            </w: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$1,962.02</w:t>
            </w:r>
          </w:p>
        </w:tc>
      </w:tr>
      <w:tr>
        <w:trPr>
          <w:trHeight w:val="236"/>
        </w:trPr>
        <w:tc>
          <w:tcPr>
            <w:tcW w:w="700" w:type="dxa"/>
            <w:vAlign w:val="bottom"/>
            <w:tcBorders>
              <w:left w:val="single" w:sz="8" w:color="auto"/>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center"/>
              <w:ind w:left="411"/>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7"/>
        </w:trPr>
        <w:tc>
          <w:tcPr>
            <w:tcW w:w="700" w:type="dxa"/>
            <w:vAlign w:val="bottom"/>
            <w:tcBorders>
              <w:left w:val="single" w:sz="8" w:color="auto"/>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center"/>
              <w:ind w:left="431"/>
              <w:spacing w:after="0"/>
              <w:rPr>
                <w:sz w:val="20"/>
                <w:szCs w:val="20"/>
                <w:color w:val="auto"/>
              </w:rPr>
            </w:pPr>
            <w:r>
              <w:rPr>
                <w:rFonts w:ascii="Times New Roman" w:cs="Times New Roman" w:eastAsia="Times New Roman" w:hAnsi="Times New Roman"/>
                <w:sz w:val="18"/>
                <w:szCs w:val="18"/>
                <w:color w:val="auto"/>
                <w:w w:val="98"/>
              </w:rPr>
              <w:t>Net Fee Due</w:t>
            </w:r>
          </w:p>
        </w:tc>
        <w:tc>
          <w:tcPr>
            <w:tcW w:w="10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$1,962.02</w:t>
            </w:r>
          </w:p>
        </w:tc>
      </w:tr>
    </w:tbl>
    <w:p>
      <w:pPr>
        <w:spacing w:after="0" w:line="225" w:lineRule="exact"/>
        <w:rPr>
          <w:sz w:val="20"/>
          <w:szCs w:val="20"/>
          <w:color w:val="auto"/>
        </w:rPr>
      </w:pPr>
    </w:p>
    <w:p>
      <w:pPr>
        <w:ind w:left="424" w:right="320" w:hanging="424"/>
        <w:spacing w:after="0" w:line="257"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may be represented by the American Depositary Shares (“ADSs”) of Centessa Pharmaceuticals plc (the “Registrant”). Each ADS represents one Ordinary Share. ADSs issuable upon deposit of the Ordinary Shares registered hereby were registered pursuant to a separate Registration Statement on Form F-6 (File No. 333-256385).</w:t>
      </w:r>
    </w:p>
    <w:p>
      <w:pPr>
        <w:spacing w:after="0" w:line="1" w:lineRule="exact"/>
        <w:rPr>
          <w:rFonts w:ascii="Times New Roman" w:cs="Times New Roman" w:eastAsia="Times New Roman" w:hAnsi="Times New Roman"/>
          <w:sz w:val="18"/>
          <w:szCs w:val="18"/>
          <w:color w:val="auto"/>
        </w:rPr>
      </w:pPr>
    </w:p>
    <w:p>
      <w:pPr>
        <w:ind w:left="424" w:right="260" w:hanging="424"/>
        <w:spacing w:after="0" w:line="265" w:lineRule="auto"/>
        <w:tabs>
          <w:tab w:leader="none" w:pos="42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 under the Securities Act of 1933, as amended (the “Securities Act”), this Registration Statement shall also cover any additional Ordinary Shares of the Registrant which become issuable under the above-named plans by reason of any stock dividend, stock split, recapitalization or any other similar transaction effected without the receipt of consideration which results in an increase in the number of the Registrant’s outstanding Ordinary Shares. Pursuant to Rule 416(c) under the Securities Act, this Registration Statement shall also cover an indeterminate amount of interests to be offered or sold pursuant to the employee benefit plans described herein. In accordance with Rule 457(h)</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no separate fee calculation is made for plan interests.</w:t>
      </w:r>
    </w:p>
    <w:p>
      <w:pPr>
        <w:spacing w:after="0" w:line="9" w:lineRule="exact"/>
        <w:rPr>
          <w:rFonts w:ascii="Times New Roman" w:cs="Times New Roman" w:eastAsia="Times New Roman" w:hAnsi="Times New Roman"/>
          <w:sz w:val="17"/>
          <w:szCs w:val="17"/>
          <w:color w:val="auto"/>
        </w:rPr>
      </w:pPr>
    </w:p>
    <w:p>
      <w:pPr>
        <w:ind w:left="424" w:right="8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increase to the number of Ordinary Shares available for issuance under the Registrant’s 2021 Share Option and Incentive Plan (the “2021 Plan”) effective as of January 1, 2022. Ordinary Shares available for issuance under the 2021 Plan were previously registered on Form S-8 filed with the Securities and Exchange Commission on June 11, 2021 (Registration No. 333- 257027).</w:t>
      </w:r>
    </w:p>
    <w:p>
      <w:pPr>
        <w:spacing w:after="0" w:line="1" w:lineRule="exact"/>
        <w:rPr>
          <w:rFonts w:ascii="Times New Roman" w:cs="Times New Roman" w:eastAsia="Times New Roman" w:hAnsi="Times New Roman"/>
          <w:sz w:val="18"/>
          <w:szCs w:val="18"/>
          <w:color w:val="auto"/>
        </w:rPr>
      </w:pPr>
    </w:p>
    <w:p>
      <w:pPr>
        <w:jc w:val="both"/>
        <w:ind w:left="424" w:right="22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increase to the number of shares available for issuance under the Registrant’s 2021 Employee Share Purchase Plan (the “2021 ESPP”) effective as of January 1, 2022. Shares available for issuance under the 2021 ESPP were previously registered on Form S-8 filed with the Securities and Exchange Commission on June 11, 2021 (Registration No. 333- 257027).</w:t>
      </w:r>
    </w:p>
    <w:p>
      <w:pPr>
        <w:spacing w:after="0" w:line="1" w:lineRule="exact"/>
        <w:rPr>
          <w:rFonts w:ascii="Times New Roman" w:cs="Times New Roman" w:eastAsia="Times New Roman" w:hAnsi="Times New Roman"/>
          <w:sz w:val="18"/>
          <w:szCs w:val="18"/>
          <w:color w:val="auto"/>
        </w:rPr>
      </w:pPr>
    </w:p>
    <w:p>
      <w:pPr>
        <w:jc w:val="both"/>
        <w:ind w:left="424" w:right="20" w:hanging="424"/>
        <w:spacing w:after="0" w:line="290" w:lineRule="auto"/>
        <w:tabs>
          <w:tab w:leader="none" w:pos="42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pursuant to Rule 457(c) and (h)(1) of the Securities Act, and based on $4.48, the average of the high and low sale prices of the of the Registrant’s common stock as reported on the Nasdaq Global Select Market on June 27, 2022.</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lvl w:ilvl="1">
      <w:lvlJc w:val="left"/>
      <w:lvlText w:val="%2."/>
      <w:numFmt w:val="lowerRoman"/>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decimal"/>
      <w:start w:val="2"/>
    </w:lvl>
    <w:lvl w:ilvl="1">
      <w:lvlJc w:val="left"/>
      <w:lvlText w:val="%2)"/>
      <w:numFmt w:val="lowerLetter"/>
      <w:start w:val="1"/>
    </w:lvl>
  </w:abstractNum>
  <w:abstractNum w:abstractNumId="5">
    <w:nsid w:val="7545E146"/>
    <w:multiLevelType w:val="hybridMultilevel"/>
    <w:lvl w:ilvl="0">
      <w:lvlJc w:val="left"/>
      <w:lvlText w:val="%1)"/>
      <w:numFmt w:val="lowerLetter"/>
      <w:start w:val="5"/>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jpeg"/><Relationship Id="rId30" Type="http://schemas.openxmlformats.org/officeDocument/2006/relationships/image" Target="media/image19.png"/><Relationship Id="rId31" Type="http://schemas.openxmlformats.org/officeDocument/2006/relationships/image" Target="media/image20.jpeg"/><Relationship Id="rId32" Type="http://schemas.openxmlformats.org/officeDocument/2006/relationships/image" Target="media/image21.png"/><Relationship Id="rId33" Type="http://schemas.openxmlformats.org/officeDocument/2006/relationships/image" Target="media/image22.jpeg"/><Relationship Id="rId34" Type="http://schemas.openxmlformats.org/officeDocument/2006/relationships/image" Target="media/image23.png"/><Relationship Id="rId35" Type="http://schemas.openxmlformats.org/officeDocument/2006/relationships/image" Target="media/image24.jpeg"/><Relationship Id="rId36" Type="http://schemas.openxmlformats.org/officeDocument/2006/relationships/image" Target="media/image25.png"/><Relationship Id="rId37" Type="http://schemas.openxmlformats.org/officeDocument/2006/relationships/image" Target="media/image26.jpeg"/><Relationship Id="rId38" Type="http://schemas.openxmlformats.org/officeDocument/2006/relationships/image" Target="media/image27.png"/><Relationship Id="rId39" Type="http://schemas.openxmlformats.org/officeDocument/2006/relationships/image" Target="media/image28.jpeg"/><Relationship Id="rId40" Type="http://schemas.openxmlformats.org/officeDocument/2006/relationships/image" Target="media/image29.png"/><Relationship Id="rId41" Type="http://schemas.openxmlformats.org/officeDocument/2006/relationships/image" Target="media/image30.jpeg"/><Relationship Id="rId19" Type="http://schemas.openxmlformats.org/officeDocument/2006/relationships/hyperlink" Target="http://www.sec.gov/Archives/edgar/data/1847903/000119312521159305/d123754dex32.htm" TargetMode="External"/><Relationship Id="rId20" Type="http://schemas.openxmlformats.org/officeDocument/2006/relationships/hyperlink" Target="http://www.sec.gov/Archives/edgar/data/1847903/000119312521170068/d123754dex41.htm" TargetMode="External"/><Relationship Id="rId21" Type="http://schemas.openxmlformats.org/officeDocument/2006/relationships/hyperlink" Target="http://www.sec.gov/Archives/edgar/data/1847903/000119312521170068/d123754dex104.htm" TargetMode="External"/><Relationship Id="rId22" Type="http://schemas.openxmlformats.org/officeDocument/2006/relationships/hyperlink" Target="http://www.sec.gov/Archives/edgar/data/1847903/000119312521170068/d12375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2022-07-01T15:10:13Z</dcterms:created>
  <dcterms:modified xsi:type="dcterms:W3CDTF">2022-07-01T15:10:13Z</dcterms:modified>
</cp:coreProperties>
</file>