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80"/>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82550</wp:posOffset>
            </wp:positionH>
            <wp:positionV relativeFrom="paragraph">
              <wp:posOffset>293370</wp:posOffset>
            </wp:positionV>
            <wp:extent cx="6337300" cy="762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37300" cy="762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6"/>
          <w:szCs w:val="36"/>
          <w:b w:val="1"/>
          <w:bCs w:val="1"/>
          <w:color w:val="auto"/>
        </w:rPr>
        <w:t>UNITED STATES</w:t>
      </w:r>
    </w:p>
    <w:p>
      <w:pPr>
        <w:spacing w:after="0" w:line="6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6"/>
          <w:szCs w:val="36"/>
          <w:b w:val="1"/>
          <w:bCs w:val="1"/>
          <w:color w:val="auto"/>
        </w:rPr>
        <w:t>SECURITIES AND EXCHANGE COMMISSION</w:t>
      </w:r>
    </w:p>
    <w:p>
      <w:pPr>
        <w:spacing w:after="0" w:line="18"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6"/>
          <w:szCs w:val="36"/>
          <w:b w:val="1"/>
          <w:bCs w:val="1"/>
          <w:color w:val="auto"/>
        </w:rPr>
        <w:t>Washington, D.C. 20549</w:t>
      </w:r>
    </w:p>
    <w:p>
      <w:pPr>
        <w:spacing w:after="0" w:line="18"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6"/>
          <w:szCs w:val="36"/>
          <w:b w:val="1"/>
          <w:bCs w:val="1"/>
          <w:color w:val="auto"/>
        </w:rPr>
        <w:t>FORM 10-K</w:t>
      </w:r>
    </w:p>
    <w:p>
      <w:pPr>
        <w:spacing w:after="0" w:line="27" w:lineRule="exact"/>
        <w:rPr>
          <w:sz w:val="24"/>
          <w:szCs w:val="24"/>
          <w:color w:val="auto"/>
        </w:rPr>
      </w:pPr>
    </w:p>
    <w:p>
      <w:pPr>
        <w:ind w:left="180"/>
        <w:spacing w:after="0"/>
        <w:rPr>
          <w:sz w:val="20"/>
          <w:szCs w:val="20"/>
          <w:color w:val="auto"/>
        </w:rPr>
      </w:pPr>
      <w:r>
        <w:rPr>
          <w:rFonts w:ascii="Times New Roman" w:cs="Times New Roman" w:eastAsia="Times New Roman" w:hAnsi="Times New Roman"/>
          <w:sz w:val="20"/>
          <w:szCs w:val="20"/>
          <w:b w:val="1"/>
          <w:bCs w:val="1"/>
          <w:color w:val="auto"/>
        </w:rPr>
        <w:t>(Mark One)</w:t>
      </w:r>
    </w:p>
    <w:p>
      <w:pPr>
        <w:spacing w:after="0" w:line="67" w:lineRule="exact"/>
        <w:rPr>
          <w:sz w:val="24"/>
          <w:szCs w:val="24"/>
          <w:color w:val="auto"/>
        </w:rPr>
      </w:pPr>
    </w:p>
    <w:p>
      <w:pPr>
        <w:ind w:left="620" w:right="60" w:hanging="397"/>
        <w:spacing w:after="0" w:line="244" w:lineRule="auto"/>
        <w:tabs>
          <w:tab w:leader="none" w:pos="620" w:val="left"/>
        </w:tabs>
        <w:numPr>
          <w:ilvl w:val="0"/>
          <w:numId w:val="1"/>
        </w:numPr>
        <w:rPr>
          <w:rFonts w:ascii="Wingdings" w:cs="Wingdings" w:eastAsia="Wingdings" w:hAnsi="Wingdings"/>
          <w:sz w:val="20"/>
          <w:szCs w:val="20"/>
          <w:b w:val="1"/>
          <w:bCs w:val="1"/>
          <w:color w:val="auto"/>
        </w:rPr>
      </w:pPr>
      <w:r>
        <w:rPr>
          <w:rFonts w:ascii="Times New Roman" w:cs="Times New Roman" w:eastAsia="Times New Roman" w:hAnsi="Times New Roman"/>
          <w:sz w:val="20"/>
          <w:szCs w:val="20"/>
          <w:b w:val="1"/>
          <w:bCs w:val="1"/>
          <w:color w:val="auto"/>
        </w:rPr>
        <w:t>ANNUAL REPORT PURSUANT TO SECTION 13 OR 15(d) OF THE SECURITIES EXCHANGE ACT OF 1934</w:t>
      </w:r>
    </w:p>
    <w:p>
      <w:pPr>
        <w:spacing w:after="0" w:line="40" w:lineRule="exact"/>
        <w:rPr>
          <w:rFonts w:ascii="Wingdings" w:cs="Wingdings" w:eastAsia="Wingdings" w:hAnsi="Wingdings"/>
          <w:sz w:val="20"/>
          <w:szCs w:val="20"/>
          <w:b w:val="1"/>
          <w:bCs w:val="1"/>
          <w:color w:val="auto"/>
        </w:rPr>
      </w:pPr>
    </w:p>
    <w:p>
      <w:pPr>
        <w:ind w:left="620"/>
        <w:spacing w:after="0"/>
        <w:rPr>
          <w:rFonts w:ascii="Wingdings" w:cs="Wingdings" w:eastAsia="Wingdings" w:hAnsi="Wingdings"/>
          <w:sz w:val="20"/>
          <w:szCs w:val="20"/>
          <w:b w:val="1"/>
          <w:bCs w:val="1"/>
          <w:color w:val="auto"/>
        </w:rPr>
      </w:pPr>
      <w:r>
        <w:rPr>
          <w:rFonts w:ascii="Times New Roman" w:cs="Times New Roman" w:eastAsia="Times New Roman" w:hAnsi="Times New Roman"/>
          <w:sz w:val="20"/>
          <w:szCs w:val="20"/>
          <w:b w:val="1"/>
          <w:bCs w:val="1"/>
          <w:color w:val="auto"/>
        </w:rPr>
        <w:t>For the fiscal year ended December 31, 2025</w:t>
      </w:r>
    </w:p>
    <w:p>
      <w:pPr>
        <w:spacing w:after="0" w:line="184"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210" w:lineRule="exact"/>
        <w:rPr>
          <w:sz w:val="24"/>
          <w:szCs w:val="24"/>
          <w:color w:val="auto"/>
        </w:rPr>
      </w:pPr>
    </w:p>
    <w:p>
      <w:pPr>
        <w:ind w:left="620" w:right="60" w:hanging="397"/>
        <w:spacing w:after="0" w:line="244" w:lineRule="auto"/>
        <w:tabs>
          <w:tab w:leader="none" w:pos="620" w:val="left"/>
        </w:tabs>
        <w:numPr>
          <w:ilvl w:val="0"/>
          <w:numId w:val="2"/>
        </w:numPr>
        <w:rPr>
          <w:rFonts w:ascii="Wingdings" w:cs="Wingdings" w:eastAsia="Wingdings" w:hAnsi="Wingdings"/>
          <w:sz w:val="20"/>
          <w:szCs w:val="20"/>
          <w:b w:val="1"/>
          <w:bCs w:val="1"/>
          <w:color w:val="auto"/>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41" w:lineRule="exact"/>
        <w:rPr>
          <w:sz w:val="24"/>
          <w:szCs w:val="24"/>
          <w:color w:val="auto"/>
        </w:rPr>
      </w:pPr>
    </w:p>
    <w:p>
      <w:pPr>
        <w:ind w:left="620"/>
        <w:spacing w:after="0"/>
        <w:tabs>
          <w:tab w:leader="none" w:pos="3980" w:val="left"/>
        </w:tabs>
        <w:rPr>
          <w:sz w:val="20"/>
          <w:szCs w:val="20"/>
          <w:color w:val="auto"/>
        </w:rPr>
      </w:pPr>
      <w:r>
        <w:rPr>
          <w:rFonts w:ascii="Times New Roman" w:cs="Times New Roman" w:eastAsia="Times New Roman" w:hAnsi="Times New Roman"/>
          <w:sz w:val="20"/>
          <w:szCs w:val="20"/>
          <w:b w:val="1"/>
          <w:bCs w:val="1"/>
          <w:color w:val="auto"/>
        </w:rPr>
        <w:t>For the transition period from</w:t>
      </w:r>
      <w:r>
        <w:rPr>
          <w:sz w:val="20"/>
          <w:szCs w:val="20"/>
          <w:color w:val="auto"/>
        </w:rPr>
        <w:tab/>
      </w:r>
      <w:r>
        <w:rPr>
          <w:rFonts w:ascii="Times New Roman" w:cs="Times New Roman" w:eastAsia="Times New Roman" w:hAnsi="Times New Roman"/>
          <w:sz w:val="20"/>
          <w:szCs w:val="20"/>
          <w:b w:val="1"/>
          <w:bCs w:val="1"/>
          <w:color w:val="auto"/>
        </w:rPr>
        <w:t>to</w:t>
      </w:r>
    </w:p>
    <w:p>
      <w:pPr>
        <w:spacing w:after="0" w:line="170"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0"/>
          <w:szCs w:val="20"/>
          <w:b w:val="1"/>
          <w:bCs w:val="1"/>
          <w:color w:val="auto"/>
        </w:rPr>
        <w:t>Commission file number 001-40445</w:t>
      </w:r>
    </w:p>
    <w:p>
      <w:pPr>
        <w:spacing w:after="0" w:line="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6"/>
          <w:szCs w:val="36"/>
          <w:b w:val="1"/>
          <w:bCs w:val="1"/>
          <w:color w:val="auto"/>
        </w:rPr>
        <w:t>CENTESSA PHARMACEUTICALS PLC</w:t>
      </w:r>
    </w:p>
    <w:p>
      <w:pPr>
        <w:spacing w:after="0" w:line="26"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0"/>
          <w:szCs w:val="20"/>
          <w:b w:val="1"/>
          <w:bCs w:val="1"/>
          <w:color w:val="auto"/>
        </w:rPr>
        <w:t>(Exact name of registrant as specified in its charter)</w:t>
      </w:r>
    </w:p>
    <w:p>
      <w:pPr>
        <w:spacing w:after="0" w:line="247" w:lineRule="exact"/>
        <w:rPr>
          <w:sz w:val="24"/>
          <w:szCs w:val="24"/>
          <w:color w:val="auto"/>
        </w:rPr>
      </w:pPr>
    </w:p>
    <w:tbl>
      <w:tblPr>
        <w:tblLayout w:type="fixed"/>
        <w:tblInd w:w="0" w:type="dxa"/>
        <w:tblCellMar>
          <w:top w:w="0" w:type="dxa"/>
          <w:left w:w="0" w:type="dxa"/>
          <w:bottom w:w="0" w:type="dxa"/>
          <w:right w:w="0" w:type="dxa"/>
        </w:tblCellMar>
      </w:tblPr>
      <w:tr>
        <w:trPr>
          <w:trHeight w:val="264"/>
        </w:trPr>
        <w:tc>
          <w:tcPr>
            <w:tcW w:w="180" w:type="dxa"/>
            <w:vAlign w:val="bottom"/>
          </w:tcPr>
          <w:p>
            <w:pPr>
              <w:spacing w:after="0"/>
              <w:rPr>
                <w:sz w:val="22"/>
                <w:szCs w:val="22"/>
                <w:color w:val="auto"/>
              </w:rPr>
            </w:pPr>
          </w:p>
        </w:tc>
        <w:tc>
          <w:tcPr>
            <w:tcW w:w="4100" w:type="dxa"/>
            <w:vAlign w:val="bottom"/>
            <w:gridSpan w:val="2"/>
          </w:tcPr>
          <w:p>
            <w:pPr>
              <w:jc w:val="center"/>
              <w:ind w:left="740"/>
              <w:spacing w:after="0"/>
              <w:rPr>
                <w:sz w:val="20"/>
                <w:szCs w:val="20"/>
                <w:color w:val="auto"/>
              </w:rPr>
            </w:pPr>
            <w:r>
              <w:rPr>
                <w:rFonts w:ascii="Times New Roman" w:cs="Times New Roman" w:eastAsia="Times New Roman" w:hAnsi="Times New Roman"/>
                <w:sz w:val="20"/>
                <w:szCs w:val="20"/>
                <w:b w:val="1"/>
                <w:bCs w:val="1"/>
                <w:color w:val="auto"/>
                <w:w w:val="99"/>
              </w:rPr>
              <w:t>England and Wales</w:t>
            </w:r>
          </w:p>
        </w:tc>
        <w:tc>
          <w:tcPr>
            <w:tcW w:w="14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940" w:type="dxa"/>
            <w:vAlign w:val="bottom"/>
            <w:gridSpan w:val="2"/>
          </w:tcPr>
          <w:p>
            <w:pPr>
              <w:jc w:val="right"/>
              <w:ind w:right="1780"/>
              <w:spacing w:after="0"/>
              <w:rPr>
                <w:sz w:val="20"/>
                <w:szCs w:val="20"/>
                <w:color w:val="auto"/>
              </w:rPr>
            </w:pPr>
            <w:r>
              <w:rPr>
                <w:rFonts w:ascii="Times New Roman" w:cs="Times New Roman" w:eastAsia="Times New Roman" w:hAnsi="Times New Roman"/>
                <w:sz w:val="20"/>
                <w:szCs w:val="20"/>
                <w:b w:val="1"/>
                <w:bCs w:val="1"/>
                <w:color w:val="auto"/>
              </w:rPr>
              <w:t>98-1612294</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180" w:type="dxa"/>
            <w:vAlign w:val="bottom"/>
          </w:tcPr>
          <w:p>
            <w:pPr>
              <w:spacing w:after="0"/>
              <w:rPr>
                <w:sz w:val="17"/>
                <w:szCs w:val="17"/>
                <w:color w:val="auto"/>
              </w:rPr>
            </w:pPr>
          </w:p>
        </w:tc>
        <w:tc>
          <w:tcPr>
            <w:tcW w:w="4100" w:type="dxa"/>
            <w:vAlign w:val="bottom"/>
            <w:gridSpan w:val="2"/>
          </w:tcPr>
          <w:p>
            <w:pPr>
              <w:jc w:val="center"/>
              <w:ind w:left="720"/>
              <w:spacing w:after="0" w:line="205" w:lineRule="exact"/>
              <w:rPr>
                <w:sz w:val="20"/>
                <w:szCs w:val="20"/>
                <w:color w:val="auto"/>
              </w:rPr>
            </w:pPr>
            <w:r>
              <w:rPr>
                <w:rFonts w:ascii="Times New Roman" w:cs="Times New Roman" w:eastAsia="Times New Roman" w:hAnsi="Times New Roman"/>
                <w:sz w:val="20"/>
                <w:szCs w:val="20"/>
                <w:color w:val="auto"/>
                <w:w w:val="99"/>
              </w:rPr>
              <w:t>(State or other jurisdiction of</w:t>
            </w:r>
          </w:p>
        </w:tc>
        <w:tc>
          <w:tcPr>
            <w:tcW w:w="1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940" w:type="dxa"/>
            <w:vAlign w:val="bottom"/>
            <w:gridSpan w:val="2"/>
          </w:tcPr>
          <w:p>
            <w:pPr>
              <w:jc w:val="center"/>
              <w:ind w:right="700"/>
              <w:spacing w:after="0" w:line="205" w:lineRule="exact"/>
              <w:rPr>
                <w:sz w:val="20"/>
                <w:szCs w:val="20"/>
                <w:color w:val="auto"/>
              </w:rPr>
            </w:pPr>
            <w:r>
              <w:rPr>
                <w:rFonts w:ascii="Times New Roman" w:cs="Times New Roman" w:eastAsia="Times New Roman" w:hAnsi="Times New Roman"/>
                <w:sz w:val="20"/>
                <w:szCs w:val="20"/>
                <w:color w:val="auto"/>
                <w:w w:val="99"/>
              </w:rPr>
              <w:t>(I.R.S. Employer Identification No.)</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180" w:type="dxa"/>
            <w:vAlign w:val="bottom"/>
          </w:tcPr>
          <w:p>
            <w:pPr>
              <w:spacing w:after="0"/>
              <w:rPr>
                <w:sz w:val="22"/>
                <w:szCs w:val="22"/>
                <w:color w:val="auto"/>
              </w:rPr>
            </w:pPr>
          </w:p>
        </w:tc>
        <w:tc>
          <w:tcPr>
            <w:tcW w:w="4100" w:type="dxa"/>
            <w:vAlign w:val="bottom"/>
            <w:gridSpan w:val="2"/>
          </w:tcPr>
          <w:p>
            <w:pPr>
              <w:jc w:val="center"/>
              <w:ind w:left="780"/>
              <w:spacing w:after="0"/>
              <w:rPr>
                <w:sz w:val="20"/>
                <w:szCs w:val="20"/>
                <w:color w:val="auto"/>
              </w:rPr>
            </w:pPr>
            <w:r>
              <w:rPr>
                <w:rFonts w:ascii="Times New Roman" w:cs="Times New Roman" w:eastAsia="Times New Roman" w:hAnsi="Times New Roman"/>
                <w:sz w:val="20"/>
                <w:szCs w:val="20"/>
                <w:color w:val="auto"/>
              </w:rPr>
              <w:t>incorporation or organization)</w:t>
            </w:r>
          </w:p>
        </w:tc>
        <w:tc>
          <w:tcPr>
            <w:tcW w:w="14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5"/>
        </w:trPr>
        <w:tc>
          <w:tcPr>
            <w:tcW w:w="180" w:type="dxa"/>
            <w:vAlign w:val="bottom"/>
          </w:tcPr>
          <w:p>
            <w:pPr>
              <w:spacing w:after="0"/>
              <w:rPr>
                <w:sz w:val="24"/>
                <w:szCs w:val="24"/>
                <w:color w:val="auto"/>
              </w:rPr>
            </w:pPr>
          </w:p>
        </w:tc>
        <w:tc>
          <w:tcPr>
            <w:tcW w:w="4100" w:type="dxa"/>
            <w:vAlign w:val="bottom"/>
            <w:gridSpan w:val="2"/>
          </w:tcPr>
          <w:p>
            <w:pPr>
              <w:jc w:val="center"/>
              <w:ind w:right="200"/>
              <w:spacing w:after="0"/>
              <w:rPr>
                <w:sz w:val="20"/>
                <w:szCs w:val="20"/>
                <w:color w:val="auto"/>
              </w:rPr>
            </w:pPr>
            <w:r>
              <w:rPr>
                <w:rFonts w:ascii="Times New Roman" w:cs="Times New Roman" w:eastAsia="Times New Roman" w:hAnsi="Times New Roman"/>
                <w:sz w:val="20"/>
                <w:szCs w:val="20"/>
                <w:b w:val="1"/>
                <w:bCs w:val="1"/>
                <w:color w:val="auto"/>
              </w:rPr>
              <w:t>3rd Floor</w:t>
            </w:r>
          </w:p>
        </w:tc>
        <w:tc>
          <w:tcPr>
            <w:tcW w:w="1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180" w:type="dxa"/>
            <w:vAlign w:val="bottom"/>
          </w:tcPr>
          <w:p>
            <w:pPr>
              <w:spacing w:after="0"/>
              <w:rPr>
                <w:sz w:val="24"/>
                <w:szCs w:val="24"/>
                <w:color w:val="auto"/>
              </w:rPr>
            </w:pPr>
          </w:p>
        </w:tc>
        <w:tc>
          <w:tcPr>
            <w:tcW w:w="4100" w:type="dxa"/>
            <w:vAlign w:val="bottom"/>
            <w:gridSpan w:val="2"/>
          </w:tcPr>
          <w:p>
            <w:pPr>
              <w:jc w:val="center"/>
              <w:ind w:right="180"/>
              <w:spacing w:after="0"/>
              <w:rPr>
                <w:sz w:val="20"/>
                <w:szCs w:val="20"/>
                <w:color w:val="auto"/>
              </w:rPr>
            </w:pPr>
            <w:r>
              <w:rPr>
                <w:rFonts w:ascii="Times New Roman" w:cs="Times New Roman" w:eastAsia="Times New Roman" w:hAnsi="Times New Roman"/>
                <w:sz w:val="20"/>
                <w:szCs w:val="20"/>
                <w:b w:val="1"/>
                <w:bCs w:val="1"/>
                <w:color w:val="auto"/>
              </w:rPr>
              <w:t>1 Ashley Road</w:t>
            </w:r>
          </w:p>
        </w:tc>
        <w:tc>
          <w:tcPr>
            <w:tcW w:w="1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180" w:type="dxa"/>
            <w:vAlign w:val="bottom"/>
          </w:tcPr>
          <w:p>
            <w:pPr>
              <w:spacing w:after="0"/>
              <w:rPr>
                <w:sz w:val="24"/>
                <w:szCs w:val="24"/>
                <w:color w:val="auto"/>
              </w:rPr>
            </w:pPr>
          </w:p>
        </w:tc>
        <w:tc>
          <w:tcPr>
            <w:tcW w:w="4100" w:type="dxa"/>
            <w:vAlign w:val="bottom"/>
            <w:gridSpan w:val="2"/>
          </w:tcPr>
          <w:p>
            <w:pPr>
              <w:jc w:val="center"/>
              <w:ind w:right="200"/>
              <w:spacing w:after="0"/>
              <w:rPr>
                <w:sz w:val="20"/>
                <w:szCs w:val="20"/>
                <w:color w:val="auto"/>
              </w:rPr>
            </w:pPr>
            <w:r>
              <w:rPr>
                <w:rFonts w:ascii="Times New Roman" w:cs="Times New Roman" w:eastAsia="Times New Roman" w:hAnsi="Times New Roman"/>
                <w:sz w:val="20"/>
                <w:szCs w:val="20"/>
                <w:b w:val="1"/>
                <w:bCs w:val="1"/>
                <w:color w:val="auto"/>
                <w:w w:val="99"/>
              </w:rPr>
              <w:t>Altrincham</w:t>
            </w:r>
          </w:p>
        </w:tc>
        <w:tc>
          <w:tcPr>
            <w:tcW w:w="1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180" w:type="dxa"/>
            <w:vAlign w:val="bottom"/>
          </w:tcPr>
          <w:p>
            <w:pPr>
              <w:spacing w:after="0"/>
              <w:rPr>
                <w:sz w:val="24"/>
                <w:szCs w:val="24"/>
                <w:color w:val="auto"/>
              </w:rPr>
            </w:pPr>
          </w:p>
        </w:tc>
        <w:tc>
          <w:tcPr>
            <w:tcW w:w="4100" w:type="dxa"/>
            <w:vAlign w:val="bottom"/>
            <w:gridSpan w:val="2"/>
          </w:tcPr>
          <w:p>
            <w:pPr>
              <w:jc w:val="center"/>
              <w:ind w:right="180"/>
              <w:spacing w:after="0"/>
              <w:rPr>
                <w:sz w:val="20"/>
                <w:szCs w:val="20"/>
                <w:color w:val="auto"/>
              </w:rPr>
            </w:pPr>
            <w:r>
              <w:rPr>
                <w:rFonts w:ascii="Times New Roman" w:cs="Times New Roman" w:eastAsia="Times New Roman" w:hAnsi="Times New Roman"/>
                <w:sz w:val="20"/>
                <w:szCs w:val="20"/>
                <w:b w:val="1"/>
                <w:bCs w:val="1"/>
                <w:color w:val="auto"/>
                <w:w w:val="99"/>
              </w:rPr>
              <w:t>Cheshire</w:t>
            </w:r>
          </w:p>
        </w:tc>
        <w:tc>
          <w:tcPr>
            <w:tcW w:w="1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18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20"/>
                <w:szCs w:val="20"/>
                <w:b w:val="1"/>
                <w:bCs w:val="1"/>
                <w:color w:val="auto"/>
                <w:w w:val="99"/>
              </w:rPr>
              <w:t>United Kingdom</w:t>
            </w:r>
          </w:p>
        </w:tc>
        <w:tc>
          <w:tcPr>
            <w:tcW w:w="14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jc w:val="center"/>
              <w:ind w:right="1000"/>
              <w:spacing w:after="0"/>
              <w:rPr>
                <w:sz w:val="20"/>
                <w:szCs w:val="20"/>
                <w:color w:val="auto"/>
              </w:rPr>
            </w:pPr>
            <w:r>
              <w:rPr>
                <w:rFonts w:ascii="Times New Roman" w:cs="Times New Roman" w:eastAsia="Times New Roman" w:hAnsi="Times New Roman"/>
                <w:sz w:val="20"/>
                <w:szCs w:val="20"/>
                <w:b w:val="1"/>
                <w:bCs w:val="1"/>
                <w:color w:val="auto"/>
                <w:w w:val="98"/>
              </w:rPr>
              <w:t>WA14 2DT</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180" w:type="dxa"/>
            <w:vAlign w:val="bottom"/>
          </w:tcPr>
          <w:p>
            <w:pPr>
              <w:spacing w:after="0"/>
              <w:rPr>
                <w:sz w:val="22"/>
                <w:szCs w:val="22"/>
                <w:color w:val="auto"/>
              </w:rPr>
            </w:pPr>
          </w:p>
        </w:tc>
        <w:tc>
          <w:tcPr>
            <w:tcW w:w="4100" w:type="dxa"/>
            <w:vAlign w:val="bottom"/>
            <w:gridSpan w:val="2"/>
          </w:tcPr>
          <w:p>
            <w:pPr>
              <w:jc w:val="center"/>
              <w:ind w:right="200"/>
              <w:spacing w:after="0"/>
              <w:rPr>
                <w:sz w:val="20"/>
                <w:szCs w:val="20"/>
                <w:color w:val="auto"/>
              </w:rPr>
            </w:pPr>
            <w:r>
              <w:rPr>
                <w:rFonts w:ascii="Times New Roman" w:cs="Times New Roman" w:eastAsia="Times New Roman" w:hAnsi="Times New Roman"/>
                <w:sz w:val="20"/>
                <w:szCs w:val="20"/>
                <w:color w:val="auto"/>
              </w:rPr>
              <w:t>(Address of principal executive offices)</w:t>
            </w:r>
          </w:p>
        </w:tc>
        <w:tc>
          <w:tcPr>
            <w:tcW w:w="14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180" w:type="dxa"/>
            <w:vAlign w:val="bottom"/>
          </w:tcPr>
          <w:p>
            <w:pPr>
              <w:jc w:val="center"/>
              <w:ind w:right="1000"/>
              <w:spacing w:after="0"/>
              <w:rPr>
                <w:sz w:val="20"/>
                <w:szCs w:val="20"/>
                <w:color w:val="auto"/>
              </w:rPr>
            </w:pPr>
            <w:r>
              <w:rPr>
                <w:rFonts w:ascii="Times New Roman" w:cs="Times New Roman" w:eastAsia="Times New Roman" w:hAnsi="Times New Roman"/>
                <w:sz w:val="20"/>
                <w:szCs w:val="20"/>
                <w:color w:val="auto"/>
              </w:rPr>
              <w:t>(Zip code)</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51"/>
        </w:trPr>
        <w:tc>
          <w:tcPr>
            <w:tcW w:w="18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740" w:type="dxa"/>
            <w:vAlign w:val="bottom"/>
            <w:gridSpan w:val="2"/>
          </w:tcPr>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+1 (617) 468-5770</w:t>
            </w:r>
          </w:p>
        </w:tc>
        <w:tc>
          <w:tcPr>
            <w:tcW w:w="76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180" w:type="dxa"/>
            <w:vAlign w:val="bottom"/>
          </w:tcPr>
          <w:p>
            <w:pPr>
              <w:spacing w:after="0"/>
              <w:rPr>
                <w:sz w:val="22"/>
                <w:szCs w:val="22"/>
                <w:color w:val="auto"/>
              </w:rPr>
            </w:pPr>
          </w:p>
        </w:tc>
        <w:tc>
          <w:tcPr>
            <w:tcW w:w="9780" w:type="dxa"/>
            <w:vAlign w:val="bottom"/>
            <w:gridSpan w:val="6"/>
          </w:tcPr>
          <w:p>
            <w:pPr>
              <w:jc w:val="center"/>
              <w:spacing w:after="0"/>
              <w:rPr>
                <w:sz w:val="20"/>
                <w:szCs w:val="20"/>
                <w:color w:val="auto"/>
              </w:rPr>
            </w:pPr>
            <w:r>
              <w:rPr>
                <w:rFonts w:ascii="Times New Roman" w:cs="Times New Roman" w:eastAsia="Times New Roman" w:hAnsi="Times New Roman"/>
                <w:sz w:val="20"/>
                <w:szCs w:val="20"/>
                <w:color w:val="auto"/>
                <w:w w:val="99"/>
              </w:rPr>
              <w:t>Registrant's telephone number, including area code</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00"/>
        </w:trPr>
        <w:tc>
          <w:tcPr>
            <w:tcW w:w="180" w:type="dxa"/>
            <w:vAlign w:val="bottom"/>
          </w:tcPr>
          <w:p>
            <w:pPr>
              <w:spacing w:after="0"/>
              <w:rPr>
                <w:sz w:val="24"/>
                <w:szCs w:val="24"/>
                <w:color w:val="auto"/>
              </w:rPr>
            </w:pPr>
          </w:p>
        </w:tc>
        <w:tc>
          <w:tcPr>
            <w:tcW w:w="584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Securities registered pursuant to Section 12(b) of the Act:</w:t>
            </w:r>
          </w:p>
        </w:tc>
        <w:tc>
          <w:tcPr>
            <w:tcW w:w="76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180" w:type="dxa"/>
            <w:vAlign w:val="bottom"/>
          </w:tcPr>
          <w:p>
            <w:pPr>
              <w:spacing w:after="0"/>
              <w:rPr>
                <w:sz w:val="16"/>
                <w:szCs w:val="16"/>
                <w:color w:val="auto"/>
              </w:rPr>
            </w:pPr>
          </w:p>
        </w:tc>
        <w:tc>
          <w:tcPr>
            <w:tcW w:w="33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3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02"/>
        </w:trPr>
        <w:tc>
          <w:tcPr>
            <w:tcW w:w="180" w:type="dxa"/>
            <w:vAlign w:val="bottom"/>
            <w:tcBorders>
              <w:right w:val="single" w:sz="8" w:color="auto"/>
            </w:tcBorders>
          </w:tcPr>
          <w:p>
            <w:pPr>
              <w:spacing w:after="0"/>
              <w:rPr>
                <w:sz w:val="24"/>
                <w:szCs w:val="24"/>
                <w:color w:val="auto"/>
              </w:rPr>
            </w:pPr>
          </w:p>
        </w:tc>
        <w:tc>
          <w:tcPr>
            <w:tcW w:w="33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Title of each class</w:t>
            </w:r>
          </w:p>
        </w:tc>
        <w:tc>
          <w:tcPr>
            <w:tcW w:w="800" w:type="dxa"/>
            <w:vAlign w:val="bottom"/>
          </w:tcPr>
          <w:p>
            <w:pPr>
              <w:spacing w:after="0"/>
              <w:rPr>
                <w:sz w:val="24"/>
                <w:szCs w:val="24"/>
                <w:color w:val="auto"/>
              </w:rPr>
            </w:pPr>
          </w:p>
        </w:tc>
        <w:tc>
          <w:tcPr>
            <w:tcW w:w="174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20"/>
                <w:szCs w:val="20"/>
                <w:color w:val="auto"/>
              </w:rPr>
              <w:t>Trading Symbol(s)</w:t>
            </w:r>
          </w:p>
        </w:tc>
        <w:tc>
          <w:tcPr>
            <w:tcW w:w="760" w:type="dxa"/>
            <w:vAlign w:val="bottom"/>
            <w:tcBorders>
              <w:right w:val="single" w:sz="8" w:color="auto"/>
            </w:tcBorders>
          </w:tcPr>
          <w:p>
            <w:pPr>
              <w:spacing w:after="0"/>
              <w:rPr>
                <w:sz w:val="24"/>
                <w:szCs w:val="24"/>
                <w:color w:val="auto"/>
              </w:rPr>
            </w:pPr>
          </w:p>
        </w:tc>
        <w:tc>
          <w:tcPr>
            <w:tcW w:w="31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Name of each exchange on which</w:t>
            </w: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180" w:type="dxa"/>
            <w:vAlign w:val="bottom"/>
            <w:tcBorders>
              <w:right w:val="single" w:sz="8" w:color="auto"/>
            </w:tcBorders>
          </w:tcPr>
          <w:p>
            <w:pPr>
              <w:spacing w:after="0"/>
              <w:rPr>
                <w:sz w:val="22"/>
                <w:szCs w:val="22"/>
                <w:color w:val="auto"/>
              </w:rPr>
            </w:pPr>
          </w:p>
        </w:tc>
        <w:tc>
          <w:tcPr>
            <w:tcW w:w="3300" w:type="dxa"/>
            <w:vAlign w:val="bottom"/>
            <w:tcBorders>
              <w:bottom w:val="single" w:sz="8" w:color="auto"/>
              <w:right w:val="single" w:sz="8" w:color="auto"/>
            </w:tcBorders>
            <w:vMerge w:val="continue"/>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gridSpan w:val="2"/>
            <w:vMerge w:val="continue"/>
          </w:tcPr>
          <w:p>
            <w:pPr>
              <w:spacing w:after="0"/>
              <w:rPr>
                <w:sz w:val="22"/>
                <w:szCs w:val="22"/>
                <w:color w:val="auto"/>
              </w:rPr>
            </w:pPr>
          </w:p>
        </w:tc>
        <w:tc>
          <w:tcPr>
            <w:tcW w:w="760" w:type="dxa"/>
            <w:vAlign w:val="bottom"/>
            <w:tcBorders>
              <w:bottom w:val="single" w:sz="8" w:color="auto"/>
              <w:right w:val="single" w:sz="8" w:color="auto"/>
            </w:tcBorders>
          </w:tcPr>
          <w:p>
            <w:pPr>
              <w:spacing w:after="0"/>
              <w:rPr>
                <w:sz w:val="22"/>
                <w:szCs w:val="22"/>
                <w:color w:val="auto"/>
              </w:rPr>
            </w:pPr>
          </w:p>
        </w:tc>
        <w:tc>
          <w:tcPr>
            <w:tcW w:w="3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registered</w:t>
            </w:r>
          </w:p>
        </w:tc>
        <w:tc>
          <w:tcPr>
            <w:tcW w:w="12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02"/>
        </w:trPr>
        <w:tc>
          <w:tcPr>
            <w:tcW w:w="180" w:type="dxa"/>
            <w:vAlign w:val="bottom"/>
            <w:tcBorders>
              <w:right w:val="single" w:sz="8" w:color="auto"/>
            </w:tcBorders>
          </w:tcPr>
          <w:p>
            <w:pPr>
              <w:spacing w:after="0"/>
              <w:rPr>
                <w:sz w:val="24"/>
                <w:szCs w:val="24"/>
                <w:color w:val="auto"/>
              </w:rPr>
            </w:pPr>
          </w:p>
        </w:tc>
        <w:tc>
          <w:tcPr>
            <w:tcW w:w="3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Ordinary shares, nominal value £0.002</w:t>
            </w:r>
          </w:p>
        </w:tc>
        <w:tc>
          <w:tcPr>
            <w:tcW w:w="8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Borders>
              <w:right w:val="single" w:sz="8" w:color="auto"/>
            </w:tcBorders>
          </w:tcPr>
          <w:p>
            <w:pPr>
              <w:spacing w:after="0"/>
              <w:rPr>
                <w:sz w:val="24"/>
                <w:szCs w:val="24"/>
                <w:color w:val="auto"/>
              </w:rPr>
            </w:pPr>
          </w:p>
        </w:tc>
        <w:tc>
          <w:tcPr>
            <w:tcW w:w="318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180" w:type="dxa"/>
            <w:vAlign w:val="bottom"/>
            <w:tcBorders>
              <w:right w:val="single" w:sz="8" w:color="auto"/>
            </w:tcBorders>
          </w:tcPr>
          <w:p>
            <w:pPr>
              <w:spacing w:after="0"/>
              <w:rPr>
                <w:sz w:val="22"/>
                <w:szCs w:val="22"/>
                <w:color w:val="auto"/>
              </w:rPr>
            </w:pPr>
          </w:p>
        </w:tc>
        <w:tc>
          <w:tcPr>
            <w:tcW w:w="3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per share</w:t>
            </w:r>
          </w:p>
        </w:tc>
        <w:tc>
          <w:tcPr>
            <w:tcW w:w="80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gridSpan w:val="2"/>
          </w:tcPr>
          <w:p>
            <w:pPr>
              <w:jc w:val="center"/>
              <w:ind w:right="60"/>
              <w:spacing w:after="0"/>
              <w:rPr>
                <w:sz w:val="20"/>
                <w:szCs w:val="20"/>
                <w:color w:val="auto"/>
              </w:rPr>
            </w:pPr>
            <w:r>
              <w:rPr>
                <w:rFonts w:ascii="Times New Roman" w:cs="Times New Roman" w:eastAsia="Times New Roman" w:hAnsi="Times New Roman"/>
                <w:sz w:val="20"/>
                <w:szCs w:val="20"/>
                <w:color w:val="auto"/>
              </w:rPr>
              <w:t>CNTA</w:t>
            </w:r>
          </w:p>
        </w:tc>
        <w:tc>
          <w:tcPr>
            <w:tcW w:w="760" w:type="dxa"/>
            <w:vAlign w:val="bottom"/>
            <w:tcBorders>
              <w:bottom w:val="single" w:sz="8" w:color="auto"/>
              <w:right w:val="single" w:sz="8" w:color="auto"/>
            </w:tcBorders>
          </w:tcPr>
          <w:p>
            <w:pPr>
              <w:spacing w:after="0"/>
              <w:rPr>
                <w:sz w:val="22"/>
                <w:szCs w:val="22"/>
                <w:color w:val="auto"/>
              </w:rPr>
            </w:pPr>
          </w:p>
        </w:tc>
        <w:tc>
          <w:tcPr>
            <w:tcW w:w="3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The Nasdaq Stock Market LLC*</w:t>
            </w:r>
          </w:p>
        </w:tc>
        <w:tc>
          <w:tcPr>
            <w:tcW w:w="12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68"/>
        </w:trPr>
        <w:tc>
          <w:tcPr>
            <w:tcW w:w="180" w:type="dxa"/>
            <w:vAlign w:val="bottom"/>
            <w:tcBorders>
              <w:right w:val="single" w:sz="8" w:color="auto"/>
            </w:tcBorders>
          </w:tcPr>
          <w:p>
            <w:pPr>
              <w:spacing w:after="0"/>
              <w:rPr>
                <w:sz w:val="24"/>
                <w:szCs w:val="24"/>
                <w:color w:val="auto"/>
              </w:rPr>
            </w:pPr>
          </w:p>
        </w:tc>
        <w:tc>
          <w:tcPr>
            <w:tcW w:w="3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American Depositary Shares, each</w:t>
            </w:r>
          </w:p>
        </w:tc>
        <w:tc>
          <w:tcPr>
            <w:tcW w:w="8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Borders>
              <w:right w:val="single" w:sz="8" w:color="auto"/>
            </w:tcBorders>
          </w:tcPr>
          <w:p>
            <w:pPr>
              <w:spacing w:after="0"/>
              <w:rPr>
                <w:sz w:val="24"/>
                <w:szCs w:val="24"/>
                <w:color w:val="auto"/>
              </w:rPr>
            </w:pPr>
          </w:p>
        </w:tc>
        <w:tc>
          <w:tcPr>
            <w:tcW w:w="318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80" w:type="dxa"/>
            <w:vAlign w:val="bottom"/>
            <w:tcBorders>
              <w:right w:val="single" w:sz="8" w:color="auto"/>
            </w:tcBorders>
          </w:tcPr>
          <w:p>
            <w:pPr>
              <w:spacing w:after="0"/>
              <w:rPr>
                <w:sz w:val="19"/>
                <w:szCs w:val="19"/>
                <w:color w:val="auto"/>
              </w:rPr>
            </w:pPr>
          </w:p>
        </w:tc>
        <w:tc>
          <w:tcPr>
            <w:tcW w:w="3300" w:type="dxa"/>
            <w:vAlign w:val="bottom"/>
            <w:tcBorders>
              <w:right w:val="single" w:sz="8" w:color="auto"/>
            </w:tcBorders>
          </w:tcPr>
          <w:p>
            <w:pPr>
              <w:jc w:val="center"/>
              <w:spacing w:after="0" w:line="224" w:lineRule="exact"/>
              <w:rPr>
                <w:sz w:val="20"/>
                <w:szCs w:val="20"/>
                <w:color w:val="auto"/>
              </w:rPr>
            </w:pPr>
            <w:r>
              <w:rPr>
                <w:rFonts w:ascii="Times New Roman" w:cs="Times New Roman" w:eastAsia="Times New Roman" w:hAnsi="Times New Roman"/>
                <w:sz w:val="20"/>
                <w:szCs w:val="20"/>
                <w:color w:val="auto"/>
                <w:w w:val="99"/>
              </w:rPr>
              <w:t>representing one ordinary share,</w:t>
            </w:r>
          </w:p>
        </w:tc>
        <w:tc>
          <w:tcPr>
            <w:tcW w:w="8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318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180" w:type="dxa"/>
            <w:vAlign w:val="bottom"/>
            <w:tcBorders>
              <w:right w:val="single" w:sz="8" w:color="auto"/>
            </w:tcBorders>
          </w:tcPr>
          <w:p>
            <w:pPr>
              <w:spacing w:after="0"/>
              <w:rPr>
                <w:sz w:val="22"/>
                <w:szCs w:val="22"/>
                <w:color w:val="auto"/>
              </w:rPr>
            </w:pPr>
          </w:p>
        </w:tc>
        <w:tc>
          <w:tcPr>
            <w:tcW w:w="3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nominal value £0.002 per share</w:t>
            </w:r>
          </w:p>
        </w:tc>
        <w:tc>
          <w:tcPr>
            <w:tcW w:w="80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gridSpan w:val="2"/>
          </w:tcPr>
          <w:p>
            <w:pPr>
              <w:jc w:val="center"/>
              <w:ind w:right="60"/>
              <w:spacing w:after="0"/>
              <w:rPr>
                <w:sz w:val="20"/>
                <w:szCs w:val="20"/>
                <w:color w:val="auto"/>
              </w:rPr>
            </w:pPr>
            <w:r>
              <w:rPr>
                <w:rFonts w:ascii="Times New Roman" w:cs="Times New Roman" w:eastAsia="Times New Roman" w:hAnsi="Times New Roman"/>
                <w:sz w:val="20"/>
                <w:szCs w:val="20"/>
                <w:color w:val="auto"/>
              </w:rPr>
              <w:t>CNTA</w:t>
            </w:r>
          </w:p>
        </w:tc>
        <w:tc>
          <w:tcPr>
            <w:tcW w:w="760" w:type="dxa"/>
            <w:vAlign w:val="bottom"/>
            <w:tcBorders>
              <w:bottom w:val="single" w:sz="8" w:color="auto"/>
              <w:right w:val="single" w:sz="8" w:color="auto"/>
            </w:tcBorders>
          </w:tcPr>
          <w:p>
            <w:pPr>
              <w:spacing w:after="0"/>
              <w:rPr>
                <w:sz w:val="22"/>
                <w:szCs w:val="22"/>
                <w:color w:val="auto"/>
              </w:rPr>
            </w:pPr>
          </w:p>
        </w:tc>
        <w:tc>
          <w:tcPr>
            <w:tcW w:w="3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The Nasdaq Stock Market LLC</w:t>
            </w:r>
          </w:p>
        </w:tc>
        <w:tc>
          <w:tcPr>
            <w:tcW w:w="12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107950</wp:posOffset>
                </wp:positionH>
                <wp:positionV relativeFrom="paragraph">
                  <wp:posOffset>-1374775</wp:posOffset>
                </wp:positionV>
                <wp:extent cx="0" cy="1374775"/>
                <wp:wrapNone/>
                <wp:docPr id="2" name="Shape 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374775"/>
                        </a:xfrm>
                        <a:prstGeom prst="line">
                          <a:avLst/>
                        </a:prstGeom>
                        <a:solidFill>
                          <a:srgbClr val="FFFFFF"/>
                        </a:solidFill>
                        <a:ln w="0">
                          <a:solidFill>
                            <a:srgbClr val="000000"/>
                          </a:solidFill>
                          <a:miter lim="800000"/>
                          <a:headEnd/>
                          <a:tailEnd/>
                        </a:ln>
                      </wps:spPr>
                      <wps:bodyPr/>
                    </wps:wsp>
                  </a:graphicData>
                </a:graphic>
              </wp:anchor>
            </w:drawing>
          </mc:Choice>
          <mc:Fallback>
            <w:pict>
              <v:line id="Shape 2" o:spid="_x0000_s10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5pt,-108.2499pt" to="8.5pt,0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2203450</wp:posOffset>
                </wp:positionH>
                <wp:positionV relativeFrom="paragraph">
                  <wp:posOffset>-1374775</wp:posOffset>
                </wp:positionV>
                <wp:extent cx="0" cy="1374775"/>
                <wp:wrapNone/>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374775"/>
                        </a:xfrm>
                        <a:prstGeom prst="line">
                          <a:avLst/>
                        </a:prstGeom>
                        <a:solidFill>
                          <a:srgbClr val="FFFFFF"/>
                        </a:solidFill>
                        <a:ln w="0">
                          <a:solidFill>
                            <a:srgbClr val="000000"/>
                          </a:solidFill>
                          <a:miter lim="800000"/>
                          <a:headEnd/>
                          <a:tailEnd/>
                        </a:ln>
                      </wps:spPr>
                      <wps:bodyPr/>
                    </wps:wsp>
                  </a:graphicData>
                </a:graphic>
              </wp:anchor>
            </w:drawing>
          </mc:Choice>
          <mc:Fallback>
            <w:pict>
              <v:line id="Shape 3" o:spid="_x0000_s10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3.5pt,-108.2499pt" to="173.5pt,0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4298950</wp:posOffset>
                </wp:positionH>
                <wp:positionV relativeFrom="paragraph">
                  <wp:posOffset>-1374775</wp:posOffset>
                </wp:positionV>
                <wp:extent cx="0" cy="1374775"/>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374775"/>
                        </a:xfrm>
                        <a:prstGeom prst="line">
                          <a:avLst/>
                        </a:prstGeom>
                        <a:solidFill>
                          <a:srgbClr val="FFFFFF"/>
                        </a:solidFill>
                        <a:ln w="0">
                          <a:solidFill>
                            <a:srgbClr val="000000"/>
                          </a:solidFill>
                          <a:miter lim="800000"/>
                          <a:headEnd/>
                          <a:tailEnd/>
                        </a:ln>
                      </wps:spPr>
                      <wps:bodyPr/>
                    </wps:wsp>
                  </a:graphicData>
                </a:graphic>
              </wp:anchor>
            </w:drawing>
          </mc:Choice>
          <mc:Fallback>
            <w:pict>
              <v:line id="Shape 4" o:spid="_x0000_s10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8.5pt,-108.2499pt" to="338.5pt,0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6394450</wp:posOffset>
                </wp:positionH>
                <wp:positionV relativeFrom="paragraph">
                  <wp:posOffset>-1374775</wp:posOffset>
                </wp:positionV>
                <wp:extent cx="0" cy="1374775"/>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374775"/>
                        </a:xfrm>
                        <a:prstGeom prst="line">
                          <a:avLst/>
                        </a:prstGeom>
                        <a:solidFill>
                          <a:srgbClr val="FFFFFF"/>
                        </a:solidFill>
                        <a:ln w="0">
                          <a:solidFill>
                            <a:srgbClr val="000000"/>
                          </a:solidFill>
                          <a:miter lim="800000"/>
                          <a:headEnd/>
                          <a:tailEnd/>
                        </a:ln>
                      </wps:spPr>
                      <wps:bodyPr/>
                    </wps:wsp>
                  </a:graphicData>
                </a:graphic>
              </wp:anchor>
            </w:drawing>
          </mc:Choice>
          <mc:Fallback>
            <w:pict>
              <v:line id="Shape 5" o:spid="_x0000_s10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3.5pt,-108.2499pt" to="503.5pt,0pt" o:allowincell="f" strokecolor="#000000" strokeweight="0pt"/>
            </w:pict>
          </mc:Fallback>
        </mc:AlternateContent>
      </w:r>
    </w:p>
    <w:p>
      <w:pPr>
        <w:spacing w:after="0" w:line="8" w:lineRule="exact"/>
        <w:rPr>
          <w:sz w:val="24"/>
          <w:szCs w:val="24"/>
          <w:color w:val="auto"/>
        </w:rPr>
      </w:pPr>
    </w:p>
    <w:p>
      <w:pPr>
        <w:jc w:val="both"/>
        <w:ind w:left="180"/>
        <w:spacing w:after="0" w:line="281" w:lineRule="auto"/>
        <w:rPr>
          <w:sz w:val="20"/>
          <w:szCs w:val="20"/>
          <w:color w:val="auto"/>
        </w:rPr>
      </w:pPr>
      <w:r>
        <w:rPr>
          <w:rFonts w:ascii="Times New Roman" w:cs="Times New Roman" w:eastAsia="Times New Roman" w:hAnsi="Times New Roman"/>
          <w:sz w:val="20"/>
          <w:szCs w:val="20"/>
          <w:color w:val="auto"/>
        </w:rPr>
        <w:t>*Not for trading, but only in connection with the listing of the American Depositary Shares on The Nasdaq Stock Market, LLC.</w:t>
      </w:r>
    </w:p>
    <w:p>
      <w:pPr>
        <w:spacing w:after="0" w:line="181" w:lineRule="exact"/>
        <w:rPr>
          <w:sz w:val="24"/>
          <w:szCs w:val="24"/>
          <w:color w:val="auto"/>
        </w:rPr>
      </w:pPr>
    </w:p>
    <w:p>
      <w:pPr>
        <w:ind w:left="180"/>
        <w:spacing w:after="0"/>
        <w:rPr>
          <w:sz w:val="20"/>
          <w:szCs w:val="20"/>
          <w:color w:val="auto"/>
        </w:rPr>
      </w:pPr>
      <w:r>
        <w:rPr>
          <w:rFonts w:ascii="Times New Roman" w:cs="Times New Roman" w:eastAsia="Times New Roman" w:hAnsi="Times New Roman"/>
          <w:sz w:val="20"/>
          <w:szCs w:val="20"/>
          <w:color w:val="auto"/>
        </w:rPr>
        <w:t>Indicate by check mark whether the registrant is a well-known seasoned issuer, as defined in Rule 405 of the Securities</w:t>
      </w:r>
    </w:p>
    <w:p>
      <w:pPr>
        <w:spacing w:after="0" w:line="28" w:lineRule="exact"/>
        <w:rPr>
          <w:sz w:val="24"/>
          <w:szCs w:val="24"/>
          <w:color w:val="auto"/>
        </w:rPr>
      </w:pPr>
    </w:p>
    <w:p>
      <w:pPr>
        <w:ind w:left="180"/>
        <w:spacing w:after="0"/>
        <w:tabs>
          <w:tab w:leader="none" w:pos="7240" w:val="left"/>
          <w:tab w:leader="none" w:pos="8020" w:val="left"/>
          <w:tab w:leader="none" w:pos="8460" w:val="left"/>
        </w:tabs>
        <w:rPr>
          <w:sz w:val="20"/>
          <w:szCs w:val="20"/>
          <w:color w:val="auto"/>
        </w:rPr>
      </w:pPr>
      <w:r>
        <w:rPr>
          <w:rFonts w:ascii="Times New Roman" w:cs="Times New Roman" w:eastAsia="Times New Roman" w:hAnsi="Times New Roman"/>
          <w:sz w:val="20"/>
          <w:szCs w:val="20"/>
          <w:color w:val="auto"/>
        </w:rPr>
        <w:t>Act.</w:t>
      </w:r>
      <w:r>
        <w:rPr>
          <w:sz w:val="20"/>
          <w:szCs w:val="20"/>
          <w:color w:val="auto"/>
        </w:rPr>
        <w:tab/>
      </w:r>
      <w:r>
        <w:rPr>
          <w:rFonts w:ascii="Times New Roman" w:cs="Times New Roman" w:eastAsia="Times New Roman" w:hAnsi="Times New Roman"/>
          <w:sz w:val="20"/>
          <w:szCs w:val="20"/>
          <w:color w:val="auto"/>
        </w:rPr>
        <w:t xml:space="preserve">Yes </w:t>
      </w:r>
      <w:r>
        <w:rPr>
          <w:rFonts w:ascii="Wingdings" w:cs="Wingdings" w:eastAsia="Wingdings" w:hAnsi="Wingdings"/>
          <w:sz w:val="20"/>
          <w:szCs w:val="20"/>
          <w:b w:val="1"/>
          <w:bCs w:val="1"/>
          <w:color w:val="auto"/>
        </w:rPr>
        <w:t>x</w:t>
      </w:r>
      <w:r>
        <w:rPr>
          <w:rFonts w:ascii="Times New Roman" w:cs="Times New Roman" w:eastAsia="Times New Roman" w:hAnsi="Times New Roman"/>
          <w:sz w:val="20"/>
          <w:szCs w:val="20"/>
          <w:color w:val="auto"/>
        </w:rPr>
        <w:tab/>
        <w:t>No</w:t>
      </w:r>
      <w:r>
        <w:rPr>
          <w:sz w:val="20"/>
          <w:szCs w:val="20"/>
          <w:color w:val="auto"/>
        </w:rPr>
        <w:tab/>
      </w:r>
      <w:r>
        <w:rPr>
          <w:rFonts w:ascii="Wingdings" w:cs="Wingdings" w:eastAsia="Wingdings" w:hAnsi="Wingdings"/>
          <w:sz w:val="20"/>
          <w:szCs w:val="20"/>
          <w:b w:val="1"/>
          <w:bCs w:val="1"/>
          <w:color w:val="auto"/>
        </w:rPr>
        <w:t>o</w:t>
      </w:r>
    </w:p>
    <w:p>
      <w:pPr>
        <w:spacing w:after="0" w:line="110" w:lineRule="exact"/>
        <w:rPr>
          <w:sz w:val="24"/>
          <w:szCs w:val="24"/>
          <w:color w:val="auto"/>
        </w:rPr>
      </w:pPr>
    </w:p>
    <w:p>
      <w:pPr>
        <w:ind w:left="180"/>
        <w:spacing w:after="0"/>
        <w:rPr>
          <w:sz w:val="20"/>
          <w:szCs w:val="20"/>
          <w:color w:val="auto"/>
        </w:rPr>
      </w:pPr>
      <w:r>
        <w:rPr>
          <w:rFonts w:ascii="Times New Roman" w:cs="Times New Roman" w:eastAsia="Times New Roman" w:hAnsi="Times New Roman"/>
          <w:sz w:val="20"/>
          <w:szCs w:val="20"/>
          <w:color w:val="auto"/>
        </w:rPr>
        <w:t>Indicate by check mark whether the registrant is not required to file reports pursuant to Section 13 or Section 15(d) of the</w:t>
      </w:r>
    </w:p>
    <w:p>
      <w:pPr>
        <w:spacing w:after="0" w:line="28" w:lineRule="exact"/>
        <w:rPr>
          <w:sz w:val="24"/>
          <w:szCs w:val="24"/>
          <w:color w:val="auto"/>
        </w:rPr>
      </w:pPr>
    </w:p>
    <w:p>
      <w:pPr>
        <w:ind w:left="180"/>
        <w:spacing w:after="0"/>
        <w:tabs>
          <w:tab w:leader="none" w:pos="7240" w:val="left"/>
          <w:tab w:leader="none" w:pos="7980" w:val="left"/>
          <w:tab w:leader="none" w:pos="8420" w:val="left"/>
        </w:tabs>
        <w:rPr>
          <w:sz w:val="20"/>
          <w:szCs w:val="20"/>
          <w:color w:val="auto"/>
        </w:rPr>
      </w:pPr>
      <w:r>
        <w:rPr>
          <w:rFonts w:ascii="Times New Roman" w:cs="Times New Roman" w:eastAsia="Times New Roman" w:hAnsi="Times New Roman"/>
          <w:sz w:val="20"/>
          <w:szCs w:val="20"/>
          <w:color w:val="auto"/>
        </w:rPr>
        <w:t>Act.</w:t>
      </w:r>
      <w:r>
        <w:rPr>
          <w:sz w:val="20"/>
          <w:szCs w:val="20"/>
          <w:color w:val="auto"/>
        </w:rPr>
        <w:tab/>
      </w:r>
      <w:r>
        <w:rPr>
          <w:rFonts w:ascii="Times New Roman" w:cs="Times New Roman" w:eastAsia="Times New Roman" w:hAnsi="Times New Roman"/>
          <w:sz w:val="20"/>
          <w:szCs w:val="20"/>
          <w:color w:val="auto"/>
        </w:rPr>
        <w:t xml:space="preserve">Yes </w:t>
      </w:r>
      <w:r>
        <w:rPr>
          <w:rFonts w:ascii="Wingdings" w:cs="Wingdings" w:eastAsia="Wingdings" w:hAnsi="Wingdings"/>
          <w:sz w:val="20"/>
          <w:szCs w:val="20"/>
          <w:b w:val="1"/>
          <w:bCs w:val="1"/>
          <w:color w:val="auto"/>
        </w:rPr>
        <w:t>o</w:t>
      </w:r>
      <w:r>
        <w:rPr>
          <w:rFonts w:ascii="Times New Roman" w:cs="Times New Roman" w:eastAsia="Times New Roman" w:hAnsi="Times New Roman"/>
          <w:sz w:val="20"/>
          <w:szCs w:val="20"/>
          <w:color w:val="auto"/>
        </w:rPr>
        <w:tab/>
        <w:t>No</w:t>
      </w:r>
      <w:r>
        <w:rPr>
          <w:sz w:val="20"/>
          <w:szCs w:val="20"/>
          <w:color w:val="auto"/>
        </w:rPr>
        <w:tab/>
      </w:r>
      <w:r>
        <w:rPr>
          <w:rFonts w:ascii="Wingdings" w:cs="Wingdings" w:eastAsia="Wingdings" w:hAnsi="Wingdings"/>
          <w:sz w:val="20"/>
          <w:szCs w:val="20"/>
          <w:b w:val="1"/>
          <w:bCs w:val="1"/>
          <w:color w:val="auto"/>
        </w:rPr>
        <w:t>x</w:t>
      </w:r>
    </w:p>
    <w:p>
      <w:pPr>
        <w:sectPr>
          <w:pgSz w:w="12240" w:h="15840" w:orient="portrait"/>
          <w:cols w:equalWidth="0" w:num="1">
            <w:col w:w="10080"/>
          </w:cols>
          <w:pgMar w:left="1000" w:top="208" w:right="1160" w:bottom="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20"/>
          <w:szCs w:val="20"/>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20"/>
          <w:szCs w:val="20"/>
          <w:b w:val="1"/>
          <w:bCs w:val="1"/>
          <w:color w:val="auto"/>
        </w:rPr>
        <w:t>x</w:t>
      </w:r>
      <w:r>
        <w:rPr>
          <w:rFonts w:ascii="Times New Roman" w:cs="Times New Roman" w:eastAsia="Times New Roman" w:hAnsi="Times New Roman"/>
          <w:sz w:val="20"/>
          <w:szCs w:val="20"/>
          <w:color w:val="auto"/>
        </w:rPr>
        <w:t xml:space="preserve"> No </w:t>
      </w:r>
      <w:r>
        <w:rPr>
          <w:rFonts w:ascii="Wingdings" w:cs="Wingdings" w:eastAsia="Wingdings" w:hAnsi="Wingdings"/>
          <w:sz w:val="20"/>
          <w:szCs w:val="20"/>
          <w:b w:val="1"/>
          <w:bCs w:val="1"/>
          <w:color w:val="auto"/>
        </w:rPr>
        <w:t>o</w:t>
      </w:r>
    </w:p>
    <w:p>
      <w:pPr>
        <w:spacing w:after="0" w:line="92"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20"/>
          <w:szCs w:val="20"/>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20"/>
          <w:szCs w:val="20"/>
          <w:b w:val="1"/>
          <w:bCs w:val="1"/>
          <w:color w:val="auto"/>
        </w:rPr>
        <w:t>x</w:t>
      </w:r>
      <w:r>
        <w:rPr>
          <w:rFonts w:ascii="Times New Roman" w:cs="Times New Roman" w:eastAsia="Times New Roman" w:hAnsi="Times New Roman"/>
          <w:sz w:val="20"/>
          <w:szCs w:val="20"/>
          <w:color w:val="auto"/>
        </w:rPr>
        <w:t xml:space="preserve"> No </w:t>
      </w:r>
      <w:r>
        <w:rPr>
          <w:rFonts w:ascii="Wingdings" w:cs="Wingdings" w:eastAsia="Wingdings" w:hAnsi="Wingdings"/>
          <w:sz w:val="20"/>
          <w:szCs w:val="20"/>
          <w:b w:val="1"/>
          <w:bCs w:val="1"/>
          <w:color w:val="auto"/>
        </w:rPr>
        <w:t>o</w:t>
      </w:r>
    </w:p>
    <w:p>
      <w:pPr>
        <w:spacing w:after="0" w:line="9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283"/>
        </w:trPr>
        <w:tc>
          <w:tcPr>
            <w:tcW w:w="3200" w:type="dxa"/>
            <w:vAlign w:val="bottom"/>
          </w:tcPr>
          <w:p>
            <w:pPr>
              <w:spacing w:after="0"/>
              <w:rPr>
                <w:sz w:val="20"/>
                <w:szCs w:val="20"/>
                <w:color w:val="auto"/>
              </w:rPr>
            </w:pPr>
            <w:r>
              <w:rPr>
                <w:rFonts w:ascii="Times New Roman" w:cs="Times New Roman" w:eastAsia="Times New Roman" w:hAnsi="Times New Roman"/>
                <w:sz w:val="20"/>
                <w:szCs w:val="20"/>
                <w:color w:val="auto"/>
              </w:rPr>
              <w:t>Large accelerated filer</w:t>
            </w:r>
          </w:p>
        </w:tc>
        <w:tc>
          <w:tcPr>
            <w:tcW w:w="1660" w:type="dxa"/>
            <w:vAlign w:val="bottom"/>
          </w:tcPr>
          <w:p>
            <w:pPr>
              <w:ind w:left="1400"/>
              <w:spacing w:after="0"/>
              <w:rPr>
                <w:sz w:val="20"/>
                <w:szCs w:val="20"/>
                <w:color w:val="auto"/>
              </w:rPr>
            </w:pPr>
            <w:r>
              <w:rPr>
                <w:rFonts w:ascii="Wingdings" w:cs="Wingdings" w:eastAsia="Wingdings" w:hAnsi="Wingdings"/>
                <w:sz w:val="20"/>
                <w:szCs w:val="20"/>
                <w:b w:val="1"/>
                <w:bCs w:val="1"/>
                <w:color w:val="auto"/>
              </w:rPr>
              <w:t>o</w:t>
            </w:r>
          </w:p>
        </w:tc>
        <w:tc>
          <w:tcPr>
            <w:tcW w:w="3480" w:type="dxa"/>
            <w:vAlign w:val="bottom"/>
          </w:tcPr>
          <w:p>
            <w:pPr>
              <w:jc w:val="right"/>
              <w:ind w:right="1960"/>
              <w:spacing w:after="0"/>
              <w:rPr>
                <w:sz w:val="20"/>
                <w:szCs w:val="20"/>
                <w:color w:val="auto"/>
              </w:rPr>
            </w:pPr>
            <w:r>
              <w:rPr>
                <w:rFonts w:ascii="Times New Roman" w:cs="Times New Roman" w:eastAsia="Times New Roman" w:hAnsi="Times New Roman"/>
                <w:sz w:val="20"/>
                <w:szCs w:val="20"/>
                <w:color w:val="auto"/>
              </w:rPr>
              <w:t>Accelerated filer</w:t>
            </w:r>
          </w:p>
        </w:tc>
        <w:tc>
          <w:tcPr>
            <w:tcW w:w="1420" w:type="dxa"/>
            <w:vAlign w:val="bottom"/>
          </w:tcPr>
          <w:p>
            <w:pPr>
              <w:ind w:left="1220"/>
              <w:spacing w:after="0"/>
              <w:rPr>
                <w:sz w:val="20"/>
                <w:szCs w:val="20"/>
                <w:color w:val="auto"/>
              </w:rPr>
            </w:pPr>
            <w:r>
              <w:rPr>
                <w:rFonts w:ascii="Wingdings" w:cs="Wingdings" w:eastAsia="Wingdings" w:hAnsi="Wingdings"/>
                <w:sz w:val="20"/>
                <w:szCs w:val="20"/>
                <w:b w:val="1"/>
                <w:bCs w:val="1"/>
                <w:color w:val="auto"/>
              </w:rPr>
              <w:t>o</w:t>
            </w:r>
          </w:p>
        </w:tc>
      </w:tr>
      <w:tr>
        <w:trPr>
          <w:trHeight w:val="287"/>
        </w:trPr>
        <w:tc>
          <w:tcPr>
            <w:tcW w:w="3200" w:type="dxa"/>
            <w:vAlign w:val="bottom"/>
          </w:tcPr>
          <w:p>
            <w:pPr>
              <w:spacing w:after="0"/>
              <w:rPr>
                <w:sz w:val="20"/>
                <w:szCs w:val="20"/>
                <w:color w:val="auto"/>
              </w:rPr>
            </w:pPr>
            <w:r>
              <w:rPr>
                <w:rFonts w:ascii="Times New Roman" w:cs="Times New Roman" w:eastAsia="Times New Roman" w:hAnsi="Times New Roman"/>
                <w:sz w:val="20"/>
                <w:szCs w:val="20"/>
                <w:color w:val="auto"/>
              </w:rPr>
              <w:t>Non-accelerated filer</w:t>
            </w:r>
          </w:p>
        </w:tc>
        <w:tc>
          <w:tcPr>
            <w:tcW w:w="5140" w:type="dxa"/>
            <w:vAlign w:val="bottom"/>
            <w:gridSpan w:val="2"/>
          </w:tcPr>
          <w:p>
            <w:pPr>
              <w:jc w:val="right"/>
              <w:ind w:right="1100"/>
              <w:spacing w:after="0" w:line="287" w:lineRule="exact"/>
              <w:rPr>
                <w:sz w:val="20"/>
                <w:szCs w:val="20"/>
                <w:color w:val="auto"/>
              </w:rPr>
            </w:pPr>
            <w:r>
              <w:rPr>
                <w:rFonts w:ascii="Wingdings" w:cs="Wingdings" w:eastAsia="Wingdings" w:hAnsi="Wingdings"/>
                <w:sz w:val="33"/>
                <w:szCs w:val="33"/>
                <w:b w:val="1"/>
                <w:bCs w:val="1"/>
                <w:color w:val="auto"/>
                <w:vertAlign w:val="subscript"/>
              </w:rPr>
              <w:t>x</w:t>
            </w:r>
            <w:r>
              <w:rPr>
                <w:rFonts w:ascii="Times New Roman" w:cs="Times New Roman" w:eastAsia="Times New Roman" w:hAnsi="Times New Roman"/>
                <w:sz w:val="18"/>
                <w:szCs w:val="18"/>
                <w:color w:val="auto"/>
              </w:rPr>
              <w:t xml:space="preserve"> Smaller reporting company</w:t>
            </w:r>
          </w:p>
        </w:tc>
        <w:tc>
          <w:tcPr>
            <w:tcW w:w="1420" w:type="dxa"/>
            <w:vAlign w:val="bottom"/>
          </w:tcPr>
          <w:p>
            <w:pPr>
              <w:ind w:left="1200"/>
              <w:spacing w:after="0"/>
              <w:rPr>
                <w:sz w:val="20"/>
                <w:szCs w:val="20"/>
                <w:color w:val="auto"/>
              </w:rPr>
            </w:pPr>
            <w:r>
              <w:rPr>
                <w:rFonts w:ascii="Wingdings" w:cs="Wingdings" w:eastAsia="Wingdings" w:hAnsi="Wingdings"/>
                <w:sz w:val="20"/>
                <w:szCs w:val="20"/>
                <w:b w:val="1"/>
                <w:bCs w:val="1"/>
                <w:color w:val="auto"/>
                <w:w w:val="94"/>
              </w:rPr>
              <w:t>x</w:t>
            </w:r>
          </w:p>
        </w:tc>
      </w:tr>
      <w:tr>
        <w:trPr>
          <w:trHeight w:val="283"/>
        </w:trPr>
        <w:tc>
          <w:tcPr>
            <w:tcW w:w="32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480" w:type="dxa"/>
            <w:vAlign w:val="bottom"/>
          </w:tcPr>
          <w:p>
            <w:pPr>
              <w:jc w:val="right"/>
              <w:ind w:right="1100"/>
              <w:spacing w:after="0"/>
              <w:rPr>
                <w:sz w:val="20"/>
                <w:szCs w:val="20"/>
                <w:color w:val="auto"/>
              </w:rPr>
            </w:pPr>
            <w:r>
              <w:rPr>
                <w:rFonts w:ascii="Times New Roman" w:cs="Times New Roman" w:eastAsia="Times New Roman" w:hAnsi="Times New Roman"/>
                <w:sz w:val="20"/>
                <w:szCs w:val="20"/>
                <w:color w:val="auto"/>
              </w:rPr>
              <w:t>Emerging growth company</w:t>
            </w:r>
          </w:p>
        </w:tc>
        <w:tc>
          <w:tcPr>
            <w:tcW w:w="1420" w:type="dxa"/>
            <w:vAlign w:val="bottom"/>
          </w:tcPr>
          <w:p>
            <w:pPr>
              <w:ind w:left="1200"/>
              <w:spacing w:after="0"/>
              <w:rPr>
                <w:sz w:val="20"/>
                <w:szCs w:val="20"/>
                <w:color w:val="auto"/>
              </w:rPr>
            </w:pPr>
            <w:r>
              <w:rPr>
                <w:rFonts w:ascii="Wingdings" w:cs="Wingdings" w:eastAsia="Wingdings" w:hAnsi="Wingdings"/>
                <w:sz w:val="20"/>
                <w:szCs w:val="20"/>
                <w:b w:val="1"/>
                <w:bCs w:val="1"/>
                <w:color w:val="auto"/>
                <w:w w:val="94"/>
              </w:rPr>
              <w:t>x</w:t>
            </w:r>
          </w:p>
        </w:tc>
      </w:tr>
    </w:tbl>
    <w:p>
      <w:pPr>
        <w:spacing w:after="0" w:line="18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20"/>
          <w:szCs w:val="20"/>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Wingdings" w:cs="Wingdings" w:eastAsia="Wingdings" w:hAnsi="Wingdings"/>
          <w:sz w:val="20"/>
          <w:szCs w:val="20"/>
          <w:b w:val="1"/>
          <w:bCs w:val="1"/>
          <w:color w:val="auto"/>
        </w:rPr>
        <w:t>o</w:t>
      </w:r>
    </w:p>
    <w:p>
      <w:pPr>
        <w:spacing w:after="0" w:line="9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Indicate by check mark whether the registrant has filed a report on and attestation to its management’s assessment of the effectiveness of its internal control over financial reporting under Section 404(b) of the Sarbanes-Oxley Act (15 U.S.C.</w:t>
      </w:r>
    </w:p>
    <w:p>
      <w:pPr>
        <w:spacing w:after="0" w:line="2" w:lineRule="exact"/>
        <w:rPr>
          <w:sz w:val="20"/>
          <w:szCs w:val="20"/>
          <w:color w:val="auto"/>
        </w:rPr>
      </w:pPr>
    </w:p>
    <w:p>
      <w:pPr>
        <w:spacing w:after="0"/>
        <w:tabs>
          <w:tab w:leader="none" w:pos="9160" w:val="left"/>
        </w:tabs>
        <w:rPr>
          <w:sz w:val="20"/>
          <w:szCs w:val="20"/>
          <w:color w:val="auto"/>
        </w:rPr>
      </w:pPr>
      <w:r>
        <w:rPr>
          <w:rFonts w:ascii="Times New Roman" w:cs="Times New Roman" w:eastAsia="Times New Roman" w:hAnsi="Times New Roman"/>
          <w:sz w:val="20"/>
          <w:szCs w:val="20"/>
          <w:color w:val="auto"/>
        </w:rPr>
        <w:t>7262(b)) by the registered public accounting firm that prepared or issued its audit report.</w:t>
      </w:r>
      <w:r>
        <w:rPr>
          <w:sz w:val="20"/>
          <w:szCs w:val="20"/>
          <w:color w:val="auto"/>
        </w:rPr>
        <w:tab/>
      </w:r>
      <w:r>
        <w:rPr>
          <w:rFonts w:ascii="Wingdings" w:cs="Wingdings" w:eastAsia="Wingdings" w:hAnsi="Wingdings"/>
          <w:sz w:val="17"/>
          <w:szCs w:val="17"/>
          <w:b w:val="1"/>
          <w:bCs w:val="1"/>
          <w:color w:val="auto"/>
        </w:rPr>
        <w:t>o</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If securities are registered pursuant to Section 12(b) of the Act, indicate by check mark whether the financial statements of</w:t>
      </w:r>
    </w:p>
    <w:p>
      <w:pPr>
        <w:spacing w:after="0" w:line="30" w:lineRule="exact"/>
        <w:rPr>
          <w:sz w:val="20"/>
          <w:szCs w:val="20"/>
          <w:color w:val="auto"/>
        </w:rPr>
      </w:pPr>
    </w:p>
    <w:p>
      <w:pPr>
        <w:spacing w:after="0"/>
        <w:tabs>
          <w:tab w:leader="none" w:pos="9440" w:val="left"/>
        </w:tabs>
        <w:rPr>
          <w:sz w:val="20"/>
          <w:szCs w:val="20"/>
          <w:color w:val="auto"/>
        </w:rPr>
      </w:pPr>
      <w:r>
        <w:rPr>
          <w:rFonts w:ascii="Times New Roman" w:cs="Times New Roman" w:eastAsia="Times New Roman" w:hAnsi="Times New Roman"/>
          <w:sz w:val="20"/>
          <w:szCs w:val="20"/>
          <w:color w:val="auto"/>
        </w:rPr>
        <w:t>the registrant included in the filing reflect the correction of an error to previously issued financial statements.</w:t>
      </w:r>
      <w:r>
        <w:rPr>
          <w:sz w:val="20"/>
          <w:szCs w:val="20"/>
          <w:color w:val="auto"/>
        </w:rPr>
        <w:tab/>
      </w:r>
      <w:r>
        <w:rPr>
          <w:rFonts w:ascii="Wingdings" w:cs="Wingdings" w:eastAsia="Wingdings" w:hAnsi="Wingdings"/>
          <w:sz w:val="20"/>
          <w:szCs w:val="20"/>
          <w:b w:val="1"/>
          <w:bCs w:val="1"/>
          <w:color w:val="auto"/>
        </w:rPr>
        <w:t>o</w:t>
      </w:r>
    </w:p>
    <w:p>
      <w:pPr>
        <w:spacing w:after="0" w:line="110"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Indicate by check mark whether any of those error corrections are restatements that required a recovery analysis of incentive-based compensation received by any of the registrant’s executive officers during the relevant recovery period</w:t>
      </w:r>
    </w:p>
    <w:p>
      <w:pPr>
        <w:spacing w:after="0" w:line="2" w:lineRule="exact"/>
        <w:rPr>
          <w:sz w:val="20"/>
          <w:szCs w:val="20"/>
          <w:color w:val="auto"/>
        </w:rPr>
      </w:pPr>
    </w:p>
    <w:p>
      <w:pPr>
        <w:spacing w:after="0"/>
        <w:tabs>
          <w:tab w:leader="none" w:pos="8400" w:val="left"/>
        </w:tabs>
        <w:rPr>
          <w:sz w:val="20"/>
          <w:szCs w:val="20"/>
          <w:color w:val="auto"/>
        </w:rPr>
      </w:pPr>
      <w:r>
        <w:rPr>
          <w:rFonts w:ascii="Times New Roman" w:cs="Times New Roman" w:eastAsia="Times New Roman" w:hAnsi="Times New Roman"/>
          <w:sz w:val="20"/>
          <w:szCs w:val="20"/>
          <w:color w:val="auto"/>
        </w:rPr>
        <w:t>pursuant to §240.10D-1(b).</w:t>
      </w:r>
      <w:r>
        <w:rPr>
          <w:sz w:val="20"/>
          <w:szCs w:val="20"/>
          <w:color w:val="auto"/>
        </w:rPr>
        <w:tab/>
      </w:r>
      <w:r>
        <w:rPr>
          <w:rFonts w:ascii="Wingdings" w:cs="Wingdings" w:eastAsia="Wingdings" w:hAnsi="Wingdings"/>
          <w:sz w:val="20"/>
          <w:szCs w:val="20"/>
          <w:b w:val="1"/>
          <w:bCs w:val="1"/>
          <w:color w:val="auto"/>
        </w:rPr>
        <w:t>o</w:t>
      </w:r>
    </w:p>
    <w:p>
      <w:pPr>
        <w:spacing w:after="0" w:line="165" w:lineRule="exact"/>
        <w:rPr>
          <w:sz w:val="20"/>
          <w:szCs w:val="20"/>
          <w:color w:val="auto"/>
        </w:rPr>
      </w:pPr>
    </w:p>
    <w:p>
      <w:pPr>
        <w:spacing w:after="0"/>
        <w:tabs>
          <w:tab w:leader="none" w:pos="9000" w:val="left"/>
        </w:tabs>
        <w:rPr>
          <w:sz w:val="20"/>
          <w:szCs w:val="20"/>
          <w:color w:val="auto"/>
        </w:rPr>
      </w:pPr>
      <w:r>
        <w:rPr>
          <w:rFonts w:ascii="Times New Roman" w:cs="Times New Roman" w:eastAsia="Times New Roman" w:hAnsi="Times New Roman"/>
          <w:sz w:val="20"/>
          <w:szCs w:val="20"/>
          <w:color w:val="auto"/>
        </w:rPr>
        <w:t xml:space="preserve">Indicate by check mark whether the registrant is a shell company (as defined in Rule 12b-2 of the Act). Yes </w:t>
      </w:r>
      <w:r>
        <w:rPr>
          <w:rFonts w:ascii="Wingdings" w:cs="Wingdings" w:eastAsia="Wingdings" w:hAnsi="Wingdings"/>
          <w:sz w:val="20"/>
          <w:szCs w:val="20"/>
          <w:b w:val="1"/>
          <w:bCs w:val="1"/>
          <w:color w:val="auto"/>
        </w:rPr>
        <w:t>o</w:t>
      </w:r>
      <w:r>
        <w:rPr>
          <w:sz w:val="20"/>
          <w:szCs w:val="20"/>
          <w:color w:val="auto"/>
        </w:rPr>
        <w:tab/>
      </w:r>
      <w:r>
        <w:rPr>
          <w:rFonts w:ascii="Times New Roman" w:cs="Times New Roman" w:eastAsia="Times New Roman" w:hAnsi="Times New Roman"/>
          <w:sz w:val="19"/>
          <w:szCs w:val="19"/>
          <w:color w:val="auto"/>
        </w:rPr>
        <w:t xml:space="preserve">No </w:t>
      </w:r>
      <w:r>
        <w:rPr>
          <w:rFonts w:ascii="Wingdings" w:cs="Wingdings" w:eastAsia="Wingdings" w:hAnsi="Wingdings"/>
          <w:sz w:val="19"/>
          <w:szCs w:val="19"/>
          <w:b w:val="1"/>
          <w:bCs w:val="1"/>
          <w:color w:val="auto"/>
        </w:rPr>
        <w:t>x</w:t>
      </w:r>
    </w:p>
    <w:p>
      <w:pPr>
        <w:spacing w:after="0" w:line="15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As of June 30, 2025, the aggregate market value of the voting and non-voting common equity held by non-affiliates of the Registrant, based on the last reported sales price of the Registrant’s ordinary shares, nominal value £0.002 per share, on The Nasdaq Global Select Market on such date, was approximately $1,227,567,000.</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registrant had outstanding 154,568,531 ordinary shares as of March 17, 2026.</w:t>
      </w:r>
    </w:p>
    <w:p>
      <w:pPr>
        <w:spacing w:after="0" w:line="170"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20"/>
          <w:szCs w:val="20"/>
          <w:color w:val="auto"/>
        </w:rPr>
        <w:t>DOCUMENTS INCORPORATED BY REFERENCE</w:t>
      </w:r>
    </w:p>
    <w:p>
      <w:pPr>
        <w:spacing w:after="0" w:line="250" w:lineRule="exact"/>
        <w:rPr>
          <w:sz w:val="20"/>
          <w:szCs w:val="20"/>
          <w:color w:val="auto"/>
        </w:rPr>
      </w:pPr>
    </w:p>
    <w:p>
      <w:pPr>
        <w:jc w:val="both"/>
        <w:ind w:right="220"/>
        <w:spacing w:after="0" w:line="260" w:lineRule="auto"/>
        <w:rPr>
          <w:sz w:val="20"/>
          <w:szCs w:val="20"/>
          <w:color w:val="auto"/>
        </w:rPr>
      </w:pPr>
      <w:r>
        <w:rPr>
          <w:rFonts w:ascii="Times New Roman" w:cs="Times New Roman" w:eastAsia="Times New Roman" w:hAnsi="Times New Roman"/>
          <w:sz w:val="20"/>
          <w:szCs w:val="20"/>
          <w:color w:val="auto"/>
        </w:rPr>
        <w:t>Certain portions of the information required to be furnished pursuant to Part III of this Annual Report on Form 10-K will be set forth in, and incorporated by reference from, the Registrant’s definitive proxy statement for the annual meeting of stockholders or an amendment to this Annual Report on Form 10-K which will be filed with the Securities and Exchange Commission no later than 120 days after the end of the fiscal year ended December 31, 2025.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Auditor Firm Id: 185</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Auditor Name: KPMG LLP</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Auditor Location: Boston, Massachusetts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133985</wp:posOffset>
            </wp:positionV>
            <wp:extent cx="6337300" cy="762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extLst>
                    </a:blip>
                    <a:srcRect/>
                    <a:stretch>
                      <a:fillRect/>
                    </a:stretch>
                  </pic:blipFill>
                  <pic:spPr bwMode="auto">
                    <a:xfrm>
                      <a:off x="0" y="0"/>
                      <a:ext cx="6337300" cy="76200"/>
                    </a:xfrm>
                    <a:prstGeom prst="rect">
                      <a:avLst/>
                    </a:prstGeom>
                    <a:noFill/>
                  </pic:spPr>
                </pic:pic>
              </a:graphicData>
            </a:graphic>
          </wp:anchor>
        </w:drawing>
      </w:r>
    </w:p>
    <w:p>
      <w:pPr>
        <w:sectPr>
          <w:pgSz w:w="12240" w:h="15840" w:orient="portrait"/>
          <w:cols w:equalWidth="0" w:num="1">
            <w:col w:w="9900"/>
          </w:cols>
          <w:pgMar w:left="1180" w:top="20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2240" w:h="15840" w:orient="portrait"/>
          <w:cols w:equalWidth="0" w:num="1">
            <w:col w:w="9900"/>
          </w:cols>
          <w:pgMar w:left="1180" w:top="208" w:right="1160"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Summary of the Material Risks Associated with Our Business</w:t>
      </w:r>
    </w:p>
    <w:p>
      <w:pPr>
        <w:spacing w:after="0" w:line="7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9"/>
          <w:szCs w:val="19"/>
          <w:color w:val="auto"/>
        </w:rPr>
        <w:t>Our business is subject to numerous risks and uncertainties that you should be aware of in evaluating our business.</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These risks are described more fully in Item 1A - Risk Factors, and include, but are not limited to, the following:</w:t>
      </w:r>
    </w:p>
    <w:p>
      <w:pPr>
        <w:spacing w:after="0" w:line="18" w:lineRule="exact"/>
        <w:rPr>
          <w:sz w:val="20"/>
          <w:szCs w:val="20"/>
          <w:color w:val="auto"/>
        </w:rPr>
      </w:pPr>
    </w:p>
    <w:p>
      <w:pPr>
        <w:ind w:left="1080" w:right="360" w:hanging="460"/>
        <w:spacing w:after="0" w:line="250" w:lineRule="auto"/>
        <w:tabs>
          <w:tab w:leader="none" w:pos="1080" w:val="left"/>
        </w:tabs>
        <w:numPr>
          <w:ilvl w:val="0"/>
          <w:numId w:val="3"/>
        </w:numPr>
        <w:rPr>
          <w:rFonts w:ascii="Times New Roman" w:cs="Times New Roman" w:eastAsia="Times New Roman" w:hAnsi="Times New Roman"/>
          <w:sz w:val="24"/>
          <w:szCs w:val="24"/>
          <w:color w:val="auto"/>
        </w:rPr>
      </w:pPr>
      <w:r>
        <w:rPr>
          <w:rFonts w:ascii="Times New Roman" w:cs="Times New Roman" w:eastAsia="Times New Roman" w:hAnsi="Times New Roman"/>
          <w:sz w:val="20"/>
          <w:szCs w:val="20"/>
          <w:color w:val="auto"/>
        </w:rPr>
        <w:t>the Transaction Agreement we entered into on March 31, 2026 with Eli Lilly and Company and LDH XV Corporation, and the risks and uncertainties and potential impacts and timing relating thereto;</w:t>
      </w:r>
    </w:p>
    <w:p>
      <w:pPr>
        <w:spacing w:after="0" w:line="1" w:lineRule="exact"/>
        <w:rPr>
          <w:rFonts w:ascii="Times New Roman" w:cs="Times New Roman" w:eastAsia="Times New Roman" w:hAnsi="Times New Roman"/>
          <w:sz w:val="24"/>
          <w:szCs w:val="24"/>
          <w:color w:val="auto"/>
        </w:rPr>
      </w:pPr>
    </w:p>
    <w:p>
      <w:pPr>
        <w:ind w:left="1080" w:hanging="460"/>
        <w:spacing w:after="0"/>
        <w:tabs>
          <w:tab w:leader="none" w:pos="108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not be successful in our efforts to build a pipeline of product candidates with commercial value.</w:t>
      </w:r>
    </w:p>
    <w:p>
      <w:pPr>
        <w:spacing w:after="0" w:line="50" w:lineRule="exact"/>
        <w:rPr>
          <w:rFonts w:ascii="Times New Roman" w:cs="Times New Roman" w:eastAsia="Times New Roman" w:hAnsi="Times New Roman"/>
          <w:sz w:val="20"/>
          <w:szCs w:val="20"/>
          <w:color w:val="auto"/>
        </w:rPr>
      </w:pPr>
    </w:p>
    <w:p>
      <w:pPr>
        <w:ind w:left="1080" w:hanging="460"/>
        <w:spacing w:after="0" w:line="281" w:lineRule="auto"/>
        <w:tabs>
          <w:tab w:leader="none" w:pos="108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single or limited number of programs, developmental assets or product candidates may comprise a large proportion of our value.</w:t>
      </w:r>
    </w:p>
    <w:p>
      <w:pPr>
        <w:spacing w:after="0" w:line="1" w:lineRule="exact"/>
        <w:rPr>
          <w:rFonts w:ascii="Times New Roman" w:cs="Times New Roman" w:eastAsia="Times New Roman" w:hAnsi="Times New Roman"/>
          <w:sz w:val="20"/>
          <w:szCs w:val="20"/>
          <w:color w:val="auto"/>
        </w:rPr>
      </w:pPr>
    </w:p>
    <w:p>
      <w:pPr>
        <w:ind w:left="1080" w:right="220" w:hanging="460"/>
        <w:spacing w:after="0" w:line="281" w:lineRule="auto"/>
        <w:tabs>
          <w:tab w:leader="none" w:pos="108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face challenges, risks and expenses related to our operations as well as the management of the expected growth in the scale and complexity of our operations.</w:t>
      </w:r>
    </w:p>
    <w:p>
      <w:pPr>
        <w:spacing w:after="0" w:line="1" w:lineRule="exact"/>
        <w:rPr>
          <w:rFonts w:ascii="Times New Roman" w:cs="Times New Roman" w:eastAsia="Times New Roman" w:hAnsi="Times New Roman"/>
          <w:sz w:val="20"/>
          <w:szCs w:val="20"/>
          <w:color w:val="auto"/>
        </w:rPr>
      </w:pPr>
    </w:p>
    <w:p>
      <w:pPr>
        <w:ind w:left="1080" w:right="400" w:hanging="460"/>
        <w:spacing w:after="0" w:line="281" w:lineRule="auto"/>
        <w:tabs>
          <w:tab w:leader="none" w:pos="108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have incurred net losses since inception, and we expect to continue to incur losses for the foreseeable future and may never achieve or maintain profitability.</w:t>
      </w:r>
    </w:p>
    <w:p>
      <w:pPr>
        <w:spacing w:after="0" w:line="1" w:lineRule="exact"/>
        <w:rPr>
          <w:rFonts w:ascii="Times New Roman" w:cs="Times New Roman" w:eastAsia="Times New Roman" w:hAnsi="Times New Roman"/>
          <w:sz w:val="20"/>
          <w:szCs w:val="20"/>
          <w:color w:val="auto"/>
        </w:rPr>
      </w:pPr>
    </w:p>
    <w:p>
      <w:pPr>
        <w:jc w:val="both"/>
        <w:ind w:left="1080" w:right="140" w:hanging="460"/>
        <w:spacing w:after="0" w:line="266" w:lineRule="auto"/>
        <w:tabs>
          <w:tab w:leader="none" w:pos="108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will need substantial additional funds to advance development of our product candidates, and we cannot guarantee that we will have sufficient funds available in the future to develop and commercialize our current or future product candidates.</w:t>
      </w:r>
    </w:p>
    <w:p>
      <w:pPr>
        <w:spacing w:after="0" w:line="15" w:lineRule="exact"/>
        <w:rPr>
          <w:rFonts w:ascii="Times New Roman" w:cs="Times New Roman" w:eastAsia="Times New Roman" w:hAnsi="Times New Roman"/>
          <w:sz w:val="20"/>
          <w:szCs w:val="20"/>
          <w:color w:val="auto"/>
        </w:rPr>
      </w:pPr>
    </w:p>
    <w:p>
      <w:pPr>
        <w:ind w:left="1080" w:right="240" w:hanging="460"/>
        <w:spacing w:after="0" w:line="256" w:lineRule="auto"/>
        <w:tabs>
          <w:tab w:leader="none" w:pos="108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loan facility and payment obligations under the Loan and Security Agreement with Oxford Finance contain operating and financial covenants that restrict our business and financing activities, are subject to acceleration in specified circumstances and may adversely affect our financial position or results of operations and our ability to raise additional capital which in turn may increase our vulnerability to adverse regulatory developments or economic or business downturns or which may result in Oxford Finance taking possession of our assets and disposing of any collateral.</w:t>
      </w:r>
    </w:p>
    <w:p>
      <w:pPr>
        <w:spacing w:after="0" w:line="28" w:lineRule="exact"/>
        <w:rPr>
          <w:rFonts w:ascii="Times New Roman" w:cs="Times New Roman" w:eastAsia="Times New Roman" w:hAnsi="Times New Roman"/>
          <w:sz w:val="20"/>
          <w:szCs w:val="20"/>
          <w:color w:val="auto"/>
        </w:rPr>
      </w:pPr>
    </w:p>
    <w:p>
      <w:pPr>
        <w:ind w:left="1080" w:right="60" w:hanging="460"/>
        <w:spacing w:after="0" w:line="258" w:lineRule="auto"/>
        <w:tabs>
          <w:tab w:leader="none" w:pos="108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product candidates are in various stages of development, including several in discovery, preclinical, and clinical stages, and may fail in development or suffer delays that materially adversely affect their commercial viability and we may fail to differentiate our molecules, including cleminorexton, ORX142, ORX489 and other orexin agonist molecules from other available treatment options including other molecules in development.</w:t>
      </w:r>
    </w:p>
    <w:p>
      <w:pPr>
        <w:spacing w:after="0" w:line="23" w:lineRule="exact"/>
        <w:rPr>
          <w:rFonts w:ascii="Times New Roman" w:cs="Times New Roman" w:eastAsia="Times New Roman" w:hAnsi="Times New Roman"/>
          <w:sz w:val="20"/>
          <w:szCs w:val="20"/>
          <w:color w:val="auto"/>
        </w:rPr>
      </w:pPr>
    </w:p>
    <w:p>
      <w:pPr>
        <w:ind w:left="1080" w:right="560" w:hanging="460"/>
        <w:spacing w:after="0" w:line="266" w:lineRule="auto"/>
        <w:tabs>
          <w:tab w:leader="none" w:pos="108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not be successful in our efforts to identify, discover, in-license or otherwise acquire additional product candidates and may fail to capitalize on programs or product candidates that may be a greater commercial opportunity or for which there is a greater likelihood of success.</w:t>
      </w:r>
    </w:p>
    <w:p>
      <w:pPr>
        <w:spacing w:after="0" w:line="15" w:lineRule="exact"/>
        <w:rPr>
          <w:rFonts w:ascii="Times New Roman" w:cs="Times New Roman" w:eastAsia="Times New Roman" w:hAnsi="Times New Roman"/>
          <w:sz w:val="20"/>
          <w:szCs w:val="20"/>
          <w:color w:val="auto"/>
        </w:rPr>
      </w:pPr>
    </w:p>
    <w:p>
      <w:pPr>
        <w:ind w:left="1080" w:hanging="460"/>
        <w:spacing w:after="0"/>
        <w:tabs>
          <w:tab w:leader="none" w:pos="108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Success in preclinical studies or early clinical trials may not be indicative of results obtained in later trials.</w:t>
      </w:r>
    </w:p>
    <w:p>
      <w:pPr>
        <w:spacing w:after="0" w:line="70" w:lineRule="exact"/>
        <w:rPr>
          <w:rFonts w:ascii="Times New Roman" w:cs="Times New Roman" w:eastAsia="Times New Roman" w:hAnsi="Times New Roman"/>
          <w:sz w:val="20"/>
          <w:szCs w:val="20"/>
          <w:color w:val="auto"/>
        </w:rPr>
      </w:pPr>
    </w:p>
    <w:p>
      <w:pPr>
        <w:ind w:left="1080" w:right="380" w:hanging="460"/>
        <w:spacing w:after="0" w:line="281" w:lineRule="auto"/>
        <w:tabs>
          <w:tab w:leader="none" w:pos="108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encounter substantial delays or challenges in the initiation, conduct or completion of our clinical trials, and the results of clinical development are uncertain.</w:t>
      </w:r>
    </w:p>
    <w:p>
      <w:pPr>
        <w:spacing w:after="0" w:line="1" w:lineRule="exact"/>
        <w:rPr>
          <w:rFonts w:ascii="Times New Roman" w:cs="Times New Roman" w:eastAsia="Times New Roman" w:hAnsi="Times New Roman"/>
          <w:sz w:val="20"/>
          <w:szCs w:val="20"/>
          <w:color w:val="auto"/>
        </w:rPr>
      </w:pPr>
    </w:p>
    <w:p>
      <w:pPr>
        <w:ind w:left="1080" w:right="340" w:hanging="460"/>
        <w:spacing w:after="0" w:line="266" w:lineRule="auto"/>
        <w:tabs>
          <w:tab w:leader="none" w:pos="108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Even if we complete the necessary preclinical studies and clinical trials, the marketing approval process is expensive, time-consuming and uncertain and may prevent us from obtaining approvals for the commercialization of our product candidates.</w:t>
      </w:r>
    </w:p>
    <w:p>
      <w:pPr>
        <w:spacing w:after="0" w:line="15" w:lineRule="exact"/>
        <w:rPr>
          <w:rFonts w:ascii="Times New Roman" w:cs="Times New Roman" w:eastAsia="Times New Roman" w:hAnsi="Times New Roman"/>
          <w:sz w:val="20"/>
          <w:szCs w:val="20"/>
          <w:color w:val="auto"/>
        </w:rPr>
      </w:pPr>
    </w:p>
    <w:p>
      <w:pPr>
        <w:ind w:left="1080" w:right="380" w:hanging="460"/>
        <w:spacing w:after="0" w:line="281" w:lineRule="auto"/>
        <w:tabs>
          <w:tab w:leader="none" w:pos="108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be unable to obtain U.S. or foreign regulatory approval and, as a result, unable to develop and/or commercialize our product candidates.</w:t>
      </w:r>
    </w:p>
    <w:p>
      <w:pPr>
        <w:spacing w:after="0" w:line="1" w:lineRule="exact"/>
        <w:rPr>
          <w:rFonts w:ascii="Times New Roman" w:cs="Times New Roman" w:eastAsia="Times New Roman" w:hAnsi="Times New Roman"/>
          <w:sz w:val="20"/>
          <w:szCs w:val="20"/>
          <w:color w:val="auto"/>
        </w:rPr>
      </w:pPr>
    </w:p>
    <w:p>
      <w:pPr>
        <w:ind w:left="1080" w:right="260" w:hanging="460"/>
        <w:spacing w:after="0" w:line="309" w:lineRule="auto"/>
        <w:tabs>
          <w:tab w:leader="none" w:pos="1080"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 rely, and expect to continue to rely, on third parties to conduct our preclinical studies and clinical trials and if these third parties perform in an unsatisfactory manner, our business could be substantially harmed.</w:t>
      </w:r>
    </w:p>
    <w:p>
      <w:pPr>
        <w:sectPr>
          <w:pgSz w:w="12240" w:h="15840" w:orient="portrait"/>
          <w:cols w:equalWidth="0" w:num="1">
            <w:col w:w="9880"/>
          </w:cols>
          <w:pgMar w:left="1180" w:top="20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w:t>
      </w:r>
    </w:p>
    <w:p>
      <w:pPr>
        <w:sectPr>
          <w:pgSz w:w="12240" w:h="15840" w:orient="portrait"/>
          <w:cols w:equalWidth="0" w:num="1">
            <w:col w:w="9880"/>
          </w:cols>
          <w:pgMar w:left="1180" w:top="208" w:right="1180"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Summary of the Material Risks Associated with Our Business (continued)</w:t>
      </w:r>
    </w:p>
    <w:p>
      <w:pPr>
        <w:spacing w:after="0" w:line="137" w:lineRule="exact"/>
        <w:rPr>
          <w:sz w:val="20"/>
          <w:szCs w:val="20"/>
          <w:color w:val="auto"/>
        </w:rPr>
      </w:pPr>
    </w:p>
    <w:p>
      <w:pPr>
        <w:ind w:left="1080" w:hanging="370"/>
        <w:spacing w:after="0" w:line="279" w:lineRule="auto"/>
        <w:tabs>
          <w:tab w:leader="none" w:pos="1080" w:val="left"/>
        </w:tabs>
        <w:numPr>
          <w:ilvl w:val="1"/>
          <w:numId w:val="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Preclinical and clinical development is a long and expensive process and the outcomes are uncertain, and we may terminate one or more of our current preclinical and/or clinical development programs.</w:t>
      </w:r>
    </w:p>
    <w:p>
      <w:pPr>
        <w:spacing w:after="0" w:line="5" w:lineRule="exact"/>
        <w:rPr>
          <w:rFonts w:ascii="Times New Roman" w:cs="Times New Roman" w:eastAsia="Times New Roman" w:hAnsi="Times New Roman"/>
          <w:sz w:val="20"/>
          <w:szCs w:val="20"/>
          <w:b w:val="1"/>
          <w:bCs w:val="1"/>
          <w:color w:val="auto"/>
        </w:rPr>
      </w:pPr>
    </w:p>
    <w:p>
      <w:pPr>
        <w:ind w:left="1080" w:hanging="460"/>
        <w:spacing w:after="0" w:line="281" w:lineRule="auto"/>
        <w:tabs>
          <w:tab w:leader="none" w:pos="1080" w:val="left"/>
        </w:tabs>
        <w:numPr>
          <w:ilvl w:val="0"/>
          <w:numId w:val="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We could experience manufacturing problems that result in delays or other material disruptions in our development or commercialization of our programs or otherwise harm our business.</w:t>
      </w:r>
    </w:p>
    <w:p>
      <w:pPr>
        <w:spacing w:after="0" w:line="1" w:lineRule="exact"/>
        <w:rPr>
          <w:rFonts w:ascii="Times New Roman" w:cs="Times New Roman" w:eastAsia="Times New Roman" w:hAnsi="Times New Roman"/>
          <w:sz w:val="20"/>
          <w:szCs w:val="20"/>
          <w:b w:val="1"/>
          <w:bCs w:val="1"/>
          <w:color w:val="auto"/>
        </w:rPr>
      </w:pPr>
    </w:p>
    <w:p>
      <w:pPr>
        <w:jc w:val="both"/>
        <w:ind w:left="1080" w:right="180" w:hanging="460"/>
        <w:spacing w:after="0" w:line="255" w:lineRule="auto"/>
        <w:tabs>
          <w:tab w:leader="none" w:pos="108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Business interruptions resulting from the Russia-Ukraine war, the Middle East conflict(s), tensions in U.S.-China relations, changes in trade policy, including the imposition of tariffs, or similar geo-political conflicts could cause a disruption to our business activities including the development of our product candidates and the conduct of clinical trials thereby adversely impacting our business.</w:t>
      </w:r>
    </w:p>
    <w:p>
      <w:pPr>
        <w:spacing w:after="0" w:line="2" w:lineRule="exact"/>
        <w:rPr>
          <w:rFonts w:ascii="Times New Roman" w:cs="Times New Roman" w:eastAsia="Times New Roman" w:hAnsi="Times New Roman"/>
          <w:sz w:val="20"/>
          <w:szCs w:val="20"/>
          <w:color w:val="auto"/>
        </w:rPr>
      </w:pPr>
    </w:p>
    <w:p>
      <w:pPr>
        <w:ind w:left="1080" w:right="160" w:hanging="460"/>
        <w:spacing w:after="0" w:line="250" w:lineRule="auto"/>
        <w:tabs>
          <w:tab w:leader="none" w:pos="108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we are unable to obtain and maintain sufficient patent and other intellectual property protection for our product candidates and technology or other product candidates that may be identified, or if the scope of the intellectual property protection obtained is not sufficiently broad, our competitors could develop and commercialize product candidates similar or identical to the product candidates, and our ability to successfully commercialize the product candidates and other product candidates that we may pursue may be impaired.</w:t>
      </w:r>
    </w:p>
    <w:p>
      <w:pPr>
        <w:spacing w:after="0" w:line="2" w:lineRule="exact"/>
        <w:rPr>
          <w:rFonts w:ascii="Times New Roman" w:cs="Times New Roman" w:eastAsia="Times New Roman" w:hAnsi="Times New Roman"/>
          <w:sz w:val="20"/>
          <w:szCs w:val="20"/>
          <w:color w:val="auto"/>
        </w:rPr>
      </w:pPr>
    </w:p>
    <w:p>
      <w:pPr>
        <w:ind w:left="1080" w:right="760" w:hanging="460"/>
        <w:spacing w:after="0" w:line="250" w:lineRule="auto"/>
        <w:tabs>
          <w:tab w:leader="none" w:pos="108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patent protection we obtain for our product candidates and technology may be challenged or not sufficient enough to provide us with any competitive advantage.</w:t>
      </w:r>
    </w:p>
    <w:p>
      <w:pPr>
        <w:ind w:left="1080" w:right="20" w:hanging="460"/>
        <w:spacing w:after="0" w:line="250" w:lineRule="auto"/>
        <w:tabs>
          <w:tab w:leader="none" w:pos="108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number of our programs and associated product candidates are heavily dependent on licensed intellectual property. If we were to lose our rights to licensed intellectual property, we may not be able to continue developing or commercializing our product candidates, if approved. If we breach any of the agreements under which we license the use, development and commercialization rights to our product candidates or technology from third parties or, in certain cases, we fail to meet certain development deadlines, we could lose license rights that are important to our business.</w:t>
      </w:r>
    </w:p>
    <w:p>
      <w:pPr>
        <w:spacing w:after="0" w:line="2" w:lineRule="exact"/>
        <w:rPr>
          <w:rFonts w:ascii="Times New Roman" w:cs="Times New Roman" w:eastAsia="Times New Roman" w:hAnsi="Times New Roman"/>
          <w:sz w:val="20"/>
          <w:szCs w:val="20"/>
          <w:color w:val="auto"/>
        </w:rPr>
      </w:pPr>
    </w:p>
    <w:p>
      <w:pPr>
        <w:jc w:val="both"/>
        <w:ind w:left="1080" w:right="160" w:hanging="460"/>
        <w:spacing w:after="0" w:line="250" w:lineRule="auto"/>
        <w:tabs>
          <w:tab w:leader="none" w:pos="108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have never commercialized a product candidate and we may lack the necessary expertise, personnel and resources to successfully commercialize any of our products that receive regulatory approval on our own or together with collaborators.</w:t>
      </w:r>
    </w:p>
    <w:p>
      <w:pPr>
        <w:spacing w:after="0" w:line="1" w:lineRule="exact"/>
        <w:rPr>
          <w:rFonts w:ascii="Times New Roman" w:cs="Times New Roman" w:eastAsia="Times New Roman" w:hAnsi="Times New Roman"/>
          <w:sz w:val="20"/>
          <w:szCs w:val="20"/>
          <w:color w:val="auto"/>
        </w:rPr>
      </w:pPr>
    </w:p>
    <w:p>
      <w:pPr>
        <w:ind w:left="1080" w:right="280" w:hanging="460"/>
        <w:spacing w:after="0" w:line="250" w:lineRule="auto"/>
        <w:tabs>
          <w:tab w:leader="none" w:pos="108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international operations may expose us to business, regulatory, legal, political, operational, financial, pricing and reimbursement risks associated with doing business across multiple jurisdictions outside of the United States.</w:t>
      </w:r>
    </w:p>
    <w:p>
      <w:pPr>
        <w:spacing w:after="0" w:line="1" w:lineRule="exact"/>
        <w:rPr>
          <w:rFonts w:ascii="Times New Roman" w:cs="Times New Roman" w:eastAsia="Times New Roman" w:hAnsi="Times New Roman"/>
          <w:sz w:val="20"/>
          <w:szCs w:val="20"/>
          <w:color w:val="auto"/>
        </w:rPr>
      </w:pPr>
    </w:p>
    <w:p>
      <w:pPr>
        <w:ind w:left="1080" w:right="240" w:hanging="460"/>
        <w:spacing w:after="0" w:line="250" w:lineRule="auto"/>
        <w:tabs>
          <w:tab w:leader="none" w:pos="108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are an emerging growth company and a smaller reporting company, and we cannot be certain if the reduced reporting requirements applicable to emerging growth companies and smaller reporting companies will make our ADSs less attractive to investors.</w:t>
      </w:r>
    </w:p>
    <w:p>
      <w:pPr>
        <w:spacing w:after="0" w:line="1" w:lineRule="exact"/>
        <w:rPr>
          <w:rFonts w:ascii="Times New Roman" w:cs="Times New Roman" w:eastAsia="Times New Roman" w:hAnsi="Times New Roman"/>
          <w:sz w:val="20"/>
          <w:szCs w:val="20"/>
          <w:color w:val="auto"/>
        </w:rPr>
      </w:pPr>
    </w:p>
    <w:p>
      <w:pPr>
        <w:ind w:left="1080" w:right="240" w:hanging="460"/>
        <w:spacing w:after="0" w:line="250" w:lineRule="auto"/>
        <w:tabs>
          <w:tab w:leader="none" w:pos="108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have in the past and may in the future identify material weaknesses in our internal control systems over financial reporting that may cause us to fail to meet our reporting obligations or result in material misstatements in our financial statements. If we fail to remediate any material weaknesses, we may not be able to report our financial results accurately or to prevent fraud.</w:t>
      </w:r>
    </w:p>
    <w:p>
      <w:pPr>
        <w:spacing w:after="0" w:line="1" w:lineRule="exact"/>
        <w:rPr>
          <w:rFonts w:ascii="Times New Roman" w:cs="Times New Roman" w:eastAsia="Times New Roman" w:hAnsi="Times New Roman"/>
          <w:sz w:val="20"/>
          <w:szCs w:val="20"/>
          <w:color w:val="auto"/>
        </w:rPr>
      </w:pPr>
    </w:p>
    <w:p>
      <w:pPr>
        <w:ind w:left="1080" w:right="20" w:hanging="460"/>
        <w:spacing w:after="0" w:line="250" w:lineRule="auto"/>
        <w:tabs>
          <w:tab w:leader="none" w:pos="108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we fail to maintain an effective system of disclosure controls and internal control over financial reporting, our ability to produce timely and accurate financial statements or comply with applicable regulations could be impaired.</w:t>
      </w:r>
    </w:p>
    <w:p>
      <w:pPr>
        <w:spacing w:after="0" w:line="1" w:lineRule="exact"/>
        <w:rPr>
          <w:rFonts w:ascii="Times New Roman" w:cs="Times New Roman" w:eastAsia="Times New Roman" w:hAnsi="Times New Roman"/>
          <w:sz w:val="20"/>
          <w:szCs w:val="20"/>
          <w:color w:val="auto"/>
        </w:rPr>
      </w:pPr>
    </w:p>
    <w:p>
      <w:pPr>
        <w:ind w:left="1080" w:right="620" w:hanging="460"/>
        <w:spacing w:after="0" w:line="250" w:lineRule="auto"/>
        <w:tabs>
          <w:tab w:leader="none" w:pos="108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Holders of ADSs may be subject to limitations on the transfer of their ADSs and the withdrawal of the underlying ordinary shares.</w:t>
      </w:r>
    </w:p>
    <w:p>
      <w:pPr>
        <w:ind w:left="1080" w:right="20" w:hanging="460"/>
        <w:spacing w:after="0" w:line="255" w:lineRule="auto"/>
        <w:tabs>
          <w:tab w:leader="none" w:pos="108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While we do not believe we were a “passive foreign investment company” (“PFIC”) in 2025, there is uncertainty as to whether we are or will be a PFIC in the past or in the future. If we are a PFIC, there could be material adverse U.S. federal income tax consequences to U.S. Holders.</w:t>
      </w:r>
    </w:p>
    <w:p>
      <w:pPr>
        <w:sectPr>
          <w:pgSz w:w="12240" w:h="15840" w:orient="portrait"/>
          <w:cols w:equalWidth="0" w:num="1">
            <w:col w:w="9880"/>
          </w:cols>
          <w:pgMar w:left="1180" w:top="20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w:t>
      </w:r>
    </w:p>
    <w:p>
      <w:pPr>
        <w:sectPr>
          <w:pgSz w:w="12240" w:h="15840" w:orient="portrait"/>
          <w:cols w:equalWidth="0" w:num="1">
            <w:col w:w="9880"/>
          </w:cols>
          <w:pgMar w:left="1180" w:top="208" w:right="1180" w:bottom="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30"/>
        </w:trPr>
        <w:tc>
          <w:tcPr>
            <w:tcW w:w="8660" w:type="dxa"/>
            <w:vAlign w:val="bottom"/>
            <w:gridSpan w:val="30"/>
          </w:tcPr>
          <w:p>
            <w:pPr>
              <w:spacing w:after="0"/>
              <w:rPr>
                <w:sz w:val="20"/>
                <w:szCs w:val="20"/>
                <w:color w:val="auto"/>
              </w:rPr>
            </w:pPr>
            <w:r>
              <w:rPr>
                <w:rFonts w:ascii="Times New Roman" w:cs="Times New Roman" w:eastAsia="Times New Roman" w:hAnsi="Times New Roman"/>
                <w:sz w:val="20"/>
                <w:szCs w:val="20"/>
                <w:color w:val="0000FF"/>
              </w:rPr>
              <w:t>Table of Contents</w:t>
            </w: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50"/>
        </w:trPr>
        <w:tc>
          <w:tcPr>
            <w:tcW w:w="40" w:type="dxa"/>
            <w:vAlign w:val="bottom"/>
            <w:tcBorders>
              <w:top w:val="single" w:sz="8" w:color="0000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80" w:type="dxa"/>
            <w:vAlign w:val="bottom"/>
            <w:gridSpan w:val="10"/>
          </w:tcPr>
          <w:p>
            <w:pPr>
              <w:ind w:left="480"/>
              <w:spacing w:after="0"/>
              <w:rPr>
                <w:sz w:val="20"/>
                <w:szCs w:val="20"/>
                <w:color w:val="auto"/>
              </w:rPr>
            </w:pPr>
            <w:r>
              <w:rPr>
                <w:rFonts w:ascii="Times New Roman" w:cs="Times New Roman" w:eastAsia="Times New Roman" w:hAnsi="Times New Roman"/>
                <w:sz w:val="20"/>
                <w:szCs w:val="20"/>
                <w:b w:val="1"/>
                <w:bCs w:val="1"/>
                <w:color w:val="auto"/>
              </w:rPr>
              <w:t>TABLE OF CONTENTS</w:t>
            </w: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rPr>
              <w:t>Page</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gridSpan w:val="6"/>
            <w:vMerge w:val="restart"/>
          </w:tcPr>
          <w:p>
            <w:pPr>
              <w:spacing w:after="0"/>
              <w:rPr>
                <w:sz w:val="20"/>
                <w:szCs w:val="20"/>
                <w:color w:val="auto"/>
              </w:rPr>
            </w:pPr>
            <w:r>
              <w:rPr>
                <w:rFonts w:ascii="Times New Roman" w:cs="Times New Roman" w:eastAsia="Times New Roman" w:hAnsi="Times New Roman"/>
                <w:sz w:val="20"/>
                <w:szCs w:val="20"/>
                <w:b w:val="1"/>
                <w:bCs w:val="1"/>
                <w:color w:val="0000FF"/>
              </w:rPr>
              <w:t>Part I</w:t>
            </w: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1000" w:type="dxa"/>
            <w:vAlign w:val="bottom"/>
            <w:gridSpan w:val="6"/>
            <w:vMerge w:val="continue"/>
          </w:tcPr>
          <w:p>
            <w:pPr>
              <w:spacing w:after="0"/>
              <w:rPr>
                <w:sz w:val="16"/>
                <w:szCs w:val="16"/>
                <w:color w:val="auto"/>
              </w:rPr>
            </w:pPr>
          </w:p>
        </w:tc>
        <w:tc>
          <w:tcPr>
            <w:tcW w:w="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40" w:type="dxa"/>
            <w:vAlign w:val="bottom"/>
          </w:tcPr>
          <w:p>
            <w:pPr>
              <w:spacing w:after="0"/>
              <w:rPr>
                <w:sz w:val="23"/>
                <w:szCs w:val="23"/>
                <w:color w:val="auto"/>
              </w:rPr>
            </w:pPr>
          </w:p>
        </w:tc>
        <w:tc>
          <w:tcPr>
            <w:tcW w:w="1000" w:type="dxa"/>
            <w:vAlign w:val="bottom"/>
            <w:gridSpan w:val="6"/>
          </w:tcPr>
          <w:p>
            <w:pPr>
              <w:spacing w:after="0"/>
              <w:rPr>
                <w:sz w:val="20"/>
                <w:szCs w:val="20"/>
                <w:color w:val="auto"/>
              </w:rPr>
            </w:pPr>
            <w:r>
              <w:rPr>
                <w:rFonts w:ascii="Times New Roman" w:cs="Times New Roman" w:eastAsia="Times New Roman" w:hAnsi="Times New Roman"/>
                <w:sz w:val="20"/>
                <w:szCs w:val="20"/>
                <w:color w:val="0000FF"/>
              </w:rPr>
              <w:t>Item 1.</w:t>
            </w:r>
          </w:p>
        </w:tc>
        <w:tc>
          <w:tcPr>
            <w:tcW w:w="7620" w:type="dxa"/>
            <w:vAlign w:val="bottom"/>
            <w:gridSpan w:val="23"/>
          </w:tcPr>
          <w:p>
            <w:pPr>
              <w:spacing w:after="0"/>
              <w:rPr>
                <w:sz w:val="20"/>
                <w:szCs w:val="20"/>
                <w:color w:val="auto"/>
              </w:rPr>
            </w:pPr>
            <w:r>
              <w:rPr>
                <w:rFonts w:ascii="Times New Roman" w:cs="Times New Roman" w:eastAsia="Times New Roman" w:hAnsi="Times New Roman"/>
                <w:sz w:val="20"/>
                <w:szCs w:val="20"/>
                <w:color w:val="0000FF"/>
              </w:rPr>
              <w:t>Business.</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40" w:type="dxa"/>
            <w:vAlign w:val="bottom"/>
          </w:tcPr>
          <w:p>
            <w:pPr>
              <w:spacing w:after="0"/>
              <w:rPr>
                <w:sz w:val="23"/>
                <w:szCs w:val="23"/>
                <w:color w:val="auto"/>
              </w:rPr>
            </w:pPr>
          </w:p>
        </w:tc>
        <w:tc>
          <w:tcPr>
            <w:tcW w:w="680" w:type="dxa"/>
            <w:vAlign w:val="bottom"/>
            <w:gridSpan w:val="4"/>
          </w:tcPr>
          <w:p>
            <w:pPr>
              <w:spacing w:after="0"/>
              <w:rPr>
                <w:sz w:val="20"/>
                <w:szCs w:val="20"/>
                <w:color w:val="auto"/>
              </w:rPr>
            </w:pPr>
            <w:r>
              <w:rPr>
                <w:rFonts w:ascii="Times New Roman" w:cs="Times New Roman" w:eastAsia="Times New Roman" w:hAnsi="Times New Roman"/>
                <w:sz w:val="20"/>
                <w:szCs w:val="20"/>
                <w:color w:val="0000FF"/>
                <w:w w:val="89"/>
              </w:rPr>
              <w:t>Item 1A.</w:t>
            </w:r>
          </w:p>
        </w:tc>
        <w:tc>
          <w:tcPr>
            <w:tcW w:w="320" w:type="dxa"/>
            <w:vAlign w:val="bottom"/>
            <w:gridSpan w:val="2"/>
          </w:tcPr>
          <w:p>
            <w:pPr>
              <w:spacing w:after="0"/>
              <w:rPr>
                <w:sz w:val="23"/>
                <w:szCs w:val="23"/>
                <w:color w:val="auto"/>
              </w:rPr>
            </w:pPr>
          </w:p>
        </w:tc>
        <w:tc>
          <w:tcPr>
            <w:tcW w:w="7620" w:type="dxa"/>
            <w:vAlign w:val="bottom"/>
            <w:gridSpan w:val="23"/>
          </w:tcPr>
          <w:p>
            <w:pPr>
              <w:spacing w:after="0"/>
              <w:rPr>
                <w:sz w:val="20"/>
                <w:szCs w:val="20"/>
                <w:color w:val="auto"/>
              </w:rPr>
            </w:pPr>
            <w:r>
              <w:rPr>
                <w:rFonts w:ascii="Times New Roman" w:cs="Times New Roman" w:eastAsia="Times New Roman" w:hAnsi="Times New Roman"/>
                <w:sz w:val="20"/>
                <w:szCs w:val="20"/>
                <w:color w:val="0000FF"/>
              </w:rPr>
              <w:t>Risk Factors.</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39</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40" w:type="dxa"/>
            <w:vAlign w:val="bottom"/>
          </w:tcPr>
          <w:p>
            <w:pPr>
              <w:spacing w:after="0"/>
              <w:rPr>
                <w:sz w:val="23"/>
                <w:szCs w:val="23"/>
                <w:color w:val="auto"/>
              </w:rPr>
            </w:pPr>
          </w:p>
        </w:tc>
        <w:tc>
          <w:tcPr>
            <w:tcW w:w="680" w:type="dxa"/>
            <w:vAlign w:val="bottom"/>
            <w:gridSpan w:val="4"/>
          </w:tcPr>
          <w:p>
            <w:pPr>
              <w:spacing w:after="0"/>
              <w:rPr>
                <w:sz w:val="20"/>
                <w:szCs w:val="20"/>
                <w:color w:val="auto"/>
              </w:rPr>
            </w:pPr>
            <w:r>
              <w:rPr>
                <w:rFonts w:ascii="Times New Roman" w:cs="Times New Roman" w:eastAsia="Times New Roman" w:hAnsi="Times New Roman"/>
                <w:sz w:val="20"/>
                <w:szCs w:val="20"/>
                <w:color w:val="0000FF"/>
                <w:w w:val="91"/>
              </w:rPr>
              <w:t>Item 1B.</w:t>
            </w:r>
          </w:p>
        </w:tc>
        <w:tc>
          <w:tcPr>
            <w:tcW w:w="320" w:type="dxa"/>
            <w:vAlign w:val="bottom"/>
            <w:gridSpan w:val="2"/>
          </w:tcPr>
          <w:p>
            <w:pPr>
              <w:spacing w:after="0"/>
              <w:rPr>
                <w:sz w:val="23"/>
                <w:szCs w:val="23"/>
                <w:color w:val="auto"/>
              </w:rPr>
            </w:pPr>
          </w:p>
        </w:tc>
        <w:tc>
          <w:tcPr>
            <w:tcW w:w="7620" w:type="dxa"/>
            <w:vAlign w:val="bottom"/>
            <w:gridSpan w:val="23"/>
          </w:tcPr>
          <w:p>
            <w:pPr>
              <w:spacing w:after="0"/>
              <w:rPr>
                <w:sz w:val="20"/>
                <w:szCs w:val="20"/>
                <w:color w:val="auto"/>
              </w:rPr>
            </w:pPr>
            <w:r>
              <w:rPr>
                <w:rFonts w:ascii="Times New Roman" w:cs="Times New Roman" w:eastAsia="Times New Roman" w:hAnsi="Times New Roman"/>
                <w:sz w:val="20"/>
                <w:szCs w:val="20"/>
                <w:color w:val="0000FF"/>
              </w:rPr>
              <w:t>Unresolved Staff Comments.</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109</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40" w:type="dxa"/>
            <w:vAlign w:val="bottom"/>
          </w:tcPr>
          <w:p>
            <w:pPr>
              <w:spacing w:after="0"/>
              <w:rPr>
                <w:sz w:val="23"/>
                <w:szCs w:val="23"/>
                <w:color w:val="auto"/>
              </w:rPr>
            </w:pPr>
          </w:p>
        </w:tc>
        <w:tc>
          <w:tcPr>
            <w:tcW w:w="1000" w:type="dxa"/>
            <w:vAlign w:val="bottom"/>
            <w:gridSpan w:val="6"/>
          </w:tcPr>
          <w:p>
            <w:pPr>
              <w:spacing w:after="0"/>
              <w:rPr>
                <w:sz w:val="20"/>
                <w:szCs w:val="20"/>
                <w:color w:val="auto"/>
              </w:rPr>
            </w:pPr>
            <w:r>
              <w:rPr>
                <w:rFonts w:ascii="Times New Roman" w:cs="Times New Roman" w:eastAsia="Times New Roman" w:hAnsi="Times New Roman"/>
                <w:sz w:val="20"/>
                <w:szCs w:val="20"/>
                <w:color w:val="0000FF"/>
              </w:rPr>
              <w:t>Item 1C.</w:t>
            </w:r>
          </w:p>
        </w:tc>
        <w:tc>
          <w:tcPr>
            <w:tcW w:w="7620" w:type="dxa"/>
            <w:vAlign w:val="bottom"/>
            <w:gridSpan w:val="23"/>
          </w:tcPr>
          <w:p>
            <w:pPr>
              <w:spacing w:after="0"/>
              <w:rPr>
                <w:sz w:val="20"/>
                <w:szCs w:val="20"/>
                <w:color w:val="auto"/>
              </w:rPr>
            </w:pPr>
            <w:r>
              <w:rPr>
                <w:rFonts w:ascii="Times New Roman" w:cs="Times New Roman" w:eastAsia="Times New Roman" w:hAnsi="Times New Roman"/>
                <w:sz w:val="20"/>
                <w:szCs w:val="20"/>
                <w:color w:val="0000FF"/>
              </w:rPr>
              <w:t>Cybersecurity</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109</w:t>
            </w:r>
          </w:p>
        </w:tc>
        <w:tc>
          <w:tcPr>
            <w:tcW w:w="0" w:type="dxa"/>
            <w:vAlign w:val="bottom"/>
          </w:tcPr>
          <w:p>
            <w:pPr>
              <w:spacing w:after="0"/>
              <w:rPr>
                <w:sz w:val="1"/>
                <w:szCs w:val="1"/>
                <w:color w:val="auto"/>
              </w:rPr>
            </w:pPr>
          </w:p>
        </w:tc>
      </w:tr>
      <w:tr>
        <w:trPr>
          <w:trHeight w:val="265"/>
        </w:trPr>
        <w:tc>
          <w:tcPr>
            <w:tcW w:w="40" w:type="dxa"/>
            <w:vAlign w:val="bottom"/>
          </w:tcPr>
          <w:p>
            <w:pPr>
              <w:spacing w:after="0"/>
              <w:rPr>
                <w:sz w:val="23"/>
                <w:szCs w:val="23"/>
                <w:color w:val="auto"/>
              </w:rPr>
            </w:pPr>
          </w:p>
        </w:tc>
        <w:tc>
          <w:tcPr>
            <w:tcW w:w="68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20"/>
                <w:szCs w:val="20"/>
                <w:color w:val="0000FF"/>
              </w:rPr>
              <w:t>Item 2.</w:t>
            </w:r>
          </w:p>
        </w:tc>
        <w:tc>
          <w:tcPr>
            <w:tcW w:w="320" w:type="dxa"/>
            <w:vAlign w:val="bottom"/>
            <w:gridSpan w:val="2"/>
          </w:tcPr>
          <w:p>
            <w:pPr>
              <w:spacing w:after="0"/>
              <w:rPr>
                <w:sz w:val="23"/>
                <w:szCs w:val="23"/>
                <w:color w:val="auto"/>
              </w:rPr>
            </w:pPr>
          </w:p>
        </w:tc>
        <w:tc>
          <w:tcPr>
            <w:tcW w:w="112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20"/>
                <w:szCs w:val="20"/>
                <w:color w:val="0000FF"/>
              </w:rPr>
              <w:t>Properties.</w:t>
            </w:r>
          </w:p>
        </w:tc>
        <w:tc>
          <w:tcPr>
            <w:tcW w:w="6500" w:type="dxa"/>
            <w:vAlign w:val="bottom"/>
            <w:gridSpan w:val="16"/>
          </w:tcPr>
          <w:p>
            <w:pPr>
              <w:spacing w:after="0"/>
              <w:rPr>
                <w:sz w:val="23"/>
                <w:szCs w:val="23"/>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40" w:type="dxa"/>
            <w:vAlign w:val="bottom"/>
          </w:tcPr>
          <w:p>
            <w:pPr>
              <w:spacing w:after="0"/>
              <w:rPr>
                <w:sz w:val="23"/>
                <w:szCs w:val="23"/>
                <w:color w:val="auto"/>
              </w:rPr>
            </w:pPr>
          </w:p>
        </w:tc>
        <w:tc>
          <w:tcPr>
            <w:tcW w:w="1000" w:type="dxa"/>
            <w:vAlign w:val="bottom"/>
            <w:gridSpan w:val="6"/>
          </w:tcPr>
          <w:p>
            <w:pPr>
              <w:spacing w:after="0"/>
              <w:rPr>
                <w:sz w:val="20"/>
                <w:szCs w:val="20"/>
                <w:color w:val="auto"/>
              </w:rPr>
            </w:pPr>
            <w:r>
              <w:rPr>
                <w:rFonts w:ascii="Times New Roman" w:cs="Times New Roman" w:eastAsia="Times New Roman" w:hAnsi="Times New Roman"/>
                <w:sz w:val="20"/>
                <w:szCs w:val="20"/>
                <w:color w:val="0000FF"/>
              </w:rPr>
              <w:t>Item 3.</w:t>
            </w:r>
          </w:p>
        </w:tc>
        <w:tc>
          <w:tcPr>
            <w:tcW w:w="7620" w:type="dxa"/>
            <w:vAlign w:val="bottom"/>
            <w:gridSpan w:val="23"/>
          </w:tcPr>
          <w:p>
            <w:pPr>
              <w:spacing w:after="0"/>
              <w:rPr>
                <w:sz w:val="20"/>
                <w:szCs w:val="20"/>
                <w:color w:val="auto"/>
              </w:rPr>
            </w:pPr>
            <w:r>
              <w:rPr>
                <w:rFonts w:ascii="Times New Roman" w:cs="Times New Roman" w:eastAsia="Times New Roman" w:hAnsi="Times New Roman"/>
                <w:sz w:val="20"/>
                <w:szCs w:val="20"/>
                <w:color w:val="0000FF"/>
              </w:rPr>
              <w:t>Legal Proceedings.</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40" w:type="dxa"/>
            <w:vAlign w:val="bottom"/>
          </w:tcPr>
          <w:p>
            <w:pPr>
              <w:spacing w:after="0"/>
              <w:rPr>
                <w:sz w:val="23"/>
                <w:szCs w:val="23"/>
                <w:color w:val="auto"/>
              </w:rPr>
            </w:pPr>
          </w:p>
        </w:tc>
        <w:tc>
          <w:tcPr>
            <w:tcW w:w="1000" w:type="dxa"/>
            <w:vAlign w:val="bottom"/>
            <w:gridSpan w:val="6"/>
          </w:tcPr>
          <w:p>
            <w:pPr>
              <w:spacing w:after="0"/>
              <w:rPr>
                <w:sz w:val="20"/>
                <w:szCs w:val="20"/>
                <w:color w:val="auto"/>
              </w:rPr>
            </w:pPr>
            <w:r>
              <w:rPr>
                <w:rFonts w:ascii="Times New Roman" w:cs="Times New Roman" w:eastAsia="Times New Roman" w:hAnsi="Times New Roman"/>
                <w:sz w:val="20"/>
                <w:szCs w:val="20"/>
                <w:color w:val="0000FF"/>
              </w:rPr>
              <w:t>Item 4.</w:t>
            </w:r>
          </w:p>
        </w:tc>
        <w:tc>
          <w:tcPr>
            <w:tcW w:w="7620" w:type="dxa"/>
            <w:vAlign w:val="bottom"/>
            <w:gridSpan w:val="23"/>
          </w:tcPr>
          <w:p>
            <w:pPr>
              <w:spacing w:after="0"/>
              <w:rPr>
                <w:sz w:val="20"/>
                <w:szCs w:val="20"/>
                <w:color w:val="auto"/>
              </w:rPr>
            </w:pPr>
            <w:r>
              <w:rPr>
                <w:rFonts w:ascii="Times New Roman" w:cs="Times New Roman" w:eastAsia="Times New Roman" w:hAnsi="Times New Roman"/>
                <w:sz w:val="20"/>
                <w:szCs w:val="20"/>
                <w:color w:val="0000FF"/>
              </w:rPr>
              <w:t>Mine Safety Disclosures.</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40" w:type="dxa"/>
            <w:vAlign w:val="bottom"/>
          </w:tcPr>
          <w:p>
            <w:pPr>
              <w:spacing w:after="0"/>
              <w:rPr>
                <w:sz w:val="22"/>
                <w:szCs w:val="22"/>
                <w:color w:val="auto"/>
              </w:rPr>
            </w:pPr>
          </w:p>
        </w:tc>
        <w:tc>
          <w:tcPr>
            <w:tcW w:w="1000" w:type="dxa"/>
            <w:vAlign w:val="bottom"/>
            <w:gridSpan w:val="6"/>
          </w:tcPr>
          <w:p>
            <w:pPr>
              <w:spacing w:after="0"/>
              <w:rPr>
                <w:sz w:val="20"/>
                <w:szCs w:val="20"/>
                <w:color w:val="auto"/>
              </w:rPr>
            </w:pPr>
            <w:r>
              <w:rPr>
                <w:rFonts w:ascii="Times New Roman" w:cs="Times New Roman" w:eastAsia="Times New Roman" w:hAnsi="Times New Roman"/>
                <w:sz w:val="20"/>
                <w:szCs w:val="20"/>
                <w:b w:val="1"/>
                <w:bCs w:val="1"/>
                <w:color w:val="0000FF"/>
              </w:rPr>
              <w:t>Part II</w:t>
            </w:r>
          </w:p>
        </w:tc>
        <w:tc>
          <w:tcPr>
            <w:tcW w:w="3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40" w:type="dxa"/>
            <w:vAlign w:val="bottom"/>
          </w:tcPr>
          <w:p>
            <w:pPr>
              <w:spacing w:after="0"/>
              <w:rPr>
                <w:sz w:val="23"/>
                <w:szCs w:val="23"/>
                <w:color w:val="auto"/>
              </w:rPr>
            </w:pPr>
          </w:p>
        </w:tc>
        <w:tc>
          <w:tcPr>
            <w:tcW w:w="58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20"/>
                <w:szCs w:val="20"/>
                <w:color w:val="0000FF"/>
                <w:w w:val="98"/>
              </w:rPr>
              <w:t>Item 5.</w:t>
            </w:r>
          </w:p>
        </w:tc>
        <w:tc>
          <w:tcPr>
            <w:tcW w:w="420" w:type="dxa"/>
            <w:vAlign w:val="bottom"/>
            <w:gridSpan w:val="3"/>
          </w:tcPr>
          <w:p>
            <w:pPr>
              <w:spacing w:after="0"/>
              <w:rPr>
                <w:sz w:val="23"/>
                <w:szCs w:val="23"/>
                <w:color w:val="auto"/>
              </w:rPr>
            </w:pPr>
          </w:p>
        </w:tc>
        <w:tc>
          <w:tcPr>
            <w:tcW w:w="7620" w:type="dxa"/>
            <w:vAlign w:val="bottom"/>
            <w:gridSpan w:val="23"/>
          </w:tcPr>
          <w:p>
            <w:pPr>
              <w:spacing w:after="0"/>
              <w:rPr>
                <w:sz w:val="20"/>
                <w:szCs w:val="20"/>
                <w:color w:val="auto"/>
              </w:rPr>
            </w:pPr>
            <w:r>
              <w:rPr>
                <w:rFonts w:ascii="Times New Roman" w:cs="Times New Roman" w:eastAsia="Times New Roman" w:hAnsi="Times New Roman"/>
                <w:sz w:val="20"/>
                <w:szCs w:val="20"/>
                <w:color w:val="0000FF"/>
              </w:rPr>
              <w:t>Market for Registrant’s Common Equity, Related Stockholder Matters and Issuer Purchases of</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112</w:t>
            </w: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50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20" w:type="dxa"/>
            <w:vAlign w:val="bottom"/>
            <w:tcBorders>
              <w:top w:val="single" w:sz="8" w:color="0000FF"/>
            </w:tcBorders>
            <w:gridSpan w:val="23"/>
          </w:tcPr>
          <w:p>
            <w:pPr>
              <w:spacing w:after="0" w:line="180" w:lineRule="exact"/>
              <w:rPr>
                <w:sz w:val="20"/>
                <w:szCs w:val="20"/>
                <w:color w:val="auto"/>
              </w:rPr>
            </w:pPr>
            <w:r>
              <w:rPr>
                <w:rFonts w:ascii="Times New Roman" w:cs="Times New Roman" w:eastAsia="Times New Roman" w:hAnsi="Times New Roman"/>
                <w:sz w:val="20"/>
                <w:szCs w:val="20"/>
                <w:color w:val="0000FF"/>
              </w:rPr>
              <w:t>Equity Securities.</w:t>
            </w: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5"/>
        </w:trPr>
        <w:tc>
          <w:tcPr>
            <w:tcW w:w="40" w:type="dxa"/>
            <w:vAlign w:val="bottom"/>
          </w:tcPr>
          <w:p>
            <w:pPr>
              <w:spacing w:after="0"/>
              <w:rPr>
                <w:sz w:val="21"/>
                <w:szCs w:val="21"/>
                <w:color w:val="auto"/>
              </w:rPr>
            </w:pPr>
          </w:p>
        </w:tc>
        <w:tc>
          <w:tcPr>
            <w:tcW w:w="1000" w:type="dxa"/>
            <w:vAlign w:val="bottom"/>
            <w:gridSpan w:val="6"/>
          </w:tcPr>
          <w:p>
            <w:pPr>
              <w:spacing w:after="0"/>
              <w:rPr>
                <w:sz w:val="20"/>
                <w:szCs w:val="20"/>
                <w:color w:val="auto"/>
              </w:rPr>
            </w:pPr>
            <w:r>
              <w:rPr>
                <w:rFonts w:ascii="Times New Roman" w:cs="Times New Roman" w:eastAsia="Times New Roman" w:hAnsi="Times New Roman"/>
                <w:sz w:val="20"/>
                <w:szCs w:val="20"/>
                <w:color w:val="0000FF"/>
              </w:rPr>
              <w:t>Item 6.</w:t>
            </w:r>
          </w:p>
        </w:tc>
        <w:tc>
          <w:tcPr>
            <w:tcW w:w="142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20"/>
                <w:szCs w:val="20"/>
                <w:color w:val="0000FF"/>
              </w:rPr>
              <w:t>[Reserved].</w:t>
            </w:r>
          </w:p>
        </w:tc>
        <w:tc>
          <w:tcPr>
            <w:tcW w:w="6200" w:type="dxa"/>
            <w:vAlign w:val="bottom"/>
            <w:gridSpan w:val="15"/>
          </w:tcPr>
          <w:p>
            <w:pPr>
              <w:spacing w:after="0"/>
              <w:rPr>
                <w:sz w:val="21"/>
                <w:szCs w:val="21"/>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40" w:type="dxa"/>
            <w:vAlign w:val="bottom"/>
          </w:tcPr>
          <w:p>
            <w:pPr>
              <w:spacing w:after="0"/>
              <w:rPr>
                <w:sz w:val="23"/>
                <w:szCs w:val="23"/>
                <w:color w:val="auto"/>
              </w:rPr>
            </w:pPr>
          </w:p>
        </w:tc>
        <w:tc>
          <w:tcPr>
            <w:tcW w:w="1000" w:type="dxa"/>
            <w:vAlign w:val="bottom"/>
            <w:gridSpan w:val="6"/>
          </w:tcPr>
          <w:p>
            <w:pPr>
              <w:spacing w:after="0"/>
              <w:rPr>
                <w:sz w:val="20"/>
                <w:szCs w:val="20"/>
                <w:color w:val="auto"/>
              </w:rPr>
            </w:pPr>
            <w:r>
              <w:rPr>
                <w:rFonts w:ascii="Times New Roman" w:cs="Times New Roman" w:eastAsia="Times New Roman" w:hAnsi="Times New Roman"/>
                <w:sz w:val="20"/>
                <w:szCs w:val="20"/>
                <w:color w:val="0000FF"/>
              </w:rPr>
              <w:t>Item 7.</w:t>
            </w:r>
          </w:p>
        </w:tc>
        <w:tc>
          <w:tcPr>
            <w:tcW w:w="7620" w:type="dxa"/>
            <w:vAlign w:val="bottom"/>
            <w:gridSpan w:val="23"/>
          </w:tcPr>
          <w:p>
            <w:pPr>
              <w:spacing w:after="0"/>
              <w:rPr>
                <w:sz w:val="20"/>
                <w:szCs w:val="20"/>
                <w:color w:val="auto"/>
              </w:rPr>
            </w:pPr>
            <w:r>
              <w:rPr>
                <w:rFonts w:ascii="Times New Roman" w:cs="Times New Roman" w:eastAsia="Times New Roman" w:hAnsi="Times New Roman"/>
                <w:sz w:val="20"/>
                <w:szCs w:val="20"/>
                <w:color w:val="0000FF"/>
              </w:rPr>
              <w:t>Management’s Discussion and Analysis of Financial Condition and Results of Operations.</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60" w:type="dxa"/>
            <w:vAlign w:val="bottom"/>
            <w:gridSpan w:val="7"/>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40" w:type="dxa"/>
            <w:vAlign w:val="bottom"/>
          </w:tcPr>
          <w:p>
            <w:pPr>
              <w:spacing w:after="0"/>
              <w:rPr>
                <w:sz w:val="23"/>
                <w:szCs w:val="23"/>
                <w:color w:val="auto"/>
              </w:rPr>
            </w:pPr>
          </w:p>
        </w:tc>
        <w:tc>
          <w:tcPr>
            <w:tcW w:w="6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20"/>
                <w:szCs w:val="20"/>
                <w:color w:val="0000FF"/>
                <w:w w:val="89"/>
              </w:rPr>
              <w:t>Item 7A.</w:t>
            </w:r>
          </w:p>
        </w:tc>
        <w:tc>
          <w:tcPr>
            <w:tcW w:w="320" w:type="dxa"/>
            <w:vAlign w:val="bottom"/>
            <w:gridSpan w:val="2"/>
          </w:tcPr>
          <w:p>
            <w:pPr>
              <w:spacing w:after="0"/>
              <w:rPr>
                <w:sz w:val="23"/>
                <w:szCs w:val="23"/>
                <w:color w:val="auto"/>
              </w:rPr>
            </w:pPr>
          </w:p>
        </w:tc>
        <w:tc>
          <w:tcPr>
            <w:tcW w:w="490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20"/>
                <w:szCs w:val="20"/>
                <w:color w:val="0000FF"/>
                <w:w w:val="99"/>
              </w:rPr>
              <w:t>Quantitative and Qualitative Disclosures About Market Risk.</w:t>
            </w:r>
          </w:p>
        </w:tc>
        <w:tc>
          <w:tcPr>
            <w:tcW w:w="2720" w:type="dxa"/>
            <w:vAlign w:val="bottom"/>
            <w:gridSpan w:val="5"/>
          </w:tcPr>
          <w:p>
            <w:pPr>
              <w:spacing w:after="0"/>
              <w:rPr>
                <w:sz w:val="23"/>
                <w:szCs w:val="23"/>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123</w:t>
            </w:r>
          </w:p>
        </w:tc>
        <w:tc>
          <w:tcPr>
            <w:tcW w:w="0" w:type="dxa"/>
            <w:vAlign w:val="bottom"/>
          </w:tcPr>
          <w:p>
            <w:pPr>
              <w:spacing w:after="0"/>
              <w:rPr>
                <w:sz w:val="1"/>
                <w:szCs w:val="1"/>
                <w:color w:val="auto"/>
              </w:rPr>
            </w:pPr>
          </w:p>
        </w:tc>
      </w:tr>
      <w:tr>
        <w:trPr>
          <w:trHeight w:val="265"/>
        </w:trPr>
        <w:tc>
          <w:tcPr>
            <w:tcW w:w="40" w:type="dxa"/>
            <w:vAlign w:val="bottom"/>
          </w:tcPr>
          <w:p>
            <w:pPr>
              <w:spacing w:after="0"/>
              <w:rPr>
                <w:sz w:val="23"/>
                <w:szCs w:val="23"/>
                <w:color w:val="auto"/>
              </w:rPr>
            </w:pPr>
          </w:p>
        </w:tc>
        <w:tc>
          <w:tcPr>
            <w:tcW w:w="1000" w:type="dxa"/>
            <w:vAlign w:val="bottom"/>
            <w:gridSpan w:val="6"/>
          </w:tcPr>
          <w:p>
            <w:pPr>
              <w:spacing w:after="0"/>
              <w:rPr>
                <w:sz w:val="20"/>
                <w:szCs w:val="20"/>
                <w:color w:val="auto"/>
              </w:rPr>
            </w:pPr>
            <w:r>
              <w:rPr>
                <w:rFonts w:ascii="Times New Roman" w:cs="Times New Roman" w:eastAsia="Times New Roman" w:hAnsi="Times New Roman"/>
                <w:sz w:val="20"/>
                <w:szCs w:val="20"/>
                <w:color w:val="0000FF"/>
              </w:rPr>
              <w:t>Item 8.</w:t>
            </w:r>
          </w:p>
        </w:tc>
        <w:tc>
          <w:tcPr>
            <w:tcW w:w="7620" w:type="dxa"/>
            <w:vAlign w:val="bottom"/>
            <w:gridSpan w:val="23"/>
          </w:tcPr>
          <w:p>
            <w:pPr>
              <w:spacing w:after="0"/>
              <w:rPr>
                <w:sz w:val="20"/>
                <w:szCs w:val="20"/>
                <w:color w:val="auto"/>
              </w:rPr>
            </w:pPr>
            <w:r>
              <w:rPr>
                <w:rFonts w:ascii="Times New Roman" w:cs="Times New Roman" w:eastAsia="Times New Roman" w:hAnsi="Times New Roman"/>
                <w:sz w:val="20"/>
                <w:szCs w:val="20"/>
                <w:color w:val="0000FF"/>
              </w:rPr>
              <w:t>Financial Statements and Supplementary Data.</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60" w:type="dxa"/>
            <w:vAlign w:val="bottom"/>
            <w:gridSpan w:val="7"/>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40" w:type="dxa"/>
            <w:vAlign w:val="bottom"/>
          </w:tcPr>
          <w:p>
            <w:pPr>
              <w:spacing w:after="0"/>
              <w:rPr>
                <w:sz w:val="23"/>
                <w:szCs w:val="23"/>
                <w:color w:val="auto"/>
              </w:rPr>
            </w:pPr>
          </w:p>
        </w:tc>
        <w:tc>
          <w:tcPr>
            <w:tcW w:w="1000" w:type="dxa"/>
            <w:vAlign w:val="bottom"/>
            <w:gridSpan w:val="6"/>
          </w:tcPr>
          <w:p>
            <w:pPr>
              <w:spacing w:after="0"/>
              <w:rPr>
                <w:sz w:val="20"/>
                <w:szCs w:val="20"/>
                <w:color w:val="auto"/>
              </w:rPr>
            </w:pPr>
            <w:r>
              <w:rPr>
                <w:rFonts w:ascii="Times New Roman" w:cs="Times New Roman" w:eastAsia="Times New Roman" w:hAnsi="Times New Roman"/>
                <w:sz w:val="20"/>
                <w:szCs w:val="20"/>
                <w:color w:val="0000FF"/>
              </w:rPr>
              <w:t>Item 9.</w:t>
            </w:r>
          </w:p>
        </w:tc>
        <w:tc>
          <w:tcPr>
            <w:tcW w:w="7620" w:type="dxa"/>
            <w:vAlign w:val="bottom"/>
            <w:gridSpan w:val="23"/>
          </w:tcPr>
          <w:p>
            <w:pPr>
              <w:spacing w:after="0"/>
              <w:rPr>
                <w:sz w:val="20"/>
                <w:szCs w:val="20"/>
                <w:color w:val="auto"/>
              </w:rPr>
            </w:pPr>
            <w:r>
              <w:rPr>
                <w:rFonts w:ascii="Times New Roman" w:cs="Times New Roman" w:eastAsia="Times New Roman" w:hAnsi="Times New Roman"/>
                <w:sz w:val="20"/>
                <w:szCs w:val="20"/>
                <w:color w:val="0000FF"/>
              </w:rPr>
              <w:t>Changes in and Disagreements with Accountants on Accounting and Financial Disclosure.</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156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60" w:type="dxa"/>
            <w:vAlign w:val="bottom"/>
            <w:gridSpan w:val="7"/>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40" w:type="dxa"/>
            <w:vAlign w:val="bottom"/>
          </w:tcPr>
          <w:p>
            <w:pPr>
              <w:spacing w:after="0"/>
              <w:rPr>
                <w:sz w:val="23"/>
                <w:szCs w:val="23"/>
                <w:color w:val="auto"/>
              </w:rPr>
            </w:pPr>
          </w:p>
        </w:tc>
        <w:tc>
          <w:tcPr>
            <w:tcW w:w="680" w:type="dxa"/>
            <w:vAlign w:val="bottom"/>
            <w:gridSpan w:val="4"/>
          </w:tcPr>
          <w:p>
            <w:pPr>
              <w:spacing w:after="0"/>
              <w:rPr>
                <w:sz w:val="20"/>
                <w:szCs w:val="20"/>
                <w:color w:val="auto"/>
              </w:rPr>
            </w:pPr>
            <w:r>
              <w:rPr>
                <w:rFonts w:ascii="Times New Roman" w:cs="Times New Roman" w:eastAsia="Times New Roman" w:hAnsi="Times New Roman"/>
                <w:sz w:val="20"/>
                <w:szCs w:val="20"/>
                <w:color w:val="0000FF"/>
                <w:w w:val="89"/>
              </w:rPr>
              <w:t>Item 9A.</w:t>
            </w:r>
          </w:p>
        </w:tc>
        <w:tc>
          <w:tcPr>
            <w:tcW w:w="320" w:type="dxa"/>
            <w:vAlign w:val="bottom"/>
            <w:gridSpan w:val="2"/>
          </w:tcPr>
          <w:p>
            <w:pPr>
              <w:spacing w:after="0"/>
              <w:rPr>
                <w:sz w:val="23"/>
                <w:szCs w:val="23"/>
                <w:color w:val="auto"/>
              </w:rPr>
            </w:pPr>
          </w:p>
        </w:tc>
        <w:tc>
          <w:tcPr>
            <w:tcW w:w="7620" w:type="dxa"/>
            <w:vAlign w:val="bottom"/>
            <w:gridSpan w:val="23"/>
          </w:tcPr>
          <w:p>
            <w:pPr>
              <w:spacing w:after="0"/>
              <w:rPr>
                <w:sz w:val="20"/>
                <w:szCs w:val="20"/>
                <w:color w:val="auto"/>
              </w:rPr>
            </w:pPr>
            <w:r>
              <w:rPr>
                <w:rFonts w:ascii="Times New Roman" w:cs="Times New Roman" w:eastAsia="Times New Roman" w:hAnsi="Times New Roman"/>
                <w:sz w:val="20"/>
                <w:szCs w:val="20"/>
                <w:color w:val="0000FF"/>
              </w:rPr>
              <w:t>Controls and Procedures.</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156</w:t>
            </w:r>
          </w:p>
        </w:tc>
        <w:tc>
          <w:tcPr>
            <w:tcW w:w="0" w:type="dxa"/>
            <w:vAlign w:val="bottom"/>
          </w:tcPr>
          <w:p>
            <w:pPr>
              <w:spacing w:after="0"/>
              <w:rPr>
                <w:sz w:val="1"/>
                <w:szCs w:val="1"/>
                <w:color w:val="auto"/>
              </w:rPr>
            </w:pPr>
          </w:p>
        </w:tc>
      </w:tr>
      <w:tr>
        <w:trPr>
          <w:trHeight w:val="265"/>
        </w:trPr>
        <w:tc>
          <w:tcPr>
            <w:tcW w:w="40" w:type="dxa"/>
            <w:vAlign w:val="bottom"/>
          </w:tcPr>
          <w:p>
            <w:pPr>
              <w:spacing w:after="0"/>
              <w:rPr>
                <w:sz w:val="23"/>
                <w:szCs w:val="23"/>
                <w:color w:val="auto"/>
              </w:rPr>
            </w:pPr>
          </w:p>
        </w:tc>
        <w:tc>
          <w:tcPr>
            <w:tcW w:w="68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20"/>
                <w:szCs w:val="20"/>
                <w:color w:val="0000FF"/>
                <w:w w:val="91"/>
              </w:rPr>
              <w:t>Item 9B.</w:t>
            </w:r>
          </w:p>
        </w:tc>
        <w:tc>
          <w:tcPr>
            <w:tcW w:w="320" w:type="dxa"/>
            <w:vAlign w:val="bottom"/>
            <w:gridSpan w:val="2"/>
          </w:tcPr>
          <w:p>
            <w:pPr>
              <w:spacing w:after="0"/>
              <w:rPr>
                <w:sz w:val="23"/>
                <w:szCs w:val="23"/>
                <w:color w:val="auto"/>
              </w:rPr>
            </w:pPr>
          </w:p>
        </w:tc>
        <w:tc>
          <w:tcPr>
            <w:tcW w:w="2020" w:type="dxa"/>
            <w:vAlign w:val="bottom"/>
            <w:tcBorders>
              <w:top w:val="single" w:sz="8" w:color="0000FF"/>
            </w:tcBorders>
            <w:gridSpan w:val="11"/>
          </w:tcPr>
          <w:p>
            <w:pPr>
              <w:spacing w:after="0"/>
              <w:rPr>
                <w:sz w:val="20"/>
                <w:szCs w:val="20"/>
                <w:color w:val="auto"/>
              </w:rPr>
            </w:pPr>
            <w:r>
              <w:rPr>
                <w:rFonts w:ascii="Times New Roman" w:cs="Times New Roman" w:eastAsia="Times New Roman" w:hAnsi="Times New Roman"/>
                <w:sz w:val="20"/>
                <w:szCs w:val="20"/>
                <w:color w:val="0000FF"/>
              </w:rPr>
              <w:t>Other Information.</w:t>
            </w:r>
          </w:p>
        </w:tc>
        <w:tc>
          <w:tcPr>
            <w:tcW w:w="5600" w:type="dxa"/>
            <w:vAlign w:val="bottom"/>
            <w:gridSpan w:val="12"/>
          </w:tcPr>
          <w:p>
            <w:pPr>
              <w:spacing w:after="0"/>
              <w:rPr>
                <w:sz w:val="23"/>
                <w:szCs w:val="23"/>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157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80" w:type="dxa"/>
            <w:vAlign w:val="bottom"/>
            <w:tcBorders>
              <w:right w:val="single" w:sz="8" w:color="0000FF"/>
            </w:tcBorders>
            <w:gridSpan w:val="4"/>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60" w:type="dxa"/>
            <w:vAlign w:val="bottom"/>
            <w:gridSpan w:val="7"/>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40" w:type="dxa"/>
            <w:vAlign w:val="bottom"/>
          </w:tcPr>
          <w:p>
            <w:pPr>
              <w:spacing w:after="0"/>
              <w:rPr>
                <w:sz w:val="23"/>
                <w:szCs w:val="23"/>
                <w:color w:val="auto"/>
              </w:rPr>
            </w:pPr>
          </w:p>
        </w:tc>
        <w:tc>
          <w:tcPr>
            <w:tcW w:w="1000" w:type="dxa"/>
            <w:vAlign w:val="bottom"/>
            <w:gridSpan w:val="6"/>
          </w:tcPr>
          <w:p>
            <w:pPr>
              <w:spacing w:after="0"/>
              <w:rPr>
                <w:sz w:val="20"/>
                <w:szCs w:val="20"/>
                <w:color w:val="auto"/>
              </w:rPr>
            </w:pPr>
            <w:r>
              <w:rPr>
                <w:rFonts w:ascii="Times New Roman" w:cs="Times New Roman" w:eastAsia="Times New Roman" w:hAnsi="Times New Roman"/>
                <w:sz w:val="20"/>
                <w:szCs w:val="20"/>
                <w:color w:val="0000FF"/>
              </w:rPr>
              <w:t>Item 9C.</w:t>
            </w:r>
          </w:p>
        </w:tc>
        <w:tc>
          <w:tcPr>
            <w:tcW w:w="7620" w:type="dxa"/>
            <w:vAlign w:val="bottom"/>
            <w:gridSpan w:val="23"/>
          </w:tcPr>
          <w:p>
            <w:pPr>
              <w:spacing w:after="0"/>
              <w:rPr>
                <w:sz w:val="20"/>
                <w:szCs w:val="20"/>
                <w:color w:val="auto"/>
              </w:rPr>
            </w:pPr>
            <w:r>
              <w:rPr>
                <w:rFonts w:ascii="Times New Roman" w:cs="Times New Roman" w:eastAsia="Times New Roman" w:hAnsi="Times New Roman"/>
                <w:sz w:val="20"/>
                <w:szCs w:val="20"/>
                <w:color w:val="0000FF"/>
              </w:rPr>
              <w:t>Disclosure Regarding Foreign Jurisdictions that Prevent Inspections.</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157</w:t>
            </w:r>
          </w:p>
        </w:tc>
        <w:tc>
          <w:tcPr>
            <w:tcW w:w="0" w:type="dxa"/>
            <w:vAlign w:val="bottom"/>
          </w:tcPr>
          <w:p>
            <w:pPr>
              <w:spacing w:after="0"/>
              <w:rPr>
                <w:sz w:val="1"/>
                <w:szCs w:val="1"/>
                <w:color w:val="auto"/>
              </w:rPr>
            </w:pPr>
          </w:p>
        </w:tc>
      </w:tr>
      <w:tr>
        <w:trPr>
          <w:trHeight w:val="262"/>
        </w:trPr>
        <w:tc>
          <w:tcPr>
            <w:tcW w:w="40" w:type="dxa"/>
            <w:vAlign w:val="bottom"/>
          </w:tcPr>
          <w:p>
            <w:pPr>
              <w:spacing w:after="0"/>
              <w:rPr>
                <w:sz w:val="22"/>
                <w:szCs w:val="22"/>
                <w:color w:val="auto"/>
              </w:rPr>
            </w:pPr>
          </w:p>
        </w:tc>
        <w:tc>
          <w:tcPr>
            <w:tcW w:w="68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20"/>
                <w:szCs w:val="20"/>
                <w:b w:val="1"/>
                <w:bCs w:val="1"/>
                <w:color w:val="0000FF"/>
                <w:w w:val="96"/>
              </w:rPr>
              <w:t>Part III</w:t>
            </w:r>
          </w:p>
        </w:tc>
        <w:tc>
          <w:tcPr>
            <w:tcW w:w="320" w:type="dxa"/>
            <w:vAlign w:val="bottom"/>
            <w:gridSpan w:val="2"/>
          </w:tcPr>
          <w:p>
            <w:pPr>
              <w:spacing w:after="0"/>
              <w:rPr>
                <w:sz w:val="22"/>
                <w:szCs w:val="22"/>
                <w:color w:val="auto"/>
              </w:rPr>
            </w:pPr>
          </w:p>
        </w:tc>
        <w:tc>
          <w:tcPr>
            <w:tcW w:w="380" w:type="dxa"/>
            <w:vAlign w:val="bottom"/>
            <w:tcBorders>
              <w:top w:val="single" w:sz="8" w:color="0000FF"/>
            </w:tcBorders>
          </w:tcPr>
          <w:p>
            <w:pPr>
              <w:spacing w:after="0"/>
              <w:rPr>
                <w:sz w:val="22"/>
                <w:szCs w:val="22"/>
                <w:color w:val="auto"/>
              </w:rPr>
            </w:pPr>
          </w:p>
        </w:tc>
        <w:tc>
          <w:tcPr>
            <w:tcW w:w="28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120" w:type="dxa"/>
            <w:vAlign w:val="bottom"/>
            <w:tcBorders>
              <w:top w:val="single" w:sz="8" w:color="0000FF"/>
            </w:tcBorders>
          </w:tcPr>
          <w:p>
            <w:pPr>
              <w:spacing w:after="0"/>
              <w:rPr>
                <w:sz w:val="22"/>
                <w:szCs w:val="22"/>
                <w:color w:val="auto"/>
              </w:rPr>
            </w:pPr>
          </w:p>
        </w:tc>
        <w:tc>
          <w:tcPr>
            <w:tcW w:w="60" w:type="dxa"/>
            <w:vAlign w:val="bottom"/>
            <w:tcBorders>
              <w:top w:val="single" w:sz="8" w:color="0000FF"/>
            </w:tcBorders>
          </w:tcPr>
          <w:p>
            <w:pPr>
              <w:spacing w:after="0"/>
              <w:rPr>
                <w:sz w:val="22"/>
                <w:szCs w:val="22"/>
                <w:color w:val="auto"/>
              </w:rPr>
            </w:pPr>
          </w:p>
        </w:tc>
        <w:tc>
          <w:tcPr>
            <w:tcW w:w="30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260" w:type="dxa"/>
            <w:vAlign w:val="bottom"/>
            <w:tcBorders>
              <w:top w:val="single" w:sz="8" w:color="0000FF"/>
            </w:tcBorders>
          </w:tcPr>
          <w:p>
            <w:pPr>
              <w:spacing w:after="0"/>
              <w:rPr>
                <w:sz w:val="22"/>
                <w:szCs w:val="22"/>
                <w:color w:val="auto"/>
              </w:rPr>
            </w:pPr>
          </w:p>
        </w:tc>
        <w:tc>
          <w:tcPr>
            <w:tcW w:w="24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280" w:type="dxa"/>
            <w:vAlign w:val="bottom"/>
            <w:tcBorders>
              <w:top w:val="single" w:sz="8" w:color="0000FF"/>
            </w:tcBorders>
          </w:tcPr>
          <w:p>
            <w:pPr>
              <w:spacing w:after="0"/>
              <w:rPr>
                <w:sz w:val="22"/>
                <w:szCs w:val="22"/>
                <w:color w:val="auto"/>
              </w:rPr>
            </w:pPr>
          </w:p>
        </w:tc>
        <w:tc>
          <w:tcPr>
            <w:tcW w:w="90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480" w:type="dxa"/>
            <w:vAlign w:val="bottom"/>
            <w:tcBorders>
              <w:top w:val="single" w:sz="8" w:color="0000FF"/>
            </w:tcBorders>
          </w:tcPr>
          <w:p>
            <w:pPr>
              <w:spacing w:after="0"/>
              <w:rPr>
                <w:sz w:val="22"/>
                <w:szCs w:val="22"/>
                <w:color w:val="auto"/>
              </w:rPr>
            </w:pPr>
          </w:p>
        </w:tc>
        <w:tc>
          <w:tcPr>
            <w:tcW w:w="840" w:type="dxa"/>
            <w:vAlign w:val="bottom"/>
            <w:tcBorders>
              <w:top w:val="single" w:sz="8" w:color="0000FF"/>
            </w:tcBorders>
          </w:tcPr>
          <w:p>
            <w:pPr>
              <w:spacing w:after="0"/>
              <w:rPr>
                <w:sz w:val="22"/>
                <w:szCs w:val="22"/>
                <w:color w:val="auto"/>
              </w:rPr>
            </w:pPr>
          </w:p>
        </w:tc>
        <w:tc>
          <w:tcPr>
            <w:tcW w:w="300" w:type="dxa"/>
            <w:vAlign w:val="bottom"/>
            <w:tcBorders>
              <w:top w:val="single" w:sz="8" w:color="0000FF"/>
            </w:tcBorders>
          </w:tcPr>
          <w:p>
            <w:pPr>
              <w:spacing w:after="0"/>
              <w:rPr>
                <w:sz w:val="22"/>
                <w:szCs w:val="22"/>
                <w:color w:val="auto"/>
              </w:rPr>
            </w:pPr>
          </w:p>
        </w:tc>
        <w:tc>
          <w:tcPr>
            <w:tcW w:w="600" w:type="dxa"/>
            <w:vAlign w:val="bottom"/>
            <w:tcBorders>
              <w:top w:val="single" w:sz="8" w:color="0000FF"/>
            </w:tcBorders>
          </w:tcPr>
          <w:p>
            <w:pPr>
              <w:spacing w:after="0"/>
              <w:rPr>
                <w:sz w:val="22"/>
                <w:szCs w:val="22"/>
                <w:color w:val="auto"/>
              </w:rPr>
            </w:pPr>
          </w:p>
        </w:tc>
        <w:tc>
          <w:tcPr>
            <w:tcW w:w="6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40" w:type="dxa"/>
            <w:vAlign w:val="bottom"/>
          </w:tcPr>
          <w:p>
            <w:pPr>
              <w:spacing w:after="0"/>
              <w:rPr>
                <w:sz w:val="23"/>
                <w:szCs w:val="23"/>
                <w:color w:val="auto"/>
              </w:rPr>
            </w:pPr>
          </w:p>
        </w:tc>
        <w:tc>
          <w:tcPr>
            <w:tcW w:w="680" w:type="dxa"/>
            <w:vAlign w:val="bottom"/>
            <w:gridSpan w:val="4"/>
          </w:tcPr>
          <w:p>
            <w:pPr>
              <w:spacing w:after="0"/>
              <w:rPr>
                <w:sz w:val="20"/>
                <w:szCs w:val="20"/>
                <w:color w:val="auto"/>
              </w:rPr>
            </w:pPr>
            <w:r>
              <w:rPr>
                <w:rFonts w:ascii="Times New Roman" w:cs="Times New Roman" w:eastAsia="Times New Roman" w:hAnsi="Times New Roman"/>
                <w:sz w:val="20"/>
                <w:szCs w:val="20"/>
                <w:color w:val="0000FF"/>
                <w:w w:val="95"/>
              </w:rPr>
              <w:t>Item 10.</w:t>
            </w:r>
          </w:p>
        </w:tc>
        <w:tc>
          <w:tcPr>
            <w:tcW w:w="320" w:type="dxa"/>
            <w:vAlign w:val="bottom"/>
            <w:gridSpan w:val="2"/>
          </w:tcPr>
          <w:p>
            <w:pPr>
              <w:spacing w:after="0"/>
              <w:rPr>
                <w:sz w:val="23"/>
                <w:szCs w:val="23"/>
                <w:color w:val="auto"/>
              </w:rPr>
            </w:pPr>
          </w:p>
        </w:tc>
        <w:tc>
          <w:tcPr>
            <w:tcW w:w="7620" w:type="dxa"/>
            <w:vAlign w:val="bottom"/>
            <w:gridSpan w:val="23"/>
          </w:tcPr>
          <w:p>
            <w:pPr>
              <w:spacing w:after="0"/>
              <w:rPr>
                <w:sz w:val="20"/>
                <w:szCs w:val="20"/>
                <w:color w:val="auto"/>
              </w:rPr>
            </w:pPr>
            <w:r>
              <w:rPr>
                <w:rFonts w:ascii="Times New Roman" w:cs="Times New Roman" w:eastAsia="Times New Roman" w:hAnsi="Times New Roman"/>
                <w:sz w:val="20"/>
                <w:szCs w:val="20"/>
                <w:color w:val="0000FF"/>
              </w:rPr>
              <w:t>Directors, Executive Officers and Corporate Governance.</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158</w:t>
            </w:r>
          </w:p>
        </w:tc>
        <w:tc>
          <w:tcPr>
            <w:tcW w:w="0" w:type="dxa"/>
            <w:vAlign w:val="bottom"/>
          </w:tcPr>
          <w:p>
            <w:pPr>
              <w:spacing w:after="0"/>
              <w:rPr>
                <w:sz w:val="1"/>
                <w:szCs w:val="1"/>
                <w:color w:val="auto"/>
              </w:rPr>
            </w:pPr>
          </w:p>
        </w:tc>
      </w:tr>
      <w:tr>
        <w:trPr>
          <w:trHeight w:val="265"/>
        </w:trPr>
        <w:tc>
          <w:tcPr>
            <w:tcW w:w="40" w:type="dxa"/>
            <w:vAlign w:val="bottom"/>
          </w:tcPr>
          <w:p>
            <w:pPr>
              <w:spacing w:after="0"/>
              <w:rPr>
                <w:sz w:val="23"/>
                <w:szCs w:val="23"/>
                <w:color w:val="auto"/>
              </w:rPr>
            </w:pPr>
          </w:p>
        </w:tc>
        <w:tc>
          <w:tcPr>
            <w:tcW w:w="68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20"/>
                <w:szCs w:val="20"/>
                <w:color w:val="0000FF"/>
                <w:w w:val="95"/>
              </w:rPr>
              <w:t>Item 11.</w:t>
            </w:r>
          </w:p>
        </w:tc>
        <w:tc>
          <w:tcPr>
            <w:tcW w:w="320" w:type="dxa"/>
            <w:vAlign w:val="bottom"/>
            <w:gridSpan w:val="2"/>
          </w:tcPr>
          <w:p>
            <w:pPr>
              <w:spacing w:after="0"/>
              <w:rPr>
                <w:sz w:val="23"/>
                <w:szCs w:val="23"/>
                <w:color w:val="auto"/>
              </w:rPr>
            </w:pPr>
          </w:p>
        </w:tc>
        <w:tc>
          <w:tcPr>
            <w:tcW w:w="4600" w:type="dxa"/>
            <w:vAlign w:val="bottom"/>
            <w:tcBorders>
              <w:top w:val="single" w:sz="8" w:color="0000FF"/>
            </w:tcBorders>
            <w:gridSpan w:val="17"/>
          </w:tcPr>
          <w:p>
            <w:pPr>
              <w:spacing w:after="0"/>
              <w:rPr>
                <w:sz w:val="20"/>
                <w:szCs w:val="20"/>
                <w:color w:val="auto"/>
              </w:rPr>
            </w:pPr>
            <w:r>
              <w:rPr>
                <w:rFonts w:ascii="Times New Roman" w:cs="Times New Roman" w:eastAsia="Times New Roman" w:hAnsi="Times New Roman"/>
                <w:sz w:val="20"/>
                <w:szCs w:val="20"/>
                <w:color w:val="0000FF"/>
              </w:rPr>
              <w:t>Executive Compensation.</w:t>
            </w:r>
          </w:p>
        </w:tc>
        <w:tc>
          <w:tcPr>
            <w:tcW w:w="3020" w:type="dxa"/>
            <w:vAlign w:val="bottom"/>
            <w:gridSpan w:val="6"/>
          </w:tcPr>
          <w:p>
            <w:pPr>
              <w:spacing w:after="0"/>
              <w:rPr>
                <w:sz w:val="23"/>
                <w:szCs w:val="23"/>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158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80" w:type="dxa"/>
            <w:vAlign w:val="bottom"/>
            <w:tcBorders>
              <w:right w:val="single" w:sz="8" w:color="0000FF"/>
            </w:tcBorders>
            <w:gridSpan w:val="4"/>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120" w:type="dxa"/>
            <w:vAlign w:val="bottom"/>
            <w:gridSpan w:val="8"/>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40" w:type="dxa"/>
            <w:vAlign w:val="bottom"/>
            <w:gridSpan w:val="5"/>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40" w:type="dxa"/>
            <w:vAlign w:val="bottom"/>
          </w:tcPr>
          <w:p>
            <w:pPr>
              <w:spacing w:after="0"/>
              <w:rPr>
                <w:sz w:val="23"/>
                <w:szCs w:val="23"/>
                <w:color w:val="auto"/>
              </w:rPr>
            </w:pPr>
          </w:p>
        </w:tc>
        <w:tc>
          <w:tcPr>
            <w:tcW w:w="680" w:type="dxa"/>
            <w:vAlign w:val="bottom"/>
            <w:gridSpan w:val="4"/>
          </w:tcPr>
          <w:p>
            <w:pPr>
              <w:spacing w:after="0"/>
              <w:rPr>
                <w:sz w:val="20"/>
                <w:szCs w:val="20"/>
                <w:color w:val="auto"/>
              </w:rPr>
            </w:pPr>
            <w:r>
              <w:rPr>
                <w:rFonts w:ascii="Times New Roman" w:cs="Times New Roman" w:eastAsia="Times New Roman" w:hAnsi="Times New Roman"/>
                <w:sz w:val="20"/>
                <w:szCs w:val="20"/>
                <w:color w:val="0000FF"/>
                <w:w w:val="95"/>
              </w:rPr>
              <w:t>Item 12.</w:t>
            </w:r>
          </w:p>
        </w:tc>
        <w:tc>
          <w:tcPr>
            <w:tcW w:w="320" w:type="dxa"/>
            <w:vAlign w:val="bottom"/>
            <w:gridSpan w:val="2"/>
          </w:tcPr>
          <w:p>
            <w:pPr>
              <w:spacing w:after="0"/>
              <w:rPr>
                <w:sz w:val="23"/>
                <w:szCs w:val="23"/>
                <w:color w:val="auto"/>
              </w:rPr>
            </w:pPr>
          </w:p>
        </w:tc>
        <w:tc>
          <w:tcPr>
            <w:tcW w:w="7620" w:type="dxa"/>
            <w:vAlign w:val="bottom"/>
            <w:gridSpan w:val="23"/>
          </w:tcPr>
          <w:p>
            <w:pPr>
              <w:spacing w:after="0"/>
              <w:rPr>
                <w:sz w:val="20"/>
                <w:szCs w:val="20"/>
                <w:color w:val="auto"/>
              </w:rPr>
            </w:pPr>
            <w:r>
              <w:rPr>
                <w:rFonts w:ascii="Times New Roman" w:cs="Times New Roman" w:eastAsia="Times New Roman" w:hAnsi="Times New Roman"/>
                <w:sz w:val="20"/>
                <w:szCs w:val="20"/>
                <w:color w:val="0000FF"/>
              </w:rPr>
              <w:t>Security Ownership of Certain Beneficial Owners and Management and Related Stockholder</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158</w:t>
            </w: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50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500" w:type="dxa"/>
            <w:vAlign w:val="bottom"/>
            <w:tcBorders>
              <w:top w:val="single" w:sz="8" w:color="0000FF"/>
            </w:tcBorders>
            <w:gridSpan w:val="22"/>
          </w:tcPr>
          <w:p>
            <w:pPr>
              <w:spacing w:after="0" w:line="180" w:lineRule="exact"/>
              <w:rPr>
                <w:sz w:val="20"/>
                <w:szCs w:val="20"/>
                <w:color w:val="auto"/>
              </w:rPr>
            </w:pPr>
            <w:r>
              <w:rPr>
                <w:rFonts w:ascii="Times New Roman" w:cs="Times New Roman" w:eastAsia="Times New Roman" w:hAnsi="Times New Roman"/>
                <w:sz w:val="20"/>
                <w:szCs w:val="20"/>
                <w:color w:val="0000FF"/>
              </w:rPr>
              <w:t>Matters.</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120" w:type="dxa"/>
            <w:vAlign w:val="bottom"/>
            <w:gridSpan w:val="8"/>
          </w:tcPr>
          <w:p>
            <w:pPr>
              <w:spacing w:after="0" w:line="20" w:lineRule="exact"/>
              <w:rPr>
                <w:sz w:val="1"/>
                <w:szCs w:val="1"/>
                <w:color w:val="auto"/>
              </w:rPr>
            </w:pPr>
          </w:p>
        </w:tc>
        <w:tc>
          <w:tcPr>
            <w:tcW w:w="14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40" w:type="dxa"/>
            <w:vAlign w:val="bottom"/>
            <w:gridSpan w:val="5"/>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40" w:type="dxa"/>
            <w:vAlign w:val="bottom"/>
          </w:tcPr>
          <w:p>
            <w:pPr>
              <w:spacing w:after="0"/>
              <w:rPr>
                <w:sz w:val="21"/>
                <w:szCs w:val="21"/>
                <w:color w:val="auto"/>
              </w:rPr>
            </w:pPr>
          </w:p>
        </w:tc>
        <w:tc>
          <w:tcPr>
            <w:tcW w:w="6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20"/>
                <w:szCs w:val="20"/>
                <w:color w:val="0000FF"/>
                <w:w w:val="95"/>
              </w:rPr>
              <w:t>Item 13.</w:t>
            </w:r>
          </w:p>
        </w:tc>
        <w:tc>
          <w:tcPr>
            <w:tcW w:w="320" w:type="dxa"/>
            <w:vAlign w:val="bottom"/>
            <w:gridSpan w:val="2"/>
          </w:tcPr>
          <w:p>
            <w:pPr>
              <w:spacing w:after="0"/>
              <w:rPr>
                <w:sz w:val="21"/>
                <w:szCs w:val="21"/>
                <w:color w:val="auto"/>
              </w:rPr>
            </w:pPr>
          </w:p>
        </w:tc>
        <w:tc>
          <w:tcPr>
            <w:tcW w:w="612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20"/>
                <w:szCs w:val="20"/>
                <w:color w:val="0000FF"/>
                <w:w w:val="99"/>
              </w:rPr>
              <w:t>Certain Relationships and Related Transactions, and Director Independence.</w:t>
            </w:r>
          </w:p>
        </w:tc>
        <w:tc>
          <w:tcPr>
            <w:tcW w:w="1500" w:type="dxa"/>
            <w:vAlign w:val="bottom"/>
            <w:gridSpan w:val="3"/>
          </w:tcPr>
          <w:p>
            <w:pPr>
              <w:spacing w:after="0"/>
              <w:rPr>
                <w:sz w:val="21"/>
                <w:szCs w:val="21"/>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158</w:t>
            </w:r>
          </w:p>
        </w:tc>
        <w:tc>
          <w:tcPr>
            <w:tcW w:w="0" w:type="dxa"/>
            <w:vAlign w:val="bottom"/>
          </w:tcPr>
          <w:p>
            <w:pPr>
              <w:spacing w:after="0"/>
              <w:rPr>
                <w:sz w:val="1"/>
                <w:szCs w:val="1"/>
                <w:color w:val="auto"/>
              </w:rPr>
            </w:pPr>
          </w:p>
        </w:tc>
      </w:tr>
      <w:tr>
        <w:trPr>
          <w:trHeight w:val="265"/>
        </w:trPr>
        <w:tc>
          <w:tcPr>
            <w:tcW w:w="40" w:type="dxa"/>
            <w:vAlign w:val="bottom"/>
          </w:tcPr>
          <w:p>
            <w:pPr>
              <w:spacing w:after="0"/>
              <w:rPr>
                <w:sz w:val="23"/>
                <w:szCs w:val="23"/>
                <w:color w:val="auto"/>
              </w:rPr>
            </w:pPr>
          </w:p>
        </w:tc>
        <w:tc>
          <w:tcPr>
            <w:tcW w:w="680" w:type="dxa"/>
            <w:vAlign w:val="bottom"/>
            <w:gridSpan w:val="4"/>
          </w:tcPr>
          <w:p>
            <w:pPr>
              <w:spacing w:after="0"/>
              <w:rPr>
                <w:sz w:val="20"/>
                <w:szCs w:val="20"/>
                <w:color w:val="auto"/>
              </w:rPr>
            </w:pPr>
            <w:r>
              <w:rPr>
                <w:rFonts w:ascii="Times New Roman" w:cs="Times New Roman" w:eastAsia="Times New Roman" w:hAnsi="Times New Roman"/>
                <w:sz w:val="20"/>
                <w:szCs w:val="20"/>
                <w:color w:val="0000FF"/>
                <w:w w:val="95"/>
              </w:rPr>
              <w:t>Item 14.</w:t>
            </w:r>
          </w:p>
        </w:tc>
        <w:tc>
          <w:tcPr>
            <w:tcW w:w="320" w:type="dxa"/>
            <w:vAlign w:val="bottom"/>
            <w:gridSpan w:val="2"/>
          </w:tcPr>
          <w:p>
            <w:pPr>
              <w:spacing w:after="0"/>
              <w:rPr>
                <w:sz w:val="23"/>
                <w:szCs w:val="23"/>
                <w:color w:val="auto"/>
              </w:rPr>
            </w:pPr>
          </w:p>
        </w:tc>
        <w:tc>
          <w:tcPr>
            <w:tcW w:w="7620" w:type="dxa"/>
            <w:vAlign w:val="bottom"/>
            <w:gridSpan w:val="23"/>
          </w:tcPr>
          <w:p>
            <w:pPr>
              <w:spacing w:after="0"/>
              <w:rPr>
                <w:sz w:val="20"/>
                <w:szCs w:val="20"/>
                <w:color w:val="auto"/>
              </w:rPr>
            </w:pPr>
            <w:r>
              <w:rPr>
                <w:rFonts w:ascii="Times New Roman" w:cs="Times New Roman" w:eastAsia="Times New Roman" w:hAnsi="Times New Roman"/>
                <w:sz w:val="20"/>
                <w:szCs w:val="20"/>
                <w:color w:val="0000FF"/>
              </w:rPr>
              <w:t>Principal Accounting Fees and Services.</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158</w:t>
            </w:r>
          </w:p>
        </w:tc>
        <w:tc>
          <w:tcPr>
            <w:tcW w:w="0" w:type="dxa"/>
            <w:vAlign w:val="bottom"/>
          </w:tcPr>
          <w:p>
            <w:pPr>
              <w:spacing w:after="0"/>
              <w:rPr>
                <w:sz w:val="1"/>
                <w:szCs w:val="1"/>
                <w:color w:val="auto"/>
              </w:rPr>
            </w:pPr>
          </w:p>
        </w:tc>
      </w:tr>
      <w:tr>
        <w:trPr>
          <w:trHeight w:val="262"/>
        </w:trPr>
        <w:tc>
          <w:tcPr>
            <w:tcW w:w="40" w:type="dxa"/>
            <w:vAlign w:val="bottom"/>
          </w:tcPr>
          <w:p>
            <w:pPr>
              <w:spacing w:after="0"/>
              <w:rPr>
                <w:sz w:val="22"/>
                <w:szCs w:val="22"/>
                <w:color w:val="auto"/>
              </w:rPr>
            </w:pPr>
          </w:p>
        </w:tc>
        <w:tc>
          <w:tcPr>
            <w:tcW w:w="68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20"/>
                <w:szCs w:val="20"/>
                <w:b w:val="1"/>
                <w:bCs w:val="1"/>
                <w:color w:val="0000FF"/>
                <w:w w:val="98"/>
              </w:rPr>
              <w:t>Part IV</w:t>
            </w:r>
          </w:p>
        </w:tc>
        <w:tc>
          <w:tcPr>
            <w:tcW w:w="320" w:type="dxa"/>
            <w:vAlign w:val="bottom"/>
            <w:gridSpan w:val="2"/>
          </w:tcPr>
          <w:p>
            <w:pPr>
              <w:spacing w:after="0"/>
              <w:rPr>
                <w:sz w:val="22"/>
                <w:szCs w:val="22"/>
                <w:color w:val="auto"/>
              </w:rPr>
            </w:pPr>
          </w:p>
        </w:tc>
        <w:tc>
          <w:tcPr>
            <w:tcW w:w="380" w:type="dxa"/>
            <w:vAlign w:val="bottom"/>
            <w:tcBorders>
              <w:top w:val="single" w:sz="8" w:color="0000FF"/>
            </w:tcBorders>
          </w:tcPr>
          <w:p>
            <w:pPr>
              <w:spacing w:after="0"/>
              <w:rPr>
                <w:sz w:val="22"/>
                <w:szCs w:val="22"/>
                <w:color w:val="auto"/>
              </w:rPr>
            </w:pPr>
          </w:p>
        </w:tc>
        <w:tc>
          <w:tcPr>
            <w:tcW w:w="28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120" w:type="dxa"/>
            <w:vAlign w:val="bottom"/>
            <w:tcBorders>
              <w:top w:val="single" w:sz="8" w:color="0000FF"/>
            </w:tcBorders>
          </w:tcPr>
          <w:p>
            <w:pPr>
              <w:spacing w:after="0"/>
              <w:rPr>
                <w:sz w:val="22"/>
                <w:szCs w:val="22"/>
                <w:color w:val="auto"/>
              </w:rPr>
            </w:pPr>
          </w:p>
        </w:tc>
        <w:tc>
          <w:tcPr>
            <w:tcW w:w="60" w:type="dxa"/>
            <w:vAlign w:val="bottom"/>
            <w:tcBorders>
              <w:top w:val="single" w:sz="8" w:color="0000FF"/>
            </w:tcBorders>
          </w:tcPr>
          <w:p>
            <w:pPr>
              <w:spacing w:after="0"/>
              <w:rPr>
                <w:sz w:val="22"/>
                <w:szCs w:val="22"/>
                <w:color w:val="auto"/>
              </w:rPr>
            </w:pPr>
          </w:p>
        </w:tc>
        <w:tc>
          <w:tcPr>
            <w:tcW w:w="30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260" w:type="dxa"/>
            <w:vAlign w:val="bottom"/>
            <w:tcBorders>
              <w:top w:val="single" w:sz="8" w:color="0000FF"/>
            </w:tcBorders>
          </w:tcPr>
          <w:p>
            <w:pPr>
              <w:spacing w:after="0"/>
              <w:rPr>
                <w:sz w:val="22"/>
                <w:szCs w:val="22"/>
                <w:color w:val="auto"/>
              </w:rPr>
            </w:pPr>
          </w:p>
        </w:tc>
        <w:tc>
          <w:tcPr>
            <w:tcW w:w="24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280" w:type="dxa"/>
            <w:vAlign w:val="bottom"/>
            <w:tcBorders>
              <w:top w:val="single" w:sz="8" w:color="0000FF"/>
            </w:tcBorders>
          </w:tcPr>
          <w:p>
            <w:pPr>
              <w:spacing w:after="0"/>
              <w:rPr>
                <w:sz w:val="22"/>
                <w:szCs w:val="22"/>
                <w:color w:val="auto"/>
              </w:rPr>
            </w:pPr>
          </w:p>
        </w:tc>
        <w:tc>
          <w:tcPr>
            <w:tcW w:w="900" w:type="dxa"/>
            <w:vAlign w:val="bottom"/>
            <w:tcBorders>
              <w:top w:val="single" w:sz="8" w:color="0000FF"/>
            </w:tcBorders>
          </w:tcPr>
          <w:p>
            <w:pPr>
              <w:spacing w:after="0"/>
              <w:rPr>
                <w:sz w:val="22"/>
                <w:szCs w:val="22"/>
                <w:color w:val="auto"/>
              </w:rPr>
            </w:pPr>
          </w:p>
        </w:tc>
        <w:tc>
          <w:tcPr>
            <w:tcW w:w="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40" w:type="dxa"/>
            <w:vAlign w:val="bottom"/>
          </w:tcPr>
          <w:p>
            <w:pPr>
              <w:spacing w:after="0"/>
              <w:rPr>
                <w:sz w:val="23"/>
                <w:szCs w:val="23"/>
                <w:color w:val="auto"/>
              </w:rPr>
            </w:pPr>
          </w:p>
        </w:tc>
        <w:tc>
          <w:tcPr>
            <w:tcW w:w="6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20"/>
                <w:szCs w:val="20"/>
                <w:color w:val="0000FF"/>
                <w:w w:val="95"/>
              </w:rPr>
              <w:t>Item 15.</w:t>
            </w:r>
          </w:p>
        </w:tc>
        <w:tc>
          <w:tcPr>
            <w:tcW w:w="320" w:type="dxa"/>
            <w:vAlign w:val="bottom"/>
            <w:gridSpan w:val="2"/>
          </w:tcPr>
          <w:p>
            <w:pPr>
              <w:spacing w:after="0"/>
              <w:rPr>
                <w:sz w:val="23"/>
                <w:szCs w:val="23"/>
                <w:color w:val="auto"/>
              </w:rPr>
            </w:pPr>
          </w:p>
        </w:tc>
        <w:tc>
          <w:tcPr>
            <w:tcW w:w="328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20"/>
                <w:szCs w:val="20"/>
                <w:color w:val="0000FF"/>
                <w:w w:val="99"/>
              </w:rPr>
              <w:t>Exhibits, Financial Statement Schedules.</w:t>
            </w:r>
          </w:p>
        </w:tc>
        <w:tc>
          <w:tcPr>
            <w:tcW w:w="4340" w:type="dxa"/>
            <w:vAlign w:val="bottom"/>
            <w:gridSpan w:val="8"/>
          </w:tcPr>
          <w:p>
            <w:pPr>
              <w:spacing w:after="0"/>
              <w:rPr>
                <w:sz w:val="23"/>
                <w:szCs w:val="23"/>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159</w:t>
            </w:r>
          </w:p>
        </w:tc>
        <w:tc>
          <w:tcPr>
            <w:tcW w:w="0" w:type="dxa"/>
            <w:vAlign w:val="bottom"/>
          </w:tcPr>
          <w:p>
            <w:pPr>
              <w:spacing w:after="0"/>
              <w:rPr>
                <w:sz w:val="1"/>
                <w:szCs w:val="1"/>
                <w:color w:val="auto"/>
              </w:rPr>
            </w:pPr>
          </w:p>
        </w:tc>
      </w:tr>
      <w:tr>
        <w:trPr>
          <w:trHeight w:val="265"/>
        </w:trPr>
        <w:tc>
          <w:tcPr>
            <w:tcW w:w="40" w:type="dxa"/>
            <w:vAlign w:val="bottom"/>
          </w:tcPr>
          <w:p>
            <w:pPr>
              <w:spacing w:after="0"/>
              <w:rPr>
                <w:sz w:val="23"/>
                <w:szCs w:val="23"/>
                <w:color w:val="auto"/>
              </w:rPr>
            </w:pPr>
          </w:p>
        </w:tc>
        <w:tc>
          <w:tcPr>
            <w:tcW w:w="6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20"/>
                <w:szCs w:val="20"/>
                <w:color w:val="0000FF"/>
                <w:w w:val="95"/>
              </w:rPr>
              <w:t>Item 16.</w:t>
            </w:r>
          </w:p>
        </w:tc>
        <w:tc>
          <w:tcPr>
            <w:tcW w:w="320" w:type="dxa"/>
            <w:vAlign w:val="bottom"/>
            <w:gridSpan w:val="2"/>
          </w:tcPr>
          <w:p>
            <w:pPr>
              <w:spacing w:after="0"/>
              <w:rPr>
                <w:sz w:val="23"/>
                <w:szCs w:val="23"/>
                <w:color w:val="auto"/>
              </w:rPr>
            </w:pPr>
          </w:p>
        </w:tc>
        <w:tc>
          <w:tcPr>
            <w:tcW w:w="178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20"/>
                <w:szCs w:val="20"/>
                <w:color w:val="0000FF"/>
                <w:w w:val="99"/>
              </w:rPr>
              <w:t>Form 10-K Summary.</w:t>
            </w:r>
          </w:p>
        </w:tc>
        <w:tc>
          <w:tcPr>
            <w:tcW w:w="5840" w:type="dxa"/>
            <w:vAlign w:val="bottom"/>
            <w:gridSpan w:val="13"/>
          </w:tcPr>
          <w:p>
            <w:pPr>
              <w:spacing w:after="0"/>
              <w:rPr>
                <w:sz w:val="23"/>
                <w:szCs w:val="23"/>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161</w:t>
            </w:r>
          </w:p>
        </w:tc>
        <w:tc>
          <w:tcPr>
            <w:tcW w:w="0" w:type="dxa"/>
            <w:vAlign w:val="bottom"/>
          </w:tcPr>
          <w:p>
            <w:pPr>
              <w:spacing w:after="0"/>
              <w:rPr>
                <w:sz w:val="1"/>
                <w:szCs w:val="1"/>
                <w:color w:val="auto"/>
              </w:rPr>
            </w:pPr>
          </w:p>
        </w:tc>
      </w:tr>
      <w:tr>
        <w:trPr>
          <w:trHeight w:val="265"/>
        </w:trPr>
        <w:tc>
          <w:tcPr>
            <w:tcW w:w="40" w:type="dxa"/>
            <w:vAlign w:val="bottom"/>
          </w:tcPr>
          <w:p>
            <w:pPr>
              <w:spacing w:after="0"/>
              <w:rPr>
                <w:sz w:val="23"/>
                <w:szCs w:val="23"/>
                <w:color w:val="auto"/>
              </w:rPr>
            </w:pPr>
          </w:p>
        </w:tc>
        <w:tc>
          <w:tcPr>
            <w:tcW w:w="1000" w:type="dxa"/>
            <w:vAlign w:val="bottom"/>
            <w:gridSpan w:val="6"/>
          </w:tcPr>
          <w:p>
            <w:pPr>
              <w:spacing w:after="0"/>
              <w:rPr>
                <w:sz w:val="20"/>
                <w:szCs w:val="20"/>
                <w:color w:val="auto"/>
              </w:rPr>
            </w:pPr>
            <w:r>
              <w:rPr>
                <w:rFonts w:ascii="Times New Roman" w:cs="Times New Roman" w:eastAsia="Times New Roman" w:hAnsi="Times New Roman"/>
                <w:sz w:val="20"/>
                <w:szCs w:val="20"/>
                <w:color w:val="0000FF"/>
              </w:rPr>
              <w:t>Signatures</w:t>
            </w:r>
          </w:p>
        </w:tc>
        <w:tc>
          <w:tcPr>
            <w:tcW w:w="3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162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9900"/>
          </w:cols>
          <w:pgMar w:left="1180" w:top="195"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ectPr>
          <w:pgSz w:w="12240" w:h="15840" w:orient="portrait"/>
          <w:cols w:equalWidth="0" w:num="1">
            <w:col w:w="9900"/>
          </w:cols>
          <w:pgMar w:left="1180" w:top="195" w:right="1160" w:bottom="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9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SPECIAL NOTE REGARDING FORWARD-LOOKING STATEMENTS</w:t>
      </w:r>
    </w:p>
    <w:p>
      <w:pPr>
        <w:spacing w:after="0" w:line="137" w:lineRule="exact"/>
        <w:rPr>
          <w:sz w:val="20"/>
          <w:szCs w:val="20"/>
          <w:color w:val="auto"/>
        </w:rPr>
      </w:pPr>
    </w:p>
    <w:p>
      <w:pPr>
        <w:jc w:val="both"/>
        <w:ind w:firstLine="720"/>
        <w:spacing w:after="0" w:line="253" w:lineRule="auto"/>
        <w:rPr>
          <w:sz w:val="20"/>
          <w:szCs w:val="20"/>
          <w:color w:val="auto"/>
        </w:rPr>
      </w:pPr>
      <w:r>
        <w:rPr>
          <w:rFonts w:ascii="Times New Roman" w:cs="Times New Roman" w:eastAsia="Times New Roman" w:hAnsi="Times New Roman"/>
          <w:sz w:val="20"/>
          <w:szCs w:val="20"/>
          <w:color w:val="auto"/>
        </w:rPr>
        <w:t>This Annual Report on Form 10-K (“10-K”), contains express or implied forward-looking statements within the meaning of Section 27A of the Securities Act of 1933, as amended, and Section 21E of the Securities Exchange Act of 1934, as amended, that involve substantial risks and uncertainties. In some cases, forward-looking statements may be identified by the words “may,” “might,” “will,” “could,” “would,” “should,” “expect,” “intend,” “plan,” “objective,” “anticipate,” “believe,” “estimate,” “predict,” “potential,” “continue,” “ongoing,” “aim,” “seek,” “strive,” or the negative of these terms, or other comparable terminology intended to identify statements about the future. These statements involve known and unknown risks, uncertainties and other important factors that may cause our actual results, levels of activity, performance or achievements to be materially different from the information expressed or implied by these forward-looking statements. The forward-looking statements and opinions contained in this 10-K are based upon information available to our management as of the date of this 10-K,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Forward-looking statements contained in this 10-K include, but are not limited to, statements about:</w:t>
      </w:r>
    </w:p>
    <w:p>
      <w:pPr>
        <w:spacing w:after="0" w:line="88" w:lineRule="exact"/>
        <w:rPr>
          <w:sz w:val="20"/>
          <w:szCs w:val="20"/>
          <w:color w:val="auto"/>
        </w:rPr>
      </w:pPr>
    </w:p>
    <w:p>
      <w:pPr>
        <w:ind w:left="1080" w:right="260" w:hanging="370"/>
        <w:spacing w:after="0" w:line="257" w:lineRule="auto"/>
        <w:tabs>
          <w:tab w:leader="none" w:pos="108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proposed transaction with Eli Lilly and Company is subject to a number of conditions beyond our control. Failure to complete the proposed acquisition within the expected time frame, or at all, could have a material adverse effect on our business, operating results, financial condition and our stock price.</w:t>
      </w:r>
    </w:p>
    <w:p>
      <w:pPr>
        <w:spacing w:after="0" w:line="1" w:lineRule="exact"/>
        <w:rPr>
          <w:rFonts w:ascii="Times New Roman" w:cs="Times New Roman" w:eastAsia="Times New Roman" w:hAnsi="Times New Roman"/>
          <w:sz w:val="20"/>
          <w:szCs w:val="20"/>
          <w:color w:val="auto"/>
        </w:rPr>
      </w:pPr>
    </w:p>
    <w:p>
      <w:pPr>
        <w:jc w:val="both"/>
        <w:ind w:left="1080" w:right="20" w:hanging="370"/>
        <w:spacing w:after="0" w:line="250" w:lineRule="auto"/>
        <w:tabs>
          <w:tab w:leader="none" w:pos="108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initiation, timing, progress and results (preliminary, interim or final) of our preclinical studies and clinical trials, and our research and development programs including cleminorexton, ORX142, ORX489 and other orexin agonist molecules;</w:t>
      </w:r>
    </w:p>
    <w:p>
      <w:pPr>
        <w:spacing w:after="0" w:line="1" w:lineRule="exact"/>
        <w:rPr>
          <w:rFonts w:ascii="Times New Roman" w:cs="Times New Roman" w:eastAsia="Times New Roman" w:hAnsi="Times New Roman"/>
          <w:sz w:val="20"/>
          <w:szCs w:val="20"/>
          <w:color w:val="auto"/>
        </w:rPr>
      </w:pPr>
    </w:p>
    <w:p>
      <w:pPr>
        <w:ind w:left="1080" w:right="20" w:hanging="370"/>
        <w:spacing w:after="0" w:line="250" w:lineRule="auto"/>
        <w:tabs>
          <w:tab w:leader="none" w:pos="108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execute our research and clinical development plans and our expectations on and the timing thereof;</w:t>
      </w:r>
    </w:p>
    <w:p>
      <w:pPr>
        <w:ind w:left="1080" w:right="200" w:hanging="370"/>
        <w:spacing w:after="0" w:line="250" w:lineRule="auto"/>
        <w:tabs>
          <w:tab w:leader="none" w:pos="108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expectations and ability to advance our pipeline and product candidates into, and successfully complete, clinical trials;</w:t>
      </w:r>
    </w:p>
    <w:p>
      <w:pPr>
        <w:ind w:left="1080" w:right="140" w:hanging="370"/>
        <w:spacing w:after="0" w:line="234"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our ability to identify screen, recruit and maintain a sufficient number of, or any, subjects in our existing and anticipated studies or clinical trials including the ongoing Phase 1 first-in-human, clinical trial and Phase 2 clinical trial of cleminorexton, the Phase 1 first-in-human clinical trial of ORX142, and other orexin agonist molecules;</w:t>
      </w:r>
    </w:p>
    <w:p>
      <w:pPr>
        <w:ind w:left="1080" w:right="120" w:hanging="370"/>
        <w:spacing w:after="0" w:line="249" w:lineRule="auto"/>
        <w:tabs>
          <w:tab w:leader="none" w:pos="108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differentiate cleminorexton, ORX142, ORX489, and other orexin agonist molecules from other treatment options;</w:t>
      </w:r>
    </w:p>
    <w:p>
      <w:pPr>
        <w:ind w:left="1080" w:right="420" w:hanging="370"/>
        <w:spacing w:after="0" w:line="250" w:lineRule="auto"/>
        <w:tabs>
          <w:tab w:leader="none" w:pos="108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development and therapeutic potential of cleminorexton, ORX142, ORX489 and other orexin agonist molecules;</w:t>
      </w:r>
    </w:p>
    <w:p>
      <w:pPr>
        <w:ind w:left="1080" w:right="140" w:hanging="370"/>
        <w:spacing w:after="0" w:line="234" w:lineRule="auto"/>
        <w:tabs>
          <w:tab w:leader="none" w:pos="108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expectations relating to the ongoing Phase 1 first-in-human, clinical trial, and the Phase 2 clinical trial of cleminorexton, and the Phase 1 first-in-human clinical trials of ORX142 and ORX489, including, in each case, the predicted timing of enrollment, the predicted efficacious doses of cleminorexton, ORX142, and ORX489 and our ability to successfully conduct our clinical development of cleminorexton, ORX142, and ORX489;</w:t>
      </w:r>
    </w:p>
    <w:p>
      <w:pPr>
        <w:ind w:left="1080" w:hanging="370"/>
        <w:spacing w:after="0"/>
        <w:tabs>
          <w:tab w:leader="none" w:pos="108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safety and tolerability profile of our product candidates;</w:t>
      </w:r>
    </w:p>
    <w:p>
      <w:pPr>
        <w:spacing w:after="0" w:line="8" w:lineRule="exact"/>
        <w:rPr>
          <w:rFonts w:ascii="Times New Roman" w:cs="Times New Roman" w:eastAsia="Times New Roman" w:hAnsi="Times New Roman"/>
          <w:sz w:val="20"/>
          <w:szCs w:val="20"/>
          <w:color w:val="auto"/>
        </w:rPr>
      </w:pPr>
    </w:p>
    <w:p>
      <w:pPr>
        <w:ind w:left="1080" w:hanging="370"/>
        <w:spacing w:after="0"/>
        <w:tabs>
          <w:tab w:leader="none" w:pos="108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reliance on the success of our product candidates and our pipeline programs;</w:t>
      </w:r>
    </w:p>
    <w:p>
      <w:pPr>
        <w:spacing w:after="0" w:line="10" w:lineRule="exact"/>
        <w:rPr>
          <w:rFonts w:ascii="Times New Roman" w:cs="Times New Roman" w:eastAsia="Times New Roman" w:hAnsi="Times New Roman"/>
          <w:sz w:val="20"/>
          <w:szCs w:val="20"/>
          <w:color w:val="auto"/>
        </w:rPr>
      </w:pPr>
    </w:p>
    <w:p>
      <w:pPr>
        <w:ind w:left="1080" w:right="800" w:hanging="370"/>
        <w:spacing w:after="0" w:line="250" w:lineRule="auto"/>
        <w:tabs>
          <w:tab w:leader="none" w:pos="108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discover and develop transformational medicines for patients including identifying and advancing additional product candidates into clinical development;</w:t>
      </w:r>
    </w:p>
    <w:p>
      <w:pPr>
        <w:ind w:left="1080" w:right="20" w:hanging="370"/>
        <w:spacing w:after="0" w:line="250" w:lineRule="auto"/>
        <w:tabs>
          <w:tab w:leader="none" w:pos="108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become the partner of choice to attract founder-subject matter experts with high conviction programs;</w:t>
      </w:r>
    </w:p>
    <w:p>
      <w:pPr>
        <w:ind w:left="1080" w:hanging="370"/>
        <w:spacing w:after="0"/>
        <w:tabs>
          <w:tab w:leader="none" w:pos="108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timing or likelihood of regulatory filings and approvals;</w:t>
      </w:r>
    </w:p>
    <w:p>
      <w:pPr>
        <w:spacing w:after="0" w:line="10" w:lineRule="exact"/>
        <w:rPr>
          <w:rFonts w:ascii="Times New Roman" w:cs="Times New Roman" w:eastAsia="Times New Roman" w:hAnsi="Times New Roman"/>
          <w:sz w:val="20"/>
          <w:szCs w:val="20"/>
          <w:color w:val="auto"/>
        </w:rPr>
      </w:pPr>
    </w:p>
    <w:p>
      <w:pPr>
        <w:ind w:left="1080" w:hanging="370"/>
        <w:spacing w:after="0"/>
        <w:tabs>
          <w:tab w:leader="none" w:pos="108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impact of inflation on increasing costs of labor, research, manufacturing and clinical trial expenses;</w:t>
      </w:r>
    </w:p>
    <w:p>
      <w:pPr>
        <w:spacing w:after="0" w:line="10" w:lineRule="exact"/>
        <w:rPr>
          <w:rFonts w:ascii="Times New Roman" w:cs="Times New Roman" w:eastAsia="Times New Roman" w:hAnsi="Times New Roman"/>
          <w:sz w:val="20"/>
          <w:szCs w:val="20"/>
          <w:color w:val="auto"/>
        </w:rPr>
      </w:pPr>
    </w:p>
    <w:p>
      <w:pPr>
        <w:ind w:left="1080" w:right="20" w:hanging="370"/>
        <w:spacing w:after="0" w:line="250" w:lineRule="auto"/>
        <w:tabs>
          <w:tab w:leader="none" w:pos="108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impact of the Russia-Ukraine war, the Middle East conflict(s) and tensions in U.S.-China relations on our business and operations;</w:t>
      </w:r>
    </w:p>
    <w:p>
      <w:pPr>
        <w:ind w:left="1080" w:hanging="370"/>
        <w:spacing w:after="0"/>
        <w:tabs>
          <w:tab w:leader="none" w:pos="108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commercialization of our product candidates, if approved;</w:t>
      </w:r>
    </w:p>
    <w:p>
      <w:pPr>
        <w:spacing w:after="0" w:line="10" w:lineRule="exact"/>
        <w:rPr>
          <w:rFonts w:ascii="Times New Roman" w:cs="Times New Roman" w:eastAsia="Times New Roman" w:hAnsi="Times New Roman"/>
          <w:sz w:val="20"/>
          <w:szCs w:val="20"/>
          <w:color w:val="auto"/>
        </w:rPr>
      </w:pPr>
    </w:p>
    <w:p>
      <w:pPr>
        <w:ind w:left="1080" w:hanging="370"/>
        <w:spacing w:after="0"/>
        <w:tabs>
          <w:tab w:leader="none" w:pos="108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develop sales and marketing capabilities;</w:t>
      </w:r>
    </w:p>
    <w:p>
      <w:pPr>
        <w:spacing w:after="0" w:line="10" w:lineRule="exact"/>
        <w:rPr>
          <w:rFonts w:ascii="Times New Roman" w:cs="Times New Roman" w:eastAsia="Times New Roman" w:hAnsi="Times New Roman"/>
          <w:sz w:val="20"/>
          <w:szCs w:val="20"/>
          <w:color w:val="auto"/>
        </w:rPr>
      </w:pPr>
    </w:p>
    <w:p>
      <w:pPr>
        <w:ind w:left="1080" w:hanging="370"/>
        <w:spacing w:after="0"/>
        <w:tabs>
          <w:tab w:leader="none" w:pos="108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pricing, coverage and reimbursement of our product candidates, if approved;</w:t>
      </w:r>
    </w:p>
    <w:p>
      <w:pPr>
        <w:spacing w:after="0" w:line="10" w:lineRule="exact"/>
        <w:rPr>
          <w:rFonts w:ascii="Times New Roman" w:cs="Times New Roman" w:eastAsia="Times New Roman" w:hAnsi="Times New Roman"/>
          <w:sz w:val="20"/>
          <w:szCs w:val="20"/>
          <w:color w:val="auto"/>
        </w:rPr>
      </w:pPr>
    </w:p>
    <w:p>
      <w:pPr>
        <w:ind w:left="1080" w:right="20" w:hanging="370"/>
        <w:spacing w:after="0" w:line="250" w:lineRule="auto"/>
        <w:tabs>
          <w:tab w:leader="none" w:pos="108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implementation of our business model, strategic plans for our business, product candidates and technology;</w:t>
      </w:r>
    </w:p>
    <w:p>
      <w:pPr>
        <w:ind w:left="1080" w:right="20" w:hanging="370"/>
        <w:spacing w:after="0" w:line="250" w:lineRule="auto"/>
        <w:tabs>
          <w:tab w:leader="none" w:pos="108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scope of protection we are able to establish and maintain for intellectual property rights covering our product candidates and technology;</w:t>
      </w:r>
    </w:p>
    <w:p>
      <w:pPr>
        <w:ind w:left="1080" w:right="20" w:hanging="370"/>
        <w:spacing w:after="0" w:line="250" w:lineRule="auto"/>
        <w:tabs>
          <w:tab w:leader="none" w:pos="108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operate our business without infringing the intellectual property rights and proprietary technology of third parties;</w:t>
      </w:r>
    </w:p>
    <w:p>
      <w:pPr>
        <w:ind w:left="1080" w:hanging="370"/>
        <w:spacing w:after="0" w:line="260" w:lineRule="auto"/>
        <w:tabs>
          <w:tab w:leader="none" w:pos="108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cost associated with prosecuting and maintaining our intellectual property and with defending intellectual property infringement, product liability and other claims;</w:t>
      </w:r>
    </w:p>
    <w:p>
      <w:pPr>
        <w:sectPr>
          <w:pgSz w:w="12240" w:h="15840" w:orient="portrait"/>
          <w:cols w:equalWidth="0" w:num="1">
            <w:col w:w="9900"/>
          </w:cols>
          <w:pgMar w:left="1180" w:top="208" w:right="1160" w:bottom="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ectPr>
          <w:pgSz w:w="12240" w:h="15840" w:orient="portrait"/>
          <w:cols w:equalWidth="0" w:num="1">
            <w:col w:w="9900"/>
          </w:cols>
          <w:pgMar w:left="1180" w:top="208" w:right="1160" w:bottom="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400" w:lineRule="exact"/>
        <w:rPr>
          <w:sz w:val="20"/>
          <w:szCs w:val="20"/>
          <w:color w:val="auto"/>
        </w:rPr>
      </w:pPr>
    </w:p>
    <w:p>
      <w:pPr>
        <w:ind w:left="1080" w:right="20" w:hanging="370"/>
        <w:spacing w:after="0" w:line="260" w:lineRule="auto"/>
        <w:tabs>
          <w:tab w:leader="none" w:pos="108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legal and regulatory developments in the United States, the European Union, the United Kingdom and other jurisdictions;</w:t>
      </w:r>
    </w:p>
    <w:p>
      <w:pPr>
        <w:spacing w:after="0" w:line="1" w:lineRule="exact"/>
        <w:rPr>
          <w:rFonts w:ascii="Times New Roman" w:cs="Times New Roman" w:eastAsia="Times New Roman" w:hAnsi="Times New Roman"/>
          <w:sz w:val="20"/>
          <w:szCs w:val="20"/>
          <w:color w:val="auto"/>
        </w:rPr>
      </w:pPr>
    </w:p>
    <w:p>
      <w:pPr>
        <w:ind w:left="1080" w:hanging="370"/>
        <w:spacing w:after="0"/>
        <w:tabs>
          <w:tab w:leader="none" w:pos="108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estimates of our expenses, future revenues, capital requirements and our needs for additional financing;</w:t>
      </w:r>
    </w:p>
    <w:p>
      <w:pPr>
        <w:spacing w:after="0" w:line="10" w:lineRule="exact"/>
        <w:rPr>
          <w:rFonts w:ascii="Times New Roman" w:cs="Times New Roman" w:eastAsia="Times New Roman" w:hAnsi="Times New Roman"/>
          <w:sz w:val="20"/>
          <w:szCs w:val="20"/>
          <w:color w:val="auto"/>
        </w:rPr>
      </w:pPr>
    </w:p>
    <w:p>
      <w:pPr>
        <w:ind w:left="1080" w:right="20" w:hanging="370"/>
        <w:spacing w:after="0" w:line="250" w:lineRule="auto"/>
        <w:tabs>
          <w:tab w:leader="none" w:pos="108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potential benefits of strategic collaboration agreements and our ability to negotiate and enter into strategic arrangements;</w:t>
      </w:r>
    </w:p>
    <w:p>
      <w:pPr>
        <w:ind w:left="1080" w:hanging="370"/>
        <w:spacing w:after="0"/>
        <w:tabs>
          <w:tab w:leader="none" w:pos="108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identify collaboration opportunities and to establish and maintain collaborations;</w:t>
      </w:r>
    </w:p>
    <w:p>
      <w:pPr>
        <w:spacing w:after="0" w:line="10" w:lineRule="exact"/>
        <w:rPr>
          <w:rFonts w:ascii="Times New Roman" w:cs="Times New Roman" w:eastAsia="Times New Roman" w:hAnsi="Times New Roman"/>
          <w:sz w:val="20"/>
          <w:szCs w:val="20"/>
          <w:color w:val="auto"/>
        </w:rPr>
      </w:pPr>
    </w:p>
    <w:p>
      <w:pPr>
        <w:ind w:left="1080" w:hanging="370"/>
        <w:spacing w:after="0"/>
        <w:tabs>
          <w:tab w:leader="none" w:pos="108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judiciously manage and allocate our cash;</w:t>
      </w:r>
    </w:p>
    <w:p>
      <w:pPr>
        <w:spacing w:after="0" w:line="10" w:lineRule="exact"/>
        <w:rPr>
          <w:rFonts w:ascii="Times New Roman" w:cs="Times New Roman" w:eastAsia="Times New Roman" w:hAnsi="Times New Roman"/>
          <w:sz w:val="20"/>
          <w:szCs w:val="20"/>
          <w:color w:val="auto"/>
        </w:rPr>
      </w:pPr>
    </w:p>
    <w:p>
      <w:pPr>
        <w:ind w:left="1080" w:hanging="370"/>
        <w:spacing w:after="0"/>
        <w:tabs>
          <w:tab w:leader="none" w:pos="108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expectations on our anticipated cash runway;</w:t>
      </w:r>
    </w:p>
    <w:p>
      <w:pPr>
        <w:spacing w:after="0" w:line="10" w:lineRule="exact"/>
        <w:rPr>
          <w:rFonts w:ascii="Times New Roman" w:cs="Times New Roman" w:eastAsia="Times New Roman" w:hAnsi="Times New Roman"/>
          <w:sz w:val="20"/>
          <w:szCs w:val="20"/>
          <w:color w:val="auto"/>
        </w:rPr>
      </w:pPr>
    </w:p>
    <w:p>
      <w:pPr>
        <w:ind w:left="1080" w:hanging="370"/>
        <w:spacing w:after="0"/>
        <w:tabs>
          <w:tab w:leader="none" w:pos="108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obtain additional funding;</w:t>
      </w:r>
    </w:p>
    <w:p>
      <w:pPr>
        <w:spacing w:after="0" w:line="10" w:lineRule="exact"/>
        <w:rPr>
          <w:rFonts w:ascii="Times New Roman" w:cs="Times New Roman" w:eastAsia="Times New Roman" w:hAnsi="Times New Roman"/>
          <w:sz w:val="20"/>
          <w:szCs w:val="20"/>
          <w:color w:val="auto"/>
        </w:rPr>
      </w:pPr>
    </w:p>
    <w:p>
      <w:pPr>
        <w:jc w:val="both"/>
        <w:ind w:left="1080" w:right="20" w:hanging="370"/>
        <w:spacing w:after="0" w:line="250" w:lineRule="auto"/>
        <w:tabs>
          <w:tab w:leader="none" w:pos="108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fulfill our obligations under the Loan and Security Agreement with Oxford Finance LLC (as Collateral Agent and Lender), Oxford Finance Credit Fund II LP (as a Lender) and Oxford Finance Credit Fund III LP (as a Lender) (collectively “Oxford Finance”);</w:t>
      </w:r>
    </w:p>
    <w:p>
      <w:pPr>
        <w:spacing w:after="0" w:line="1" w:lineRule="exact"/>
        <w:rPr>
          <w:rFonts w:ascii="Times New Roman" w:cs="Times New Roman" w:eastAsia="Times New Roman" w:hAnsi="Times New Roman"/>
          <w:sz w:val="20"/>
          <w:szCs w:val="20"/>
          <w:color w:val="auto"/>
        </w:rPr>
      </w:pPr>
    </w:p>
    <w:p>
      <w:pPr>
        <w:ind w:left="1080" w:hanging="370"/>
        <w:spacing w:after="0"/>
        <w:tabs>
          <w:tab w:leader="none" w:pos="108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rate and degree of market acceptance of any approved products;</w:t>
      </w:r>
    </w:p>
    <w:p>
      <w:pPr>
        <w:spacing w:after="0" w:line="10" w:lineRule="exact"/>
        <w:rPr>
          <w:rFonts w:ascii="Times New Roman" w:cs="Times New Roman" w:eastAsia="Times New Roman" w:hAnsi="Times New Roman"/>
          <w:sz w:val="20"/>
          <w:szCs w:val="20"/>
          <w:color w:val="auto"/>
        </w:rPr>
      </w:pPr>
    </w:p>
    <w:p>
      <w:pPr>
        <w:ind w:left="1080" w:right="20" w:hanging="370"/>
        <w:spacing w:after="0" w:line="250" w:lineRule="auto"/>
        <w:tabs>
          <w:tab w:leader="none" w:pos="108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developments relating to our competitors and our industry, including competing therapies and our ability to respond to such developments;</w:t>
      </w:r>
    </w:p>
    <w:p>
      <w:pPr>
        <w:ind w:left="1080" w:hanging="370"/>
        <w:spacing w:after="0"/>
        <w:tabs>
          <w:tab w:leader="none" w:pos="108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effectively manage our anticipated growth;</w:t>
      </w:r>
    </w:p>
    <w:p>
      <w:pPr>
        <w:spacing w:after="0" w:line="10" w:lineRule="exact"/>
        <w:rPr>
          <w:rFonts w:ascii="Times New Roman" w:cs="Times New Roman" w:eastAsia="Times New Roman" w:hAnsi="Times New Roman"/>
          <w:sz w:val="20"/>
          <w:szCs w:val="20"/>
          <w:color w:val="auto"/>
        </w:rPr>
      </w:pPr>
    </w:p>
    <w:p>
      <w:pPr>
        <w:ind w:left="1080" w:hanging="370"/>
        <w:spacing w:after="0"/>
        <w:tabs>
          <w:tab w:leader="none" w:pos="108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attract and retain qualified employees and key personnel;</w:t>
      </w:r>
    </w:p>
    <w:p>
      <w:pPr>
        <w:spacing w:after="0" w:line="10" w:lineRule="exact"/>
        <w:rPr>
          <w:rFonts w:ascii="Times New Roman" w:cs="Times New Roman" w:eastAsia="Times New Roman" w:hAnsi="Times New Roman"/>
          <w:sz w:val="20"/>
          <w:szCs w:val="20"/>
          <w:color w:val="auto"/>
        </w:rPr>
      </w:pPr>
    </w:p>
    <w:p>
      <w:pPr>
        <w:ind w:left="1080" w:hanging="370"/>
        <w:spacing w:after="0" w:line="250" w:lineRule="auto"/>
        <w:tabs>
          <w:tab w:leader="none" w:pos="108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expectations regarding the period during which we qualify as a smaller reporting company and as an emerging growth company under the JOBS Act;</w:t>
      </w:r>
    </w:p>
    <w:p>
      <w:pPr>
        <w:ind w:left="1080" w:right="20" w:hanging="370"/>
        <w:spacing w:after="0" w:line="250" w:lineRule="auto"/>
        <w:tabs>
          <w:tab w:leader="none" w:pos="108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statements regarding future revenue, hiring plans, expenses, capital expenditures, capital requirements and share performance;</w:t>
      </w:r>
    </w:p>
    <w:p>
      <w:pPr>
        <w:ind w:left="1080" w:hanging="370"/>
        <w:spacing w:after="0"/>
        <w:tabs>
          <w:tab w:leader="none" w:pos="108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expected use of proceeds of our capital raises;</w:t>
      </w:r>
    </w:p>
    <w:p>
      <w:pPr>
        <w:spacing w:after="0" w:line="10" w:lineRule="exact"/>
        <w:rPr>
          <w:rFonts w:ascii="Times New Roman" w:cs="Times New Roman" w:eastAsia="Times New Roman" w:hAnsi="Times New Roman"/>
          <w:sz w:val="20"/>
          <w:szCs w:val="20"/>
          <w:color w:val="auto"/>
        </w:rPr>
      </w:pPr>
    </w:p>
    <w:p>
      <w:pPr>
        <w:ind w:left="1080" w:hanging="370"/>
        <w:spacing w:after="0"/>
        <w:tabs>
          <w:tab w:leader="none" w:pos="108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future trading price of the ADSs and impact of securities analysts’ reports on these prices; and</w:t>
      </w:r>
    </w:p>
    <w:p>
      <w:pPr>
        <w:spacing w:after="0" w:line="10" w:lineRule="exact"/>
        <w:rPr>
          <w:rFonts w:ascii="Times New Roman" w:cs="Times New Roman" w:eastAsia="Times New Roman" w:hAnsi="Times New Roman"/>
          <w:sz w:val="20"/>
          <w:szCs w:val="20"/>
          <w:color w:val="auto"/>
        </w:rPr>
      </w:pPr>
    </w:p>
    <w:p>
      <w:pPr>
        <w:ind w:left="1080" w:hanging="370"/>
        <w:spacing w:after="0"/>
        <w:tabs>
          <w:tab w:leader="none" w:pos="108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risks and uncertainties, including those listed under the caption “Risk Factors.”</w:t>
      </w:r>
    </w:p>
    <w:p>
      <w:pPr>
        <w:spacing w:after="0" w:line="230" w:lineRule="exact"/>
        <w:rPr>
          <w:sz w:val="20"/>
          <w:szCs w:val="20"/>
          <w:color w:val="auto"/>
        </w:rPr>
      </w:pPr>
    </w:p>
    <w:p>
      <w:pPr>
        <w:jc w:val="both"/>
        <w:ind w:right="20" w:firstLine="720"/>
        <w:spacing w:after="0" w:line="254" w:lineRule="auto"/>
        <w:rPr>
          <w:sz w:val="20"/>
          <w:szCs w:val="20"/>
          <w:color w:val="auto"/>
        </w:rPr>
      </w:pPr>
      <w:r>
        <w:rPr>
          <w:rFonts w:ascii="Times New Roman" w:cs="Times New Roman" w:eastAsia="Times New Roman" w:hAnsi="Times New Roman"/>
          <w:sz w:val="20"/>
          <w:szCs w:val="20"/>
          <w:color w:val="auto"/>
        </w:rPr>
        <w:t>You should refer to the section titled “Item 1A. Risk Factors” in this 10-K for a discussion of important factors that may cause our actual results to differ materially from those expressed or implied by our forward-looking statements. As a result of these factors, we cannot be assured that the forward-looking statements in this 10-K will prove to be accurate. Furthermore, if our forward-looking statements prove to be inaccurate, the inaccuracy may be material. In light of the significant uncertainties in these forward-looking statements, these statements should not be regarded as a representation or warranty by us or any other person that we will achieve our objectives and plans in any specified time frame, or at all. We undertake no obligation to publicly update any forward-looking statements, whether as a result of new information, future events or otherwise, except as required by law.</w:t>
      </w:r>
    </w:p>
    <w:p>
      <w:pPr>
        <w:spacing w:after="0" w:line="21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You should read this 10-K and the documents that we reference in this 10-K and have filed as exhibits to this 10-</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K completely and with the understanding that our actual future results may be materially different from what we expect.</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qualify all of our forward-looking statements by these cautionary statements.</w:t>
      </w:r>
    </w:p>
    <w:p>
      <w:pPr>
        <w:sectPr>
          <w:pgSz w:w="12240" w:h="15840" w:orient="portrait"/>
          <w:cols w:equalWidth="0" w:num="1">
            <w:col w:w="9900"/>
          </w:cols>
          <w:pgMar w:left="1180" w:top="20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ectPr>
          <w:pgSz w:w="12240" w:h="15840" w:orient="portrait"/>
          <w:cols w:equalWidth="0" w:num="1">
            <w:col w:w="9900"/>
          </w:cols>
          <w:pgMar w:left="1180" w:top="208" w:right="1160" w:bottom="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9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PART I.</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 Business</w:t>
      </w:r>
    </w:p>
    <w:p>
      <w:pPr>
        <w:spacing w:after="0" w:line="97" w:lineRule="exact"/>
        <w:rPr>
          <w:sz w:val="20"/>
          <w:szCs w:val="20"/>
          <w:color w:val="auto"/>
        </w:rPr>
      </w:pPr>
    </w:p>
    <w:p>
      <w:pPr>
        <w:jc w:val="both"/>
        <w:ind w:right="20" w:firstLine="720"/>
        <w:spacing w:after="0" w:line="266" w:lineRule="auto"/>
        <w:rPr>
          <w:sz w:val="20"/>
          <w:szCs w:val="20"/>
          <w:color w:val="auto"/>
        </w:rPr>
      </w:pPr>
      <w:r>
        <w:rPr>
          <w:rFonts w:ascii="Times New Roman" w:cs="Times New Roman" w:eastAsia="Times New Roman" w:hAnsi="Times New Roman"/>
          <w:sz w:val="20"/>
          <w:szCs w:val="20"/>
          <w:color w:val="auto"/>
        </w:rPr>
        <w:t>In this Annual Report on Form 10-K, unless otherwise indicated or the context otherwise requires, all references to “we,” “our,” “us,” “Centessa,” “the Company,” and “our Company” refer to Centessa Pharmaceuticals plc and its consolidated subsidiaries.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134" w:lineRule="exact"/>
        <w:rPr>
          <w:sz w:val="20"/>
          <w:szCs w:val="20"/>
          <w:color w:val="auto"/>
        </w:rPr>
      </w:pPr>
    </w:p>
    <w:p>
      <w:pPr>
        <w:jc w:val="both"/>
        <w:ind w:right="20" w:firstLine="720"/>
        <w:spacing w:after="0" w:line="260" w:lineRule="auto"/>
        <w:rPr>
          <w:sz w:val="20"/>
          <w:szCs w:val="20"/>
          <w:color w:val="auto"/>
        </w:rPr>
      </w:pPr>
      <w:r>
        <w:rPr>
          <w:rFonts w:ascii="Times New Roman" w:cs="Times New Roman" w:eastAsia="Times New Roman" w:hAnsi="Times New Roman"/>
          <w:sz w:val="20"/>
          <w:szCs w:val="20"/>
          <w:color w:val="auto"/>
        </w:rPr>
        <w:t>We are a clinical-stage biotechnology company pioneering a new class of therapeutics in orexin-based neuroscience. We are developing a franchise of small molecule orexin receptor 2 (OX2R) agonists designed to address neuroscience diseases underpinned by dysregulation of wakefulness, attention, cognition, mood, and other symptoms, each grounded in the shared biology of the orexin pathway.</w:t>
      </w:r>
    </w:p>
    <w:p>
      <w:pPr>
        <w:spacing w:after="0" w:line="83" w:lineRule="exact"/>
        <w:rPr>
          <w:sz w:val="20"/>
          <w:szCs w:val="20"/>
          <w:color w:val="auto"/>
        </w:rPr>
      </w:pPr>
    </w:p>
    <w:p>
      <w:pPr>
        <w:jc w:val="both"/>
        <w:ind w:right="20" w:firstLine="720"/>
        <w:spacing w:after="0" w:line="258" w:lineRule="auto"/>
        <w:rPr>
          <w:sz w:val="20"/>
          <w:szCs w:val="20"/>
          <w:color w:val="auto"/>
        </w:rPr>
      </w:pPr>
      <w:r>
        <w:rPr>
          <w:rFonts w:ascii="Times New Roman" w:cs="Times New Roman" w:eastAsia="Times New Roman" w:hAnsi="Times New Roman"/>
          <w:sz w:val="20"/>
          <w:szCs w:val="20"/>
          <w:color w:val="auto"/>
        </w:rPr>
        <w:t>Our strategy is a pipeline-in-a-pathway approach: we leverage our deep understanding of the orexin pathway, differentiated structural biology and translational insights with the aim to develop and scale a franchise of novel OX2R agonists across sleep-wake disorders and other neurological, neurodegenerative and neuropsychiatric disorders with significant unmet need. We believe this pathway-centric model positions us to deliver transformational medicines, establish leadership in orexin-based neuroscience, and create durable long-term value.</w:t>
      </w:r>
    </w:p>
    <w:p>
      <w:pPr>
        <w:spacing w:after="0" w:line="84" w:lineRule="exact"/>
        <w:rPr>
          <w:sz w:val="20"/>
          <w:szCs w:val="20"/>
          <w:color w:val="auto"/>
        </w:rPr>
      </w:pPr>
    </w:p>
    <w:p>
      <w:pPr>
        <w:jc w:val="both"/>
        <w:ind w:right="20" w:firstLine="720"/>
        <w:spacing w:after="0" w:line="258" w:lineRule="auto"/>
        <w:rPr>
          <w:sz w:val="20"/>
          <w:szCs w:val="20"/>
          <w:color w:val="auto"/>
        </w:rPr>
      </w:pPr>
      <w:r>
        <w:rPr>
          <w:rFonts w:ascii="Times New Roman" w:cs="Times New Roman" w:eastAsia="Times New Roman" w:hAnsi="Times New Roman"/>
          <w:sz w:val="20"/>
          <w:szCs w:val="20"/>
          <w:color w:val="auto"/>
        </w:rPr>
        <w:t>Our most advanced product candidate, cleminorexton (formerly referred to as ORX750), is a novel, oral, highly potent and selective orexin receptor 2 (OX2R) agonist in late-stage clinical development for the treatment of central disorders of hypersomnolence, including narcolepsy type 1 (NT1), narcolepsy type 2 (NT2) and idiopathic hypersomnia (IH). We believe cleminorexton has best-in-class potential across all three indications, and first-in-class potential in NT2 and IH.</w:t>
      </w:r>
    </w:p>
    <w:p>
      <w:pPr>
        <w:spacing w:after="0" w:line="84" w:lineRule="exact"/>
        <w:rPr>
          <w:sz w:val="20"/>
          <w:szCs w:val="20"/>
          <w:color w:val="auto"/>
        </w:rPr>
      </w:pPr>
    </w:p>
    <w:p>
      <w:pPr>
        <w:jc w:val="both"/>
        <w:ind w:right="20" w:firstLine="720"/>
        <w:spacing w:after="0" w:line="270" w:lineRule="auto"/>
        <w:rPr>
          <w:sz w:val="20"/>
          <w:szCs w:val="20"/>
          <w:color w:val="auto"/>
        </w:rPr>
      </w:pPr>
      <w:r>
        <w:rPr>
          <w:rFonts w:ascii="Times New Roman" w:cs="Times New Roman" w:eastAsia="Times New Roman" w:hAnsi="Times New Roman"/>
          <w:sz w:val="20"/>
          <w:szCs w:val="20"/>
          <w:color w:val="auto"/>
        </w:rPr>
        <w:t>Supported by differentiated pharmacology, strong orexin biology, compelling translational and clinical rationale, and insights from the clinical development of cleminorexton, we are also advancing ORX142 and ORX489, our follow-up OX2R agonist candidates, for broader neuroscience indications within neurodegenerative and neuropsychiatric disorders. Our earlier stage pipeline consists of additional OX2R agonists and research efforts on differentiated pharmacology associated with activation of the orexin pathway.</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The Proposed Lilly Transaction</w:t>
      </w:r>
    </w:p>
    <w:p>
      <w:pPr>
        <w:spacing w:after="0" w:line="137"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On March 31, 2026, we entered into a Transaction Agreement (the “Transaction Agreement”) with Eli Lilly and Company, an Indiana corporation (“Lilly” or “Parent”), and LDH XV Corporation, a Delaware corporation, and direct wholly owned subsidiary of Parent (“Purchaser”), pursuant to which Purchaser (and/or at Parent’s election its nominee(s)), will acquire our entire issued and to be issued share capital (including shares represented by our ADSs) pursuant to a court-sanctioned scheme of arrangement under Part 26 of the UK Companies Act 2006 (the “Scheme of Arrangement” and such acquisition, the “Transaction”), for $38.00 in cash per share, without interest, plus one non-transferable contingent value right entitling the holders to receive up to three contingent cash payments of up to an aggregate of $9.00 per share, contingent upon the achievement of specified milestones set forth in the Contingent Value Rights Agreement (the “CVR Agreement”), substantially in the form attached as Annex I to the Transaction Agreement (such contingent value rights, the “CVRs” and, together with the Cash Consideration, the “Transaction Consideration”). The Transaction is expected to close in the third quarter of 2026, subject to certain customary closing conditions, including the approval of the Scheme of Arrangement by our shareholders, the sanction of the Scheme of Arrangement by the High Court of Justice of England and Wales and receipt of the required regulatory approvals. See “Note 12 – Subsequent events” to our audited consolidated financial statements included elsewhere in this Form 10-K for additional information regarding the Transaction.</w:t>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Orexin Pathway</w:t>
      </w:r>
    </w:p>
    <w:p>
      <w:pPr>
        <w:spacing w:after="0" w:line="137"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The orexin pathway (also known as the hypocretin system) is an important and well-validated target in neuroscience. The pathway is a vital neuromodulatory network originating in the hypothalamus. Orexin neurons project from the hypothalamus into multiple brain regions and release orexin (also known as hypocretin). Orexin is a key signaling neuropeptide that activates an array of downstream neurotransmitters and is implicated in numerous physiologic functions, including wakefulness, attention, cognition and mood. The orexin system consists of two orexin neuropeptides, orexin-A (OXA) and orexin-B (OXB) (also known as hypocretin-1 and hypocretin-2) which bind to and activate the orexin receptors, Orexin Receptor-1 (OX1R) and Orexin Receptor-2 (OX2R) on other neurons. These receptors are G protein-coupled receptors (GPCRs) and are abundantly expressed throughout the brain with different distribution patterns, suggesting they have distinct physiological roles acting through different neuronal pathways. Importantly, OXA and OXB</w:t>
      </w:r>
    </w:p>
    <w:p>
      <w:pPr>
        <w:sectPr>
          <w:pgSz w:w="12240" w:h="15840" w:orient="portrait"/>
          <w:cols w:equalWidth="0" w:num="1">
            <w:col w:w="9900"/>
          </w:cols>
          <w:pgMar w:left="1180" w:top="208" w:right="1160" w:bottom="0" w:gutter="0" w:footer="0" w:header="0"/>
        </w:sect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ectPr>
          <w:pgSz w:w="12240" w:h="15840" w:orient="portrait"/>
          <w:cols w:equalWidth="0" w:num="1">
            <w:col w:w="9900"/>
          </w:cols>
          <w:pgMar w:left="1180" w:top="208" w:right="1160" w:bottom="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400"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both bind to OX2R with high affinity. Activation of OX1R and OX2R promotes calcium mobilization and membrane depolarization of target neurons, triggering the release of wake-promoting neurotransmitters including histamine, serotonin, acetylcholine, and dopamine and regulating wakefulness. OX2R has also been implicated in metabolism, behavioral arousal, mood and cognitive function consistent with its wide distribution in the brain.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15875</wp:posOffset>
            </wp:positionV>
            <wp:extent cx="6286500" cy="36480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extLst>
                    </a:blip>
                    <a:srcRect/>
                    <a:stretch>
                      <a:fillRect/>
                    </a:stretch>
                  </pic:blipFill>
                  <pic:spPr bwMode="auto">
                    <a:xfrm>
                      <a:off x="0" y="0"/>
                      <a:ext cx="6286500" cy="3648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Figure 1: Orexin Pathway</w:t>
      </w:r>
    </w:p>
    <w:p>
      <w:pPr>
        <w:spacing w:after="0" w:line="133"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Sources: Pizza, F et al., J Sleep Res 2022;31(4):e13665; Toor, B et al., Front Neurol</w:t>
      </w:r>
    </w:p>
    <w:p>
      <w:pPr>
        <w:spacing w:after="0" w:line="5"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color w:val="auto"/>
        </w:rPr>
        <w:t>Neurosci 2021;45:38 ; Ten-Blanco, M et al., Front Neuroendo 2023;69:101066; and,</w:t>
      </w:r>
    </w:p>
    <w:p>
      <w:pPr>
        <w:jc w:val="center"/>
        <w:spacing w:after="0"/>
        <w:rPr>
          <w:sz w:val="20"/>
          <w:szCs w:val="20"/>
          <w:color w:val="auto"/>
        </w:rPr>
      </w:pPr>
      <w:r>
        <w:rPr>
          <w:rFonts w:ascii="Times New Roman" w:cs="Times New Roman" w:eastAsia="Times New Roman" w:hAnsi="Times New Roman"/>
          <w:sz w:val="18"/>
          <w:szCs w:val="18"/>
          <w:color w:val="auto"/>
        </w:rPr>
        <w:t>Yamamoto, H et al., PLoS One, 2022;17(7):e0271901</w:t>
      </w:r>
      <w:r>
        <w:rPr>
          <w:rFonts w:ascii="Times New Roman" w:cs="Times New Roman" w:eastAsia="Times New Roman" w:hAnsi="Times New Roman"/>
          <w:sz w:val="20"/>
          <w:szCs w:val="20"/>
          <w:color w:val="auto"/>
        </w:rPr>
        <w:t>.</w:t>
      </w:r>
    </w:p>
    <w:p>
      <w:pPr>
        <w:spacing w:after="0" w:line="332" w:lineRule="exact"/>
        <w:rPr>
          <w:sz w:val="20"/>
          <w:szCs w:val="20"/>
          <w:color w:val="auto"/>
        </w:rPr>
      </w:pPr>
    </w:p>
    <w:p>
      <w:pPr>
        <w:jc w:val="both"/>
        <w:ind w:firstLine="720"/>
        <w:spacing w:after="0" w:line="253" w:lineRule="auto"/>
        <w:rPr>
          <w:sz w:val="20"/>
          <w:szCs w:val="20"/>
          <w:color w:val="auto"/>
        </w:rPr>
      </w:pPr>
      <w:r>
        <w:rPr>
          <w:rFonts w:ascii="Times New Roman" w:cs="Times New Roman" w:eastAsia="Times New Roman" w:hAnsi="Times New Roman"/>
          <w:sz w:val="20"/>
          <w:szCs w:val="20"/>
          <w:color w:val="auto"/>
        </w:rPr>
        <w:t>We believe OX2R agonists are potentially transformative therapeutics to address the pathophysiology of central disorders of hypersomnolence, including NT1, NT2 and IH, acting as an upstream intervention that activates multiple downstream pathways essential for promoting wakefulness. For NT1 specifically, OX2R agonists have the potential to address the underlying disease pathology, with the potential to re-activate orexin receptors which remain in the brain in postsynaptic neurons even after the loss of the natural orexin peptide, to reduce excessive daytime sleepiness (EDS), cataplexy, and other common symptoms of NT1. In NT2 and IH, where there are normal orexin levels, OX2R agonists have the potential to increase orexin receptor activation to reduce EDS and other common symptoms of these conditions. In addition, given the overlap of orexin pathways onto neural circuitry governing motor function, mood, attention, and cognition, we anticipate that OX2R agonists may also have broad applicability in treating impaired attention, mood, cognitive deficits, fatigue and other symptoms across other neuroscience indications.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Orexin Franchise</w:t>
      </w:r>
    </w:p>
    <w:p>
      <w:pPr>
        <w:spacing w:after="0" w:line="137" w:lineRule="exact"/>
        <w:rPr>
          <w:sz w:val="20"/>
          <w:szCs w:val="20"/>
          <w:color w:val="auto"/>
        </w:rPr>
      </w:pPr>
    </w:p>
    <w:p>
      <w:pPr>
        <w:jc w:val="both"/>
        <w:ind w:right="20" w:firstLine="720"/>
        <w:spacing w:after="0" w:line="260" w:lineRule="auto"/>
        <w:rPr>
          <w:sz w:val="20"/>
          <w:szCs w:val="20"/>
          <w:color w:val="auto"/>
        </w:rPr>
      </w:pPr>
      <w:r>
        <w:rPr>
          <w:rFonts w:ascii="Times New Roman" w:cs="Times New Roman" w:eastAsia="Times New Roman" w:hAnsi="Times New Roman"/>
          <w:sz w:val="20"/>
          <w:szCs w:val="20"/>
          <w:color w:val="auto"/>
        </w:rPr>
        <w:t>Our wholly owned orexin franchise includes multiple small-molecule novel OX2R agonists with different chemical composition and pharmacokinetic (PK) profiles to support first- and best-in-class potential across targeted neuroscience indications, alongside research efforts on differentiated pharmacology associated with the activation of the orexin pathway.</w:t>
      </w:r>
    </w:p>
    <w:p>
      <w:pPr>
        <w:sectPr>
          <w:pgSz w:w="12240" w:h="15840" w:orient="portrait"/>
          <w:cols w:equalWidth="0" w:num="1">
            <w:col w:w="9900"/>
          </w:cols>
          <w:pgMar w:left="1180" w:top="20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ectPr>
          <w:pgSz w:w="12240" w:h="15840" w:orient="portrait"/>
          <w:cols w:equalWidth="0" w:num="1">
            <w:col w:w="9900"/>
          </w:cols>
          <w:pgMar w:left="1180" w:top="208" w:right="1160" w:bottom="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Figure 2: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202565</wp:posOffset>
            </wp:positionV>
            <wp:extent cx="6286500" cy="30213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a:extLst>
                        <a:ext uri="{28A0092B-C50C-407E-A947-70E740481C1C}"/>
                      </a:extLst>
                    </a:blip>
                    <a:srcRect/>
                    <a:stretch>
                      <a:fillRect/>
                    </a:stretch>
                  </pic:blipFill>
                  <pic:spPr bwMode="auto">
                    <a:xfrm>
                      <a:off x="0" y="0"/>
                      <a:ext cx="6286500" cy="3021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Although OX2R agonism has long been recognized as having significant therapeutic potential, there has been a substantial gap in the development of OX2R agonists primarily as a result of the challenge in designing small molecule drugs that target the OX2R receptor. The development of a small molecule orexin agonist requires highly complex medicinal chemistry to address a number of key challenges including the design of a brain penetrant molecule with a highly potent and selective chemical structure that can mimic the precise binding and activating properties of the native peptide, which is approximately seven-fold larger in size than the average small molecule CNS drug. As a result, OX2R has historically been considered a difficult-to-drug target, and development of an effective OX2R agonist therapeutic has been significantly limited.</w:t>
      </w:r>
    </w:p>
    <w:p>
      <w:pPr>
        <w:spacing w:after="0" w:line="93"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Our team possesses a deep understanding of the orexin pathway and has extensive capabilities across key areas of research and development with a significant focus on translational medicine, computational and structural biology, and medicinal chemistry. Through a collaboration with Nxera, we gained exclusive access to a stabilized OX2R G protein-coupled receptor (“GPCR”) protein, known as StaR, which enabled the determination of three-dimensional structures of the OX2R bound to novel orexin agonists via X-ray crystallography, Cryo-EM and Biophysical Mapping. Leveraging this proprietary structure-based drug design and our medicinal chemistry capabilities, we have overcome historic OX2R agonist development challenges.</w:t>
      </w:r>
    </w:p>
    <w:p>
      <w:pPr>
        <w:spacing w:after="0" w:line="90"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We have discovered and are advancing multiple novel OX2R agonist candidates designed to mimic the natural neuropeptide orexin with different PK profiles. These candidates have demonstrated robust activity in preclinical efficacy models and high selectivity for OX2R. These targeted profiles, which also include duration of action and rapid onset of action among others, are intended to support first- and best-in-class potential of our OX2R agonist across selected indications.</w:t>
      </w:r>
    </w:p>
    <w:p>
      <w:pPr>
        <w:spacing w:after="0" w:line="18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Figure 3: Clinical stage OX2R agonist product candidate profiles</w:t>
      </w:r>
    </w:p>
    <w:p>
      <w:pPr>
        <w:sectPr>
          <w:pgSz w:w="12240" w:h="15840" w:orient="portrait"/>
          <w:cols w:equalWidth="0" w:num="1">
            <w:col w:w="9900"/>
          </w:cols>
          <w:pgMar w:left="1180" w:top="20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10</w:t>
      </w:r>
    </w:p>
    <w:p>
      <w:pPr>
        <w:sectPr>
          <w:pgSz w:w="12240" w:h="15840" w:orient="portrait"/>
          <w:cols w:equalWidth="0" w:num="1">
            <w:col w:w="9900"/>
          </w:cols>
          <w:pgMar w:left="1180" w:top="208" w:right="1160" w:bottom="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1308100</wp:posOffset>
            </wp:positionH>
            <wp:positionV relativeFrom="paragraph">
              <wp:posOffset>293370</wp:posOffset>
            </wp:positionV>
            <wp:extent cx="3657600" cy="18008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a:extLst>
                        <a:ext uri="{28A0092B-C50C-407E-A947-70E740481C1C}"/>
                      </a:extLst>
                    </a:blip>
                    <a:srcRect/>
                    <a:stretch>
                      <a:fillRect/>
                    </a:stretch>
                  </pic:blipFill>
                  <pic:spPr bwMode="auto">
                    <a:xfrm>
                      <a:off x="0" y="0"/>
                      <a:ext cx="3657600" cy="1800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Sources: 1. Black et al., World Sleep 2023 Abstract., 2. Black et al., European Sleep</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Research Society 2024 Abstract. 3. Company data / presentations.</w:t>
      </w: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Cleminorexton: Our Lead Clinical Program for NT1, NT2 and IH</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Program Overview</w:t>
      </w:r>
    </w:p>
    <w:p>
      <w:pPr>
        <w:spacing w:after="0" w:line="134" w:lineRule="exact"/>
        <w:rPr>
          <w:sz w:val="20"/>
          <w:szCs w:val="20"/>
          <w:color w:val="auto"/>
        </w:rPr>
      </w:pPr>
    </w:p>
    <w:p>
      <w:pPr>
        <w:jc w:val="both"/>
        <w:ind w:firstLine="720"/>
        <w:spacing w:after="0" w:line="281" w:lineRule="auto"/>
        <w:rPr>
          <w:sz w:val="20"/>
          <w:szCs w:val="20"/>
          <w:color w:val="auto"/>
        </w:rPr>
      </w:pPr>
      <w:r>
        <w:rPr>
          <w:rFonts w:ascii="Times New Roman" w:cs="Times New Roman" w:eastAsia="Times New Roman" w:hAnsi="Times New Roman"/>
          <w:sz w:val="20"/>
          <w:szCs w:val="20"/>
          <w:color w:val="auto"/>
        </w:rPr>
        <w:t>Cleminorexton is a potential best-in-class investigational, oral, highly selective and potent OX2R agonist in development for the treatment of NT1, NT2 and IH with first-in-class potential in NT2 and IH.</w:t>
      </w:r>
    </w:p>
    <w:p>
      <w:pPr>
        <w:spacing w:after="0" w:line="5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Phase 2a CRYSTAL-1 Study in Patients with NT1, NT2 and IH</w:t>
      </w:r>
    </w:p>
    <w:p>
      <w:pPr>
        <w:spacing w:after="0" w:line="134" w:lineRule="exact"/>
        <w:rPr>
          <w:sz w:val="20"/>
          <w:szCs w:val="20"/>
          <w:color w:val="auto"/>
        </w:rPr>
      </w:pPr>
    </w:p>
    <w:p>
      <w:pPr>
        <w:jc w:val="both"/>
        <w:ind w:firstLine="720"/>
        <w:spacing w:after="0" w:line="262" w:lineRule="auto"/>
        <w:rPr>
          <w:sz w:val="20"/>
          <w:szCs w:val="20"/>
          <w:color w:val="auto"/>
        </w:rPr>
      </w:pPr>
      <w:r>
        <w:rPr>
          <w:rFonts w:ascii="Times New Roman" w:cs="Times New Roman" w:eastAsia="Times New Roman" w:hAnsi="Times New Roman"/>
          <w:sz w:val="20"/>
          <w:szCs w:val="20"/>
          <w:color w:val="auto"/>
        </w:rPr>
        <w:t>The ongoing CRYSTAL-1 study is an adaptive, randomized, double-blind, placebo-controlled study of cleminorexton in patients with NT1, NT2 and IH. The goals of the study are to demonstrate the safety and tolerability of cleminorexton, evaluate PK and pharmacodynamic (PD) measures, and identify the optimal dose(s) and regimen of cleminorexton in each indication for the ongoing registrational program. For initial dose cohorts, independent cohorts with NT1, NT2, and IH participants received both cleminorexton and placebo treatment (administered once daily) randomized in a 2-week crossover design. Efficacy was assessed by the change from baseline in mean sleep latency (MSL) on the</w:t>
      </w:r>
    </w:p>
    <w:p>
      <w:pPr>
        <w:spacing w:after="0" w:line="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20"/>
          <w:szCs w:val="20"/>
          <w:color w:val="auto"/>
        </w:rPr>
        <w:t>Maintenance of Wakefulness Test (MWT), and excessive daytime sleepiness on the Epworth Sleepiness Scale (ESS), each compared with placebo, and, for NT1 participants, by the incidence rate ratio for Weekly Cataplexy Rate (WCR) compared with placebo. After completion of each indication cohort, a new dose was selected and reviewed by the Safety Review Committee based on observed safety, tolerability, exposure and efficacy.</w:t>
      </w:r>
    </w:p>
    <w:p>
      <w:pPr>
        <w:spacing w:after="0" w:line="77" w:lineRule="exact"/>
        <w:rPr>
          <w:sz w:val="20"/>
          <w:szCs w:val="20"/>
          <w:color w:val="auto"/>
        </w:rPr>
      </w:pPr>
    </w:p>
    <w:p>
      <w:pPr>
        <w:jc w:val="both"/>
        <w:ind w:firstLine="720"/>
        <w:spacing w:after="0" w:line="256" w:lineRule="auto"/>
        <w:rPr>
          <w:sz w:val="20"/>
          <w:szCs w:val="20"/>
          <w:color w:val="auto"/>
        </w:rPr>
      </w:pPr>
      <w:r>
        <w:rPr>
          <w:rFonts w:ascii="Times New Roman" w:cs="Times New Roman" w:eastAsia="Times New Roman" w:hAnsi="Times New Roman"/>
          <w:sz w:val="20"/>
          <w:szCs w:val="20"/>
          <w:color w:val="auto"/>
        </w:rPr>
        <w:t>Following the initial dose cohorts, the study was adapted to a 4-week parallel design. Under this design, participants in ongoing and future cohorts are randomized to one of two blinded treatment sequences and receive 4 weeks of treatment with either cleminorexton or placebo (administered either once-daily or as a split dose) followed by a 2-week crossover to the other treatment. Efficacy is assessed after the initial 4-week parallel treatment period. Following completion of CRYSTAL-1, participants may enroll into an ongoing open-label long term extension (LTE) study of cleminorexton with separate cohorts for each condition.</w:t>
      </w:r>
    </w:p>
    <w:p>
      <w:pPr>
        <w:spacing w:after="0" w:line="32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2-Week Crossover Data Update:</w:t>
      </w:r>
    </w:p>
    <w:p>
      <w:pPr>
        <w:spacing w:after="0" w:line="244" w:lineRule="exact"/>
        <w:rPr>
          <w:sz w:val="20"/>
          <w:szCs w:val="20"/>
          <w:color w:val="auto"/>
        </w:rPr>
      </w:pPr>
    </w:p>
    <w:p>
      <w:pPr>
        <w:jc w:val="both"/>
        <w:ind w:firstLine="720"/>
        <w:spacing w:after="0" w:line="245" w:lineRule="auto"/>
        <w:rPr>
          <w:sz w:val="20"/>
          <w:szCs w:val="20"/>
          <w:color w:val="auto"/>
        </w:rPr>
      </w:pPr>
      <w:r>
        <w:rPr>
          <w:rFonts w:ascii="Times New Roman" w:cs="Times New Roman" w:eastAsia="Times New Roman" w:hAnsi="Times New Roman"/>
          <w:sz w:val="20"/>
          <w:szCs w:val="20"/>
          <w:color w:val="auto"/>
        </w:rPr>
        <w:t>In November 2025, we shared preliminary topline data from the completed initial dosing cohorts of cleminorexton within CRYSTAL’s 2-week crossover design for NT1, NT2 and IH (n=55) as of a September 23, 2025 data cutoff date. As of that cutoff date, cleminorexton was observed to be generally well-tolerated at all doses tested across each indication with all TEAEs being transient and mild to moderate in severity. One participant discontinued from treatment due to urinary urgency in the NT2 cohort. There were no clinically meaningful changes in cardiac, visual, liver or renal function. The most common TEAEs (≥10%) across all completed NT1, NT2 and IH cohorts were pollakiuria (51%), insomnia (22%), dizziness (13%) and headache (11%).</w:t>
      </w:r>
    </w:p>
    <w:p>
      <w:pPr>
        <w:spacing w:after="0" w:line="87" w:lineRule="exact"/>
        <w:rPr>
          <w:sz w:val="20"/>
          <w:szCs w:val="20"/>
          <w:color w:val="auto"/>
        </w:rPr>
      </w:pPr>
    </w:p>
    <w:p>
      <w:pPr>
        <w:jc w:val="both"/>
        <w:ind w:firstLine="720"/>
        <w:spacing w:after="0" w:line="256" w:lineRule="auto"/>
        <w:rPr>
          <w:sz w:val="20"/>
          <w:szCs w:val="20"/>
          <w:color w:val="auto"/>
        </w:rPr>
      </w:pPr>
      <w:r>
        <w:rPr>
          <w:rFonts w:ascii="Times New Roman" w:cs="Times New Roman" w:eastAsia="Times New Roman" w:hAnsi="Times New Roman"/>
          <w:sz w:val="20"/>
          <w:szCs w:val="20"/>
          <w:color w:val="auto"/>
        </w:rPr>
        <w:t>In NT1 participants, statistically significant, clinically meaningful and dose-dependent improvements from baseline compared with placebo were observed in mean sleep latency on the MWT and ESS scores in the 1.0 mg and 1.5 mg dose cohorts of cleminorexton administered once daily. More specifically, in the 1.5 mg cohort (n=6), cleminorexton achieved a &gt;20-minute change from baseline in mean sleep latency compared with placebo on the MWT at Week 2 (p-value =0.0026), with half the participants achieving &gt;30 minutes in mean sleep latency on the MWT. Also, in the 1.5 mg cohort (n=7), participants had a mean ESS total score of 5.1 with cleminorexton compared to a mean ESS total score of</w:t>
      </w:r>
    </w:p>
    <w:p>
      <w:pPr>
        <w:sectPr>
          <w:pgSz w:w="12240" w:h="15840" w:orient="portrait"/>
          <w:cols w:equalWidth="0" w:num="1">
            <w:col w:w="9880"/>
          </w:cols>
          <w:pgMar w:left="1180" w:top="208" w:right="1180" w:bottom="0" w:gutter="0" w:footer="0" w:header="0"/>
        </w:sect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ectPr>
          <w:pgSz w:w="12240" w:h="15840" w:orient="portrait"/>
          <w:cols w:equalWidth="0" w:num="1">
            <w:col w:w="9880"/>
          </w:cols>
          <w:pgMar w:left="1180" w:top="208" w:right="1180" w:bottom="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400"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18.7 with placebo at Week 2 (p-value =0.0001). Participants had a mean ESS total score of 19.6 at baseline. Cleminorexton also achieved statistically significant, clinically meaningful and dose-dependent reductions in Weekly Cataplexy Rate (WCR) at both doses. In the 1.5 mg cohort (n=7), participants with cleminorexton had an 87% relative reduction in WCR compared with placebo, with an estimated incidence rate ratio of 0.13 at Week 2 (p-value = 0.0025).</w:t>
      </w:r>
    </w:p>
    <w:p>
      <w:pPr>
        <w:spacing w:after="0" w:line="83" w:lineRule="exact"/>
        <w:rPr>
          <w:sz w:val="20"/>
          <w:szCs w:val="20"/>
          <w:color w:val="auto"/>
        </w:rPr>
      </w:pPr>
    </w:p>
    <w:p>
      <w:pPr>
        <w:jc w:val="both"/>
        <w:ind w:right="20" w:firstLine="720"/>
        <w:spacing w:after="0" w:line="255" w:lineRule="auto"/>
        <w:rPr>
          <w:sz w:val="20"/>
          <w:szCs w:val="20"/>
          <w:color w:val="auto"/>
        </w:rPr>
      </w:pPr>
      <w:r>
        <w:rPr>
          <w:rFonts w:ascii="Times New Roman" w:cs="Times New Roman" w:eastAsia="Times New Roman" w:hAnsi="Times New Roman"/>
          <w:sz w:val="20"/>
          <w:szCs w:val="20"/>
          <w:color w:val="auto"/>
        </w:rPr>
        <w:t>In NT2 participants, statistically significant, clinically meaningful and dose-dependent improvements from baseline compared with placebo were observed in mean sleep latency on the MWT and ESS scores in the 2.0 mg and 4.0 mg dose cohorts of cleminorexton administered once daily. More specifically, in the 4.0 mg cohort (n=10), cleminorexton achieved a &gt;10-minute change from baseline in mean sleep latency compared with placebo on the MWT at Week 2 (p-value = 0.0193). Also, in the 4.0 mg cohort (n=10), participants had a mean ESS total score of 8.1 with cleminorexton compared to a mean ESS total score of 15.9 with placebo at Week 2 (p-value =0.0023). Participants had a mean ESS total score of 17.3 at baseline.</w:t>
      </w:r>
    </w:p>
    <w:p>
      <w:pPr>
        <w:spacing w:after="0" w:line="90" w:lineRule="exact"/>
        <w:rPr>
          <w:sz w:val="20"/>
          <w:szCs w:val="20"/>
          <w:color w:val="auto"/>
        </w:rPr>
      </w:pPr>
    </w:p>
    <w:p>
      <w:pPr>
        <w:jc w:val="both"/>
        <w:ind w:right="20" w:firstLine="720"/>
        <w:spacing w:after="0" w:line="266" w:lineRule="auto"/>
        <w:rPr>
          <w:sz w:val="20"/>
          <w:szCs w:val="20"/>
          <w:color w:val="auto"/>
        </w:rPr>
      </w:pPr>
      <w:r>
        <w:rPr>
          <w:rFonts w:ascii="Times New Roman" w:cs="Times New Roman" w:eastAsia="Times New Roman" w:hAnsi="Times New Roman"/>
          <w:sz w:val="20"/>
          <w:szCs w:val="20"/>
          <w:color w:val="auto"/>
        </w:rPr>
        <w:t>In IH participants, statistically significant and clinically meaningful improvements from baseline compared with placebo were observed on multiple efficacy measures including mean sleep latency on the MWT (p-value =0.0213) in the 2.0 mg dose cohort (n=17) administered once daily.</w:t>
      </w:r>
    </w:p>
    <w:p>
      <w:pPr>
        <w:spacing w:after="0" w:line="7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CRYSTAL-1 is ongoing.</w:t>
      </w:r>
    </w:p>
    <w:p>
      <w:pPr>
        <w:spacing w:after="0" w:line="36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Phase 1 Study in Healthy Volunteers</w:t>
      </w:r>
    </w:p>
    <w:p>
      <w:pPr>
        <w:spacing w:after="0" w:line="134" w:lineRule="exact"/>
        <w:rPr>
          <w:sz w:val="20"/>
          <w:szCs w:val="20"/>
          <w:color w:val="auto"/>
        </w:rPr>
      </w:pPr>
    </w:p>
    <w:p>
      <w:pPr>
        <w:jc w:val="both"/>
        <w:ind w:firstLine="720"/>
        <w:spacing w:after="0" w:line="253" w:lineRule="auto"/>
        <w:rPr>
          <w:sz w:val="20"/>
          <w:szCs w:val="20"/>
          <w:color w:val="auto"/>
        </w:rPr>
      </w:pPr>
      <w:r>
        <w:rPr>
          <w:rFonts w:ascii="Times New Roman" w:cs="Times New Roman" w:eastAsia="Times New Roman" w:hAnsi="Times New Roman"/>
          <w:sz w:val="20"/>
          <w:szCs w:val="20"/>
          <w:color w:val="auto"/>
        </w:rPr>
        <w:t>In May 2024, we announced the initiation of a Phase 1 first-in-human (FIH) clinical study of cleminorexton in healthy volunteers. The Phase 1 study is a randomized, double-blind, sponsor-open, placebo-controlled, study evaluating the safety, tolerability, PK, and PD of cleminorexton in healthy adult participants. This study incorporates a standard SAD/ MAD study design, various food effect evaluations, and a PoC phase designed to demonstrate the potential efficacy of cleminorexton versus placebo following crossover dose administration in acutely sleep-deprived healthy male participants to establish a preliminary exposure-response relationship. We previously shared data from PoC cohorts that evaluated single doses of cleminorexton at 1.0, 2.5, 3.5, and 5.0 mg. The mean sleep latency on the MWT showed dose-dependent improvements and a full range of response across the evaluated doses, with the 5.0 mg dose producing MWT scores approaching the limit of the test. The Phase 1 study is ongoing and as of a January 14, 2026 data cutoff date, over 254 participants have been dosed with cleminorexton at doses administered with once-daily and split-dosing regimens which have enabled ongoing and planned future dose escalation in the Phase 2a study. The adverse event profile observed in the Phase 1 study has remained generally consistent with previously reported Phase 1 data.</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Narcolepsy (NT1 and NT2) and Idiopathic Hypersomnia (IH)</w:t>
      </w:r>
    </w:p>
    <w:p>
      <w:pPr>
        <w:spacing w:after="0" w:line="139" w:lineRule="exact"/>
        <w:rPr>
          <w:sz w:val="20"/>
          <w:szCs w:val="20"/>
          <w:color w:val="auto"/>
        </w:rPr>
      </w:pPr>
    </w:p>
    <w:p>
      <w:pPr>
        <w:jc w:val="both"/>
        <w:ind w:right="20" w:firstLine="720"/>
        <w:spacing w:after="0" w:line="255" w:lineRule="auto"/>
        <w:rPr>
          <w:sz w:val="20"/>
          <w:szCs w:val="20"/>
          <w:color w:val="auto"/>
        </w:rPr>
      </w:pPr>
      <w:r>
        <w:rPr>
          <w:rFonts w:ascii="Times New Roman" w:cs="Times New Roman" w:eastAsia="Times New Roman" w:hAnsi="Times New Roman"/>
          <w:sz w:val="20"/>
          <w:szCs w:val="20"/>
          <w:color w:val="auto"/>
        </w:rPr>
        <w:t>Narcolepsy is a rare, lifelong, debilitating neurological disorder that affects the brain’s ability to regulate the normal sleep-wake cycle, resulting in EDS, among other symptoms. Narcolepsy symptoms usually start during adolescence or early adulthood, between 7-25 years of age, and diagnostic delays of 8-12 years are common. Narcolepsy is estimated to affect approximately 126,000 to 175,000 people in the United States (US), and over three million people worldwide; however, there are several different estimates of the size of the population based on different epidemiological methods, and calculations likely underestimate the size of the population due to diagnostic challenges. It is estimated that less than 50% of affected patients are diagnosed.</w:t>
      </w:r>
    </w:p>
    <w:p>
      <w:pPr>
        <w:spacing w:after="0" w:line="90" w:lineRule="exact"/>
        <w:rPr>
          <w:sz w:val="20"/>
          <w:szCs w:val="20"/>
          <w:color w:val="auto"/>
        </w:rPr>
      </w:pPr>
    </w:p>
    <w:p>
      <w:pPr>
        <w:jc w:val="both"/>
        <w:ind w:right="20" w:firstLine="720"/>
        <w:spacing w:after="0" w:line="255" w:lineRule="auto"/>
        <w:rPr>
          <w:sz w:val="20"/>
          <w:szCs w:val="20"/>
          <w:color w:val="auto"/>
        </w:rPr>
      </w:pPr>
      <w:r>
        <w:rPr>
          <w:rFonts w:ascii="Times New Roman" w:cs="Times New Roman" w:eastAsia="Times New Roman" w:hAnsi="Times New Roman"/>
          <w:sz w:val="20"/>
          <w:szCs w:val="20"/>
          <w:color w:val="auto"/>
        </w:rPr>
        <w:t>Narcolepsy is classified as two subtypes, NT1 and NT2. NT1 is caused by the T-cell-mediated destruction of orexin-producing neurons in the hypothalamus and is characterized by low levels of orexin peptides in the brain as measured in cerebrospinal fluid (CSF) (orexin A &lt;110 pg/ml). The selective loss of these neurons is likely an autoimmune reaction to specific antigens in those individuals with a genetic predisposition. The cause of NT2 is not well understood. Some NT2 cases have been associated with partial loss of orexinergic neurons and intermediate levels of orexin in CSF, and others progress over time to a diagnosis of NT1, with the onset of cataplexy and greater loss of orexin. However, in most cases, CSF orexin levels are within the normal range.</w:t>
      </w:r>
    </w:p>
    <w:p>
      <w:pPr>
        <w:sectPr>
          <w:pgSz w:w="12240" w:h="15840" w:orient="portrait"/>
          <w:cols w:equalWidth="0" w:num="1">
            <w:col w:w="9900"/>
          </w:cols>
          <w:pgMar w:left="1180" w:top="20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12</w:t>
      </w:r>
    </w:p>
    <w:p>
      <w:pPr>
        <w:sectPr>
          <w:pgSz w:w="12240" w:h="15840" w:orient="portrait"/>
          <w:cols w:equalWidth="0" w:num="1">
            <w:col w:w="9900"/>
          </w:cols>
          <w:pgMar w:left="1180" w:top="208" w:right="1160" w:bottom="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1016635</wp:posOffset>
            </wp:positionH>
            <wp:positionV relativeFrom="paragraph">
              <wp:posOffset>293370</wp:posOffset>
            </wp:positionV>
            <wp:extent cx="4241165" cy="22860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
                      <a:extLst>
                        <a:ext uri="{28A0092B-C50C-407E-A947-70E740481C1C}"/>
                      </a:extLst>
                    </a:blip>
                    <a:srcRect/>
                    <a:stretch>
                      <a:fillRect/>
                    </a:stretch>
                  </pic:blipFill>
                  <pic:spPr bwMode="auto">
                    <a:xfrm>
                      <a:off x="0" y="0"/>
                      <a:ext cx="4241165" cy="2286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Figure 4: Schematic representation of the orexin neurotransmitter system.</w:t>
      </w:r>
    </w:p>
    <w:p>
      <w:pPr>
        <w:spacing w:after="0" w:line="225" w:lineRule="exact"/>
        <w:rPr>
          <w:sz w:val="20"/>
          <w:szCs w:val="20"/>
          <w:color w:val="auto"/>
        </w:rPr>
      </w:pPr>
    </w:p>
    <w:p>
      <w:pPr>
        <w:jc w:val="both"/>
        <w:ind w:firstLine="720"/>
        <w:spacing w:after="0" w:line="243" w:lineRule="auto"/>
        <w:rPr>
          <w:sz w:val="20"/>
          <w:szCs w:val="20"/>
          <w:color w:val="auto"/>
        </w:rPr>
      </w:pPr>
      <w:r>
        <w:rPr>
          <w:rFonts w:ascii="Times New Roman" w:cs="Times New Roman" w:eastAsia="Times New Roman" w:hAnsi="Times New Roman"/>
          <w:sz w:val="20"/>
          <w:szCs w:val="20"/>
          <w:color w:val="auto"/>
        </w:rPr>
        <w:t>NT1 is also commonly referred to as narcolepsy with cataplexy, and NT2 is referred to as narcolepsy without cataplexy. Approximately one-third of narcolepsy patients have NT1, characterized by significant symptoms of EDS, cataplexy, disturbed nighttime sleep, with dysregulation of sleep architecture and rapid eye movement (REM) sleep-related phenomena, such as the variable occurrence of sleep paralysis, hallucinations on waking up or falling asleep, vivid dreams, and other debilitating symptoms. Approximately two-thirds of narcolepsy patients have NT2. NT2 shares many clinical similarities with NT1, however individuals with NT2 do not experience cataplexy. Cataplexy events produce muscle weakness in particular areas of the body such as the face, neck, or limbs, and can result in a partial loss of muscle tone or full body collapse. Even in the case of a full body collapse, the individual remains fully awake and aware of their surroundings but is unable to move. Cataplexy events usually resolve within several minutes, and the individual regains full control of their muscles.</w:t>
      </w:r>
    </w:p>
    <w:p>
      <w:pPr>
        <w:spacing w:after="0" w:line="91" w:lineRule="exact"/>
        <w:rPr>
          <w:sz w:val="20"/>
          <w:szCs w:val="20"/>
          <w:color w:val="auto"/>
        </w:rPr>
      </w:pPr>
    </w:p>
    <w:p>
      <w:pPr>
        <w:jc w:val="both"/>
        <w:ind w:right="20" w:firstLine="776"/>
        <w:spacing w:after="0" w:line="253" w:lineRule="auto"/>
        <w:rPr>
          <w:sz w:val="20"/>
          <w:szCs w:val="20"/>
          <w:color w:val="auto"/>
        </w:rPr>
      </w:pPr>
      <w:r>
        <w:rPr>
          <w:rFonts w:ascii="Times New Roman" w:cs="Times New Roman" w:eastAsia="Times New Roman" w:hAnsi="Times New Roman"/>
          <w:sz w:val="20"/>
          <w:szCs w:val="20"/>
          <w:color w:val="auto"/>
        </w:rPr>
        <w:t>NT1 and NT2 are complex neurologic disorders that are frequently accompanied by a wide range of medical and psychiatric comorbidities in addition to the sleep/wake related impairment. More than 30% of individuals with NT1 and NT2 have a comorbid mood, depression, or anxiety disorder. Cognitive effects are commonly reported and described as a constellation of symptoms that may include fatigue, brain fog, automatic behaviors, and impairments in memory, attention, and concentration. Metabolic and cardiovascular comorbidities, including diabetes and hypertension, are also prevalent in this population. The presence of these comorbidities contributes to the overall complexity of managing NT1 and NT2, as they can influence symptom presentation, treatment selection, and patient outcomes.</w:t>
      </w:r>
    </w:p>
    <w:p>
      <w:pPr>
        <w:spacing w:after="0" w:line="3" w:lineRule="exact"/>
        <w:rPr>
          <w:sz w:val="20"/>
          <w:szCs w:val="20"/>
          <w:color w:val="auto"/>
        </w:rPr>
      </w:pPr>
    </w:p>
    <w:p>
      <w:pPr>
        <w:jc w:val="both"/>
        <w:ind w:firstLine="720"/>
        <w:spacing w:after="0" w:line="245" w:lineRule="auto"/>
        <w:rPr>
          <w:sz w:val="20"/>
          <w:szCs w:val="20"/>
          <w:color w:val="auto"/>
        </w:rPr>
      </w:pPr>
      <w:r>
        <w:rPr>
          <w:rFonts w:ascii="Times New Roman" w:cs="Times New Roman" w:eastAsia="Times New Roman" w:hAnsi="Times New Roman"/>
          <w:sz w:val="20"/>
          <w:szCs w:val="20"/>
          <w:color w:val="auto"/>
        </w:rPr>
        <w:t>No approved treatment addresses the loss of orexin. Multiple medications are FDA approved to treat symptoms of narcolepsy; however, most treatment paradigms for patients with narcolepsy typically involve a polypharmacy approach due to suboptimal efficacy from monotherapies.</w:t>
      </w:r>
    </w:p>
    <w:p>
      <w:pPr>
        <w:spacing w:after="0" w:line="85" w:lineRule="exact"/>
        <w:rPr>
          <w:sz w:val="20"/>
          <w:szCs w:val="20"/>
          <w:color w:val="auto"/>
        </w:rPr>
      </w:pPr>
    </w:p>
    <w:p>
      <w:pPr>
        <w:jc w:val="both"/>
        <w:ind w:firstLine="720"/>
        <w:spacing w:after="0" w:line="220" w:lineRule="auto"/>
        <w:rPr>
          <w:sz w:val="20"/>
          <w:szCs w:val="20"/>
          <w:color w:val="auto"/>
        </w:rPr>
      </w:pPr>
      <w:r>
        <w:rPr>
          <w:rFonts w:ascii="Times New Roman" w:cs="Times New Roman" w:eastAsia="Times New Roman" w:hAnsi="Times New Roman"/>
          <w:sz w:val="20"/>
          <w:szCs w:val="20"/>
          <w:color w:val="auto"/>
        </w:rPr>
        <w:t>There are four medications approved to treat both EDS or cataplexy in narcolepsy, which are LUMRYZ</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20"/>
          <w:szCs w:val="20"/>
          <w:color w:val="auto"/>
        </w:rPr>
        <w:t xml:space="preserve"> (extended-release sodium oxybate) from Alkermes plc (“Alkermes”), WAKIX</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20"/>
          <w:szCs w:val="20"/>
          <w:color w:val="auto"/>
        </w:rPr>
        <w:t xml:space="preserve"> (pitolisant) marketed by Harmony Biosciences, and XYREM</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20"/>
          <w:szCs w:val="20"/>
          <w:color w:val="auto"/>
        </w:rPr>
        <w:t xml:space="preserve"> (sodium oxybate) and XYWAV</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20"/>
          <w:szCs w:val="20"/>
          <w:color w:val="auto"/>
        </w:rPr>
        <w:t xml:space="preserve"> (calcium oxybate; magnesium oxybate; potassium oxybate; sodium oxybate) marketed by Jazz Pharmaceuticals plc (“Jazz”). Medications approved to treat EDS in narcolepsy include the wake promoting agents modafinil and armodafinil which are available as generics and SUNOSI</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20"/>
          <w:szCs w:val="20"/>
          <w:color w:val="auto"/>
        </w:rPr>
        <w:t xml:space="preserve"> (solriamfetol) marketed by Axsome Therapeutics. Stimulant medications such as methylphenidate and amphetamine containing products have a general indication for narcolepsy, but are typically prescribed to address the symptom of EDS. Antidepressant medications are also used off label to address cataplexy.</w:t>
      </w:r>
    </w:p>
    <w:p>
      <w:pPr>
        <w:spacing w:after="0" w:line="101" w:lineRule="exact"/>
        <w:rPr>
          <w:sz w:val="20"/>
          <w:szCs w:val="20"/>
          <w:color w:val="auto"/>
        </w:rPr>
      </w:pPr>
    </w:p>
    <w:p>
      <w:pPr>
        <w:jc w:val="both"/>
        <w:ind w:right="20" w:firstLine="720"/>
        <w:spacing w:after="0" w:line="266" w:lineRule="auto"/>
        <w:rPr>
          <w:sz w:val="20"/>
          <w:szCs w:val="20"/>
          <w:color w:val="auto"/>
        </w:rPr>
      </w:pPr>
      <w:r>
        <w:rPr>
          <w:rFonts w:ascii="Times New Roman" w:cs="Times New Roman" w:eastAsia="Times New Roman" w:hAnsi="Times New Roman"/>
          <w:sz w:val="20"/>
          <w:szCs w:val="20"/>
          <w:color w:val="auto"/>
        </w:rPr>
        <w:t>Despite the number of available therapies, the majority of patients still report significant EDS and over half report serious side effects. The side effects, abuse potential and limited efficacy for some patients underscores the need for new therapeutic options.</w:t>
      </w:r>
    </w:p>
    <w:p>
      <w:pPr>
        <w:spacing w:after="0" w:line="75"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IH is a rare, chronic neurological disorder affecting approximately 120,000 people in the U.S. It is characterized by severe EDS, with or without prolonged nighttime sleep, sleep inertia (prolonged difficulty waking, confusion, and irritability), daytime “brain fog” or cognitive cloudiness, and autonomic symptoms. The onset of IH symptoms typically occurs in the second decade of life, and similar to narcolepsy, significant diagnostic delays have been reported. In one study, more than 45% of individuals with IH reported living with symptoms for 10 years or longer prior to diagnosis.</w:t>
      </w:r>
    </w:p>
    <w:p>
      <w:pPr>
        <w:spacing w:after="0" w:line="84" w:lineRule="exact"/>
        <w:rPr>
          <w:sz w:val="20"/>
          <w:szCs w:val="20"/>
          <w:color w:val="auto"/>
        </w:rPr>
      </w:pPr>
    </w:p>
    <w:p>
      <w:pPr>
        <w:jc w:val="both"/>
        <w:ind w:right="20" w:firstLine="720"/>
        <w:spacing w:after="0" w:line="281" w:lineRule="auto"/>
        <w:rPr>
          <w:sz w:val="20"/>
          <w:szCs w:val="20"/>
          <w:color w:val="auto"/>
        </w:rPr>
      </w:pPr>
      <w:r>
        <w:rPr>
          <w:rFonts w:ascii="Times New Roman" w:cs="Times New Roman" w:eastAsia="Times New Roman" w:hAnsi="Times New Roman"/>
          <w:sz w:val="20"/>
          <w:szCs w:val="20"/>
          <w:color w:val="auto"/>
        </w:rPr>
        <w:t>The pathophysiology and underlying cause of IH remain unknown, and unlike NT1, no orexin deficiency has been observed in the CSF of individuals with IH. A rare human genetic variant associated with IH, identified in a Japanese</w:t>
      </w:r>
    </w:p>
    <w:p>
      <w:pPr>
        <w:sectPr>
          <w:pgSz w:w="12240" w:h="15840" w:orient="portrait"/>
          <w:cols w:equalWidth="0" w:num="1">
            <w:col w:w="9900"/>
          </w:cols>
          <w:pgMar w:left="1180" w:top="208" w:right="1160" w:bottom="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13</w:t>
      </w:r>
    </w:p>
    <w:p>
      <w:pPr>
        <w:sectPr>
          <w:pgSz w:w="12240" w:h="15840" w:orient="portrait"/>
          <w:cols w:equalWidth="0" w:num="1">
            <w:col w:w="9900"/>
          </w:cols>
          <w:pgMar w:left="1180" w:top="208" w:right="1160" w:bottom="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8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0"/>
          <w:szCs w:val="20"/>
          <w:color w:val="auto"/>
        </w:rPr>
        <w:t>population, produces a mutant orexin peptide with reduced signaling efficiency compared with wild</w:t>
      </w:r>
      <w:r>
        <w:rPr>
          <w:rFonts w:ascii="Arial" w:cs="Arial" w:eastAsia="Arial" w:hAnsi="Arial"/>
          <w:sz w:val="20"/>
          <w:szCs w:val="20"/>
          <w:b w:val="1"/>
          <w:bCs w:val="1"/>
          <w:color w:val="auto"/>
        </w:rPr>
        <w:t>-</w:t>
      </w:r>
      <w:r>
        <w:rPr>
          <w:rFonts w:ascii="Times New Roman" w:cs="Times New Roman" w:eastAsia="Times New Roman" w:hAnsi="Times New Roman"/>
          <w:sz w:val="20"/>
          <w:szCs w:val="20"/>
          <w:color w:val="auto"/>
        </w:rPr>
        <w:t>type orexin, suggesting that orexin pathways may contribute to disease mechanisms in a subset of patients. Additional research has proposed that symptoms of IH may arise from enhanced GABAergic responsiveness, autonomic dysfunction, or circadian disruption.</w:t>
      </w:r>
    </w:p>
    <w:p>
      <w:pPr>
        <w:spacing w:after="0" w:line="78" w:lineRule="exact"/>
        <w:rPr>
          <w:sz w:val="20"/>
          <w:szCs w:val="20"/>
          <w:color w:val="auto"/>
        </w:rPr>
      </w:pPr>
    </w:p>
    <w:p>
      <w:pPr>
        <w:jc w:val="both"/>
        <w:ind w:right="20" w:firstLine="720"/>
        <w:spacing w:after="0" w:line="254" w:lineRule="auto"/>
        <w:rPr>
          <w:sz w:val="20"/>
          <w:szCs w:val="20"/>
          <w:color w:val="auto"/>
        </w:rPr>
      </w:pPr>
      <w:r>
        <w:rPr>
          <w:rFonts w:ascii="Times New Roman" w:cs="Times New Roman" w:eastAsia="Times New Roman" w:hAnsi="Times New Roman"/>
          <w:sz w:val="20"/>
          <w:szCs w:val="20"/>
          <w:color w:val="auto"/>
        </w:rPr>
        <w:t>As there is no cure for IH, current disease management focuses on symptom reduction rather than disease resolution. Currently, the only US FDA-approved therapy for the treatment of IH is Xywav®, a Schedule III drug with risks associated with misuse and abuse as well as adverse effects that affect patients’ tolerability. Other medications, such as modafinil, armodafinil, methylphenidate, amphetamines, pitolisant, and solriamfetol, are often used off label to manage IH symptoms, but none have received specific FDA approval for IH. While these treatments improve measures of wakefulness, many patients view these drugs as insufficient in addressing all of their symptoms, and they often have concerns about the side effects and potential risks of these therapies. Given the significant impact IH has on daily functioning, IH represents major area of unmet medical need.</w:t>
      </w:r>
    </w:p>
    <w:p>
      <w:pPr>
        <w:spacing w:after="0" w:line="93" w:lineRule="exact"/>
        <w:rPr>
          <w:sz w:val="20"/>
          <w:szCs w:val="20"/>
          <w:color w:val="auto"/>
        </w:rPr>
      </w:pPr>
    </w:p>
    <w:p>
      <w:pPr>
        <w:jc w:val="both"/>
        <w:ind w:right="20" w:firstLine="720"/>
        <w:spacing w:after="0" w:line="281" w:lineRule="auto"/>
        <w:rPr>
          <w:sz w:val="20"/>
          <w:szCs w:val="20"/>
          <w:color w:val="auto"/>
        </w:rPr>
      </w:pPr>
      <w:r>
        <w:rPr>
          <w:rFonts w:ascii="Times New Roman" w:cs="Times New Roman" w:eastAsia="Times New Roman" w:hAnsi="Times New Roman"/>
          <w:sz w:val="20"/>
          <w:szCs w:val="20"/>
          <w:color w:val="auto"/>
        </w:rPr>
        <w:t>Various companies are conducting research and clinical development with orexin agonists for the treatment of sleep disorders and other indications, including Takeda, Alkermes, Jazz, Harmony, and Eisai Co., Ltd.</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Other Clinical Studies</w:t>
      </w: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Phase 1 study of ORX142 in healthy volunteers</w:t>
      </w:r>
    </w:p>
    <w:p>
      <w:pPr>
        <w:spacing w:after="0" w:line="119"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In November 2025, we announced interim results from our ongoing first</w:t>
      </w:r>
      <w:r>
        <w:rPr>
          <w:rFonts w:ascii="Arial" w:cs="Arial" w:eastAsia="Arial" w:hAnsi="Arial"/>
          <w:sz w:val="20"/>
          <w:szCs w:val="20"/>
          <w:b w:val="1"/>
          <w:bCs w:val="1"/>
          <w:color w:val="auto"/>
        </w:rPr>
        <w:t>-</w:t>
      </w:r>
      <w:r>
        <w:rPr>
          <w:rFonts w:ascii="Times New Roman" w:cs="Times New Roman" w:eastAsia="Times New Roman" w:hAnsi="Times New Roman"/>
          <w:sz w:val="20"/>
          <w:szCs w:val="20"/>
          <w:color w:val="auto"/>
        </w:rPr>
        <w:t>in</w:t>
      </w:r>
      <w:r>
        <w:rPr>
          <w:rFonts w:ascii="Arial" w:cs="Arial" w:eastAsia="Arial" w:hAnsi="Arial"/>
          <w:sz w:val="20"/>
          <w:szCs w:val="20"/>
          <w:b w:val="1"/>
          <w:bCs w:val="1"/>
          <w:color w:val="auto"/>
        </w:rPr>
        <w:t>-</w:t>
      </w:r>
      <w:r>
        <w:rPr>
          <w:rFonts w:ascii="Times New Roman" w:cs="Times New Roman" w:eastAsia="Times New Roman" w:hAnsi="Times New Roman"/>
          <w:sz w:val="20"/>
          <w:szCs w:val="20"/>
          <w:color w:val="auto"/>
        </w:rPr>
        <w:t>human (“FIH”) Phase 1 study evaluating the safety, tolerability, and PK profile of ORX142 in healthy volunteers. The study includes single</w:t>
      </w:r>
      <w:r>
        <w:rPr>
          <w:rFonts w:ascii="Arial" w:cs="Arial" w:eastAsia="Arial" w:hAnsi="Arial"/>
          <w:sz w:val="20"/>
          <w:szCs w:val="20"/>
          <w:b w:val="1"/>
          <w:bCs w:val="1"/>
          <w:color w:val="auto"/>
        </w:rPr>
        <w:t>-</w:t>
      </w:r>
      <w:r>
        <w:rPr>
          <w:rFonts w:ascii="Times New Roman" w:cs="Times New Roman" w:eastAsia="Times New Roman" w:hAnsi="Times New Roman"/>
          <w:sz w:val="20"/>
          <w:szCs w:val="20"/>
          <w:color w:val="auto"/>
        </w:rPr>
        <w:t>ascending and multiple</w:t>
      </w:r>
      <w:r>
        <w:rPr>
          <w:rFonts w:ascii="Arial" w:cs="Arial" w:eastAsia="Arial" w:hAnsi="Arial"/>
          <w:sz w:val="20"/>
          <w:szCs w:val="20"/>
          <w:b w:val="1"/>
          <w:bCs w:val="1"/>
          <w:color w:val="auto"/>
        </w:rPr>
        <w:t>-</w:t>
      </w:r>
      <w:r>
        <w:rPr>
          <w:rFonts w:ascii="Times New Roman" w:cs="Times New Roman" w:eastAsia="Times New Roman" w:hAnsi="Times New Roman"/>
          <w:sz w:val="20"/>
          <w:szCs w:val="20"/>
          <w:color w:val="auto"/>
        </w:rPr>
        <w:t>ascending dose cohorts, as well as a placebo</w:t>
      </w:r>
      <w:r>
        <w:rPr>
          <w:rFonts w:ascii="Arial" w:cs="Arial" w:eastAsia="Arial" w:hAnsi="Arial"/>
          <w:sz w:val="20"/>
          <w:szCs w:val="20"/>
          <w:b w:val="1"/>
          <w:bCs w:val="1"/>
          <w:color w:val="auto"/>
        </w:rPr>
        <w:t>-</w:t>
      </w:r>
      <w:r>
        <w:rPr>
          <w:rFonts w:ascii="Times New Roman" w:cs="Times New Roman" w:eastAsia="Times New Roman" w:hAnsi="Times New Roman"/>
          <w:sz w:val="20"/>
          <w:szCs w:val="20"/>
          <w:color w:val="auto"/>
        </w:rPr>
        <w:t>controlled, cross</w:t>
      </w:r>
      <w:r>
        <w:rPr>
          <w:rFonts w:ascii="Arial" w:cs="Arial" w:eastAsia="Arial" w:hAnsi="Arial"/>
          <w:sz w:val="20"/>
          <w:szCs w:val="20"/>
          <w:b w:val="1"/>
          <w:bCs w:val="1"/>
          <w:color w:val="auto"/>
        </w:rPr>
        <w:t>-</w:t>
      </w:r>
      <w:r>
        <w:rPr>
          <w:rFonts w:ascii="Times New Roman" w:cs="Times New Roman" w:eastAsia="Times New Roman" w:hAnsi="Times New Roman"/>
          <w:sz w:val="20"/>
          <w:szCs w:val="20"/>
          <w:color w:val="auto"/>
        </w:rPr>
        <w:t>over pharmacodynamic assessment in acutely sleep</w:t>
      </w:r>
      <w:r>
        <w:rPr>
          <w:rFonts w:ascii="Arial" w:cs="Arial" w:eastAsia="Arial" w:hAnsi="Arial"/>
          <w:sz w:val="20"/>
          <w:szCs w:val="20"/>
          <w:b w:val="1"/>
          <w:bCs w:val="1"/>
          <w:color w:val="auto"/>
        </w:rPr>
        <w:t>-</w:t>
      </w:r>
      <w:r>
        <w:rPr>
          <w:rFonts w:ascii="Times New Roman" w:cs="Times New Roman" w:eastAsia="Times New Roman" w:hAnsi="Times New Roman"/>
          <w:sz w:val="20"/>
          <w:szCs w:val="20"/>
          <w:color w:val="auto"/>
        </w:rPr>
        <w:t>deprived healthy adults to inform dose selection for future patient trials. As of the March 4, 2026 data cutoff, 184 healthy participants had been dosed. ORX142 demonstrated a rapid onset of action, a differentiated PK profile, and was generally well</w:t>
      </w:r>
      <w:r>
        <w:rPr>
          <w:rFonts w:ascii="Arial" w:cs="Arial" w:eastAsia="Arial" w:hAnsi="Arial"/>
          <w:sz w:val="20"/>
          <w:szCs w:val="20"/>
          <w:b w:val="1"/>
          <w:bCs w:val="1"/>
          <w:color w:val="auto"/>
        </w:rPr>
        <w:t>-</w:t>
      </w:r>
      <w:r>
        <w:rPr>
          <w:rFonts w:ascii="Times New Roman" w:cs="Times New Roman" w:eastAsia="Times New Roman" w:hAnsi="Times New Roman"/>
          <w:sz w:val="20"/>
          <w:szCs w:val="20"/>
          <w:color w:val="auto"/>
        </w:rPr>
        <w:t>tolerated across all dose levels. In addition, ORX142 produced statistically significant, dose</w:t>
      </w:r>
      <w:r>
        <w:rPr>
          <w:rFonts w:ascii="Arial" w:cs="Arial" w:eastAsia="Arial" w:hAnsi="Arial"/>
          <w:sz w:val="20"/>
          <w:szCs w:val="20"/>
          <w:b w:val="1"/>
          <w:bCs w:val="1"/>
          <w:color w:val="auto"/>
        </w:rPr>
        <w:t>-</w:t>
      </w:r>
      <w:r>
        <w:rPr>
          <w:rFonts w:ascii="Times New Roman" w:cs="Times New Roman" w:eastAsia="Times New Roman" w:hAnsi="Times New Roman"/>
          <w:sz w:val="20"/>
          <w:szCs w:val="20"/>
          <w:color w:val="auto"/>
        </w:rPr>
        <w:t>dependent improvements in mean sleep latency on the MWT in sleep</w:t>
      </w:r>
      <w:r>
        <w:rPr>
          <w:rFonts w:ascii="Arial" w:cs="Arial" w:eastAsia="Arial" w:hAnsi="Arial"/>
          <w:sz w:val="20"/>
          <w:szCs w:val="20"/>
          <w:b w:val="1"/>
          <w:bCs w:val="1"/>
          <w:color w:val="auto"/>
        </w:rPr>
        <w:t>-</w:t>
      </w:r>
      <w:r>
        <w:rPr>
          <w:rFonts w:ascii="Times New Roman" w:cs="Times New Roman" w:eastAsia="Times New Roman" w:hAnsi="Times New Roman"/>
          <w:sz w:val="20"/>
          <w:szCs w:val="20"/>
          <w:color w:val="auto"/>
        </w:rPr>
        <w:t>deprived participants compared to placebo, supporting the mechanism’s potential to enhance wakefulness and arousal</w:t>
      </w:r>
      <w:r>
        <w:rPr>
          <w:rFonts w:ascii="Arial" w:cs="Arial" w:eastAsia="Arial" w:hAnsi="Arial"/>
          <w:sz w:val="20"/>
          <w:szCs w:val="20"/>
          <w:b w:val="1"/>
          <w:bCs w:val="1"/>
          <w:color w:val="auto"/>
        </w:rPr>
        <w:t>-</w:t>
      </w:r>
      <w:r>
        <w:rPr>
          <w:rFonts w:ascii="Times New Roman" w:cs="Times New Roman" w:eastAsia="Times New Roman" w:hAnsi="Times New Roman"/>
          <w:sz w:val="20"/>
          <w:szCs w:val="20"/>
          <w:color w:val="auto"/>
        </w:rPr>
        <w:t>related performance and informing downstream clinical development decisions. These data are expected to inform dosing in patient studies for targeted indications. The study is ongoing.</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Phase 1 study of ORX489 in healthy volunteers</w:t>
      </w:r>
    </w:p>
    <w:p>
      <w:pPr>
        <w:spacing w:after="0" w:line="134" w:lineRule="exact"/>
        <w:rPr>
          <w:sz w:val="20"/>
          <w:szCs w:val="20"/>
          <w:color w:val="auto"/>
        </w:rPr>
      </w:pPr>
    </w:p>
    <w:p>
      <w:pPr>
        <w:jc w:val="both"/>
        <w:ind w:right="20" w:firstLine="720"/>
        <w:spacing w:after="0" w:line="281" w:lineRule="auto"/>
        <w:rPr>
          <w:sz w:val="20"/>
          <w:szCs w:val="20"/>
          <w:color w:val="auto"/>
        </w:rPr>
      </w:pPr>
      <w:r>
        <w:rPr>
          <w:rFonts w:ascii="Times New Roman" w:cs="Times New Roman" w:eastAsia="Times New Roman" w:hAnsi="Times New Roman"/>
          <w:sz w:val="20"/>
          <w:szCs w:val="20"/>
          <w:color w:val="auto"/>
        </w:rPr>
        <w:t>During the first quarter of 2026, following clearance of our IND from the FDA, we initiated a Phase 1 FIH study to evaluate the safety, tolerability, and PK profile of ORX489 in healthy volunteers. The study is ongoing.</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Earlier Stage Orexin Pipeline</w:t>
      </w:r>
    </w:p>
    <w:p>
      <w:pPr>
        <w:spacing w:after="0" w:line="137" w:lineRule="exact"/>
        <w:rPr>
          <w:sz w:val="20"/>
          <w:szCs w:val="20"/>
          <w:color w:val="auto"/>
        </w:rPr>
      </w:pPr>
    </w:p>
    <w:p>
      <w:pPr>
        <w:jc w:val="both"/>
        <w:ind w:right="20" w:firstLine="720"/>
        <w:spacing w:after="0" w:line="281" w:lineRule="auto"/>
        <w:rPr>
          <w:sz w:val="20"/>
          <w:szCs w:val="20"/>
          <w:color w:val="auto"/>
        </w:rPr>
      </w:pPr>
      <w:r>
        <w:rPr>
          <w:rFonts w:ascii="Times New Roman" w:cs="Times New Roman" w:eastAsia="Times New Roman" w:hAnsi="Times New Roman"/>
          <w:sz w:val="20"/>
          <w:szCs w:val="20"/>
          <w:color w:val="auto"/>
        </w:rPr>
        <w:t>Our earlier stage orexin pipeline includes additional OX2R agonists as well as research efforts on differentiated pharmacology associated with the activation of the orexin pathway.</w:t>
      </w:r>
    </w:p>
    <w:p>
      <w:pPr>
        <w:spacing w:after="0" w:line="61" w:lineRule="exact"/>
        <w:rPr>
          <w:sz w:val="20"/>
          <w:szCs w:val="20"/>
          <w:color w:val="auto"/>
        </w:rPr>
      </w:pPr>
    </w:p>
    <w:p>
      <w:pPr>
        <w:jc w:val="both"/>
        <w:ind w:right="20" w:firstLine="720"/>
        <w:spacing w:after="0" w:line="281" w:lineRule="auto"/>
        <w:rPr>
          <w:sz w:val="20"/>
          <w:szCs w:val="20"/>
          <w:color w:val="auto"/>
        </w:rPr>
      </w:pPr>
      <w:r>
        <w:rPr>
          <w:rFonts w:ascii="Times New Roman" w:cs="Times New Roman" w:eastAsia="Times New Roman" w:hAnsi="Times New Roman"/>
          <w:sz w:val="20"/>
          <w:szCs w:val="20"/>
          <w:color w:val="auto"/>
        </w:rPr>
        <w:t>We own worldwide rights to all of our pipeline programs and may opportunistically evaluate and enter into strategic transactions around certain product candidates, targets, geographies, or disease areas.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LockBody Technology Platform</w:t>
      </w:r>
    </w:p>
    <w:p>
      <w:pPr>
        <w:spacing w:after="0" w:line="137"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In February 2025, we announced a license agreement providing Genmab access to our proprietary LockBody technology platform to research products against up to three targets during a multi-year research period, with an option to take exclusive commercial licenses for worldwide development and commercialization of products against each selected target. See “Intellectual Property and License Agreements- Genmab License Agreement.” Our LockBody technology is designed to selectively drive potent effector function activity, such as CD3, into the tumor micro environment (“TME”) while avoiding systemic toxicity. Our LockBody technology platform is intended to allow for the development of LockBody constructs (a “LockBody”). A LockBody is designed to be a conditionally-active antibody drug with the potential to engage powerful immune pathways in diseased tissue, but not in non-diseased tissue or the periphery, where the drug’s action is often unwanted.</w:t>
      </w:r>
    </w:p>
    <w:p>
      <w:pPr>
        <w:sectPr>
          <w:pgSz w:w="12240" w:h="15840" w:orient="portrait"/>
          <w:cols w:equalWidth="0" w:num="1">
            <w:col w:w="9900"/>
          </w:cols>
          <w:pgMar w:left="1180" w:top="20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14</w:t>
      </w:r>
    </w:p>
    <w:p>
      <w:pPr>
        <w:sectPr>
          <w:pgSz w:w="12240" w:h="15840" w:orient="portrait"/>
          <w:cols w:equalWidth="0" w:num="1">
            <w:col w:w="9900"/>
          </w:cols>
          <w:pgMar w:left="1180" w:top="208" w:right="1160" w:bottom="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Corporate Information</w:t>
      </w:r>
    </w:p>
    <w:p>
      <w:pPr>
        <w:spacing w:after="0" w:line="137" w:lineRule="exact"/>
        <w:rPr>
          <w:sz w:val="20"/>
          <w:szCs w:val="20"/>
          <w:color w:val="auto"/>
        </w:rPr>
      </w:pPr>
    </w:p>
    <w:p>
      <w:pPr>
        <w:jc w:val="both"/>
        <w:ind w:right="20" w:firstLine="720"/>
        <w:spacing w:after="0" w:line="260" w:lineRule="auto"/>
        <w:rPr>
          <w:sz w:val="20"/>
          <w:szCs w:val="20"/>
          <w:color w:val="auto"/>
        </w:rPr>
      </w:pPr>
      <w:r>
        <w:rPr>
          <w:rFonts w:ascii="Times New Roman" w:cs="Times New Roman" w:eastAsia="Times New Roman" w:hAnsi="Times New Roman"/>
          <w:sz w:val="20"/>
          <w:szCs w:val="20"/>
          <w:color w:val="auto"/>
        </w:rPr>
        <w:t>Centessa Pharmaceuticals plc is registered with the Registrar of Companies in England and Wales under number 12973576, and our registered office is at 3rd Floor, 1 Ashley Road, Altrincham, Cheshire, United Kingdom, WA14 2DT. Our website address is http://www.centessa.com. The information contained on, or that can be accessed through, our website is not incorporated by reference in this annual report on Form 10-K.</w:t>
      </w:r>
    </w:p>
    <w:p>
      <w:pPr>
        <w:spacing w:after="0" w:line="203" w:lineRule="exact"/>
        <w:rPr>
          <w:sz w:val="20"/>
          <w:szCs w:val="20"/>
          <w:color w:val="auto"/>
        </w:rPr>
      </w:pPr>
    </w:p>
    <w:p>
      <w:pPr>
        <w:jc w:val="both"/>
        <w:ind w:right="20" w:firstLine="720"/>
        <w:spacing w:after="0" w:line="266" w:lineRule="auto"/>
        <w:rPr>
          <w:sz w:val="20"/>
          <w:szCs w:val="20"/>
          <w:color w:val="auto"/>
        </w:rPr>
      </w:pPr>
      <w:r>
        <w:rPr>
          <w:rFonts w:ascii="Times New Roman" w:cs="Times New Roman" w:eastAsia="Times New Roman" w:hAnsi="Times New Roman"/>
          <w:sz w:val="20"/>
          <w:szCs w:val="20"/>
          <w:color w:val="auto"/>
        </w:rPr>
        <w:t>Our UK business is operated by Centessa Pharmaceuticals (UK) Limited, (“CPUK”). CPUK is a wholly owned subsidiary of Centessa Pharmaceuticals plc. CPUK was incorporated in 2020 under the laws of England and Wales with primary operations in the United Kingdom.</w:t>
      </w:r>
    </w:p>
    <w:p>
      <w:pPr>
        <w:spacing w:after="0" w:line="195" w:lineRule="exact"/>
        <w:rPr>
          <w:sz w:val="20"/>
          <w:szCs w:val="20"/>
          <w:color w:val="auto"/>
        </w:rPr>
      </w:pPr>
    </w:p>
    <w:p>
      <w:pPr>
        <w:jc w:val="both"/>
        <w:ind w:right="20" w:firstLine="720"/>
        <w:spacing w:after="0" w:line="266" w:lineRule="auto"/>
        <w:rPr>
          <w:sz w:val="20"/>
          <w:szCs w:val="20"/>
          <w:color w:val="auto"/>
        </w:rPr>
      </w:pPr>
      <w:r>
        <w:rPr>
          <w:rFonts w:ascii="Times New Roman" w:cs="Times New Roman" w:eastAsia="Times New Roman" w:hAnsi="Times New Roman"/>
          <w:sz w:val="20"/>
          <w:szCs w:val="20"/>
          <w:color w:val="auto"/>
        </w:rPr>
        <w:t>Our U.S. business is operated by our US subsidiary, Centessa Pharmaceuticals LLC (formerly Centessa Pharmaceuticals, Inc.) (“CPLLC”). CPLLC was incorporated as a Delaware corporation in 2020 and was converted to a Delaware Limited Liability Company on June 29, 2023.</w:t>
      </w:r>
    </w:p>
    <w:p>
      <w:pPr>
        <w:spacing w:after="0" w:line="195" w:lineRule="exact"/>
        <w:rPr>
          <w:sz w:val="20"/>
          <w:szCs w:val="20"/>
          <w:color w:val="auto"/>
        </w:rPr>
      </w:pPr>
    </w:p>
    <w:p>
      <w:pPr>
        <w:jc w:val="both"/>
        <w:ind w:right="20" w:firstLine="720"/>
        <w:spacing w:after="0" w:line="260" w:lineRule="auto"/>
        <w:rPr>
          <w:sz w:val="20"/>
          <w:szCs w:val="20"/>
          <w:color w:val="auto"/>
        </w:rPr>
      </w:pPr>
      <w:r>
        <w:rPr>
          <w:rFonts w:ascii="Times New Roman" w:cs="Times New Roman" w:eastAsia="Times New Roman" w:hAnsi="Times New Roman"/>
          <w:sz w:val="20"/>
          <w:szCs w:val="20"/>
          <w:color w:val="auto"/>
        </w:rPr>
        <w:t>Our Annual Reports on Form 10-K, Quarterly Reports on Form 10-Q, Current Reports on Form 8-K and any amendments to these reports filed or furnished pursuant to Section 13(a) or 15(d) of the Securities Exchange Act of 1934, are available free of charge on our website located at http://www.centessa.com as soon as reasonably practicable after they are filed with or furnished to the Securities and Exchange Commission (the “SEC”).</w:t>
      </w:r>
    </w:p>
    <w:p>
      <w:pPr>
        <w:spacing w:after="0" w:line="203" w:lineRule="exact"/>
        <w:rPr>
          <w:sz w:val="20"/>
          <w:szCs w:val="20"/>
          <w:color w:val="auto"/>
        </w:rPr>
      </w:pPr>
    </w:p>
    <w:p>
      <w:pPr>
        <w:jc w:val="both"/>
        <w:ind w:right="20" w:firstLine="720"/>
        <w:spacing w:after="0" w:line="266" w:lineRule="auto"/>
        <w:rPr>
          <w:sz w:val="20"/>
          <w:szCs w:val="20"/>
          <w:color w:val="auto"/>
        </w:rPr>
      </w:pPr>
      <w:r>
        <w:rPr>
          <w:rFonts w:ascii="Times New Roman" w:cs="Times New Roman" w:eastAsia="Times New Roman" w:hAnsi="Times New Roman"/>
          <w:sz w:val="20"/>
          <w:szCs w:val="20"/>
          <w:color w:val="auto"/>
        </w:rPr>
        <w:t>The SEC maintains an Internet website that contains reports, proxy and information statements, and other information regarding us and other issuers that file electronically with the SEC. The SEC’s Internet website address is http://www.sec.gov.</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Competition</w:t>
      </w:r>
    </w:p>
    <w:p>
      <w:pPr>
        <w:spacing w:after="0" w:line="137"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The biotechnology and pharmaceutical industries are characterized by the rapid evolution of technologies and understanding of disease etiology, intense competition and a strong emphasis on intellectual property. We face, and will continue to face, competition from companies focused on the same or similar therapeutic areas. We are currently developing therapeutics that will compete, if approved, with other products and therapies that currently exist, are being developed or will in the future be developed, some of which we may not currently be aware. We expect substantial competition from multiple sources, including major pharmaceutical, specialty pharmaceutical, and existing or emerging biotechnology companies, academic research institutions, governmental agencies and public and private research institutions worldwide. For example, a number of multinational companies as well as biotechnology companies are developing programs for the indications that we are exploring for our orexin program, including, but not limited to, Takeda Pharmaceuticals Company Limited and Alkermes plc. Many of our competitors, either alone or through collaborations, have significantly greater financial resources and expertise in research and development, manufacturing, preclinical testing, conducting clinical trials, obtaining regulatory approvals and marketing approved products than we do. Smaller or early-stage companies may also prove to be significant competitors, particularly through collaborative arrangements with large and established companies. These companies also compete with us in recruiting and retaining qualified scientific and management personnel, establishing clinical trial sites and recruiting patients in clinical trials, as well as in acquiring technologies complementary to, or necessary for, our programs. As a result, our competitors may discover, develop, license or commercialize products before or more successfully than we do.</w:t>
      </w:r>
    </w:p>
    <w:p>
      <w:pPr>
        <w:spacing w:after="0" w:line="230"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We also face significant competition in seeking appropriate strategic partners and licensing and acquisition opportunities, and the negotiation process is time-consuming and complex. As a result, we may not be successful in our efforts in building a pipeline of product candidates through acquisitions, licensing or through internal development or in progressing these product candidates through clinical development. Although our research and development efforts to date have resulted in the identification, discovery and preclinical and clinical development of certain product candidates, these product candidates may not be safe or effective as therapies, and we have discontinued product candidates and may not be able to develop, in-license or otherwise acquire any other product candidates.</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Manufacturing</w:t>
      </w:r>
    </w:p>
    <w:p>
      <w:pPr>
        <w:spacing w:after="0" w:line="137"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We do not own or operate, and currently have no plans to establish, any manufacturing facilities. We currently depend on third-party contract development and manufacturing organizations (“CDMOs” or “CMOs”), for all of our requirements of raw materials, drug substance and drug product for our preclinical research and our ongoing clinical trials of our product candidates. Other than as discussed below, we have not entered into long-term agreements with our current CMOs. We generally intend to continue to rely on CMOs for later-stage development and commercialization of our</w:t>
      </w:r>
    </w:p>
    <w:p>
      <w:pPr>
        <w:sectPr>
          <w:pgSz w:w="12240" w:h="15840" w:orient="portrait"/>
          <w:cols w:equalWidth="0" w:num="1">
            <w:col w:w="9900"/>
          </w:cols>
          <w:pgMar w:left="1180" w:top="208" w:right="1160" w:bottom="0" w:gutter="0" w:footer="0" w:header="0"/>
        </w:sectPr>
      </w:pPr>
    </w:p>
    <w:p>
      <w:pPr>
        <w:spacing w:after="0" w:line="3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15</w:t>
      </w:r>
    </w:p>
    <w:p>
      <w:pPr>
        <w:sectPr>
          <w:pgSz w:w="12240" w:h="15840" w:orient="portrait"/>
          <w:cols w:equalWidth="0" w:num="1">
            <w:col w:w="9900"/>
          </w:cols>
          <w:pgMar w:left="1180" w:top="208" w:right="1160" w:bottom="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400"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9"/>
          <w:szCs w:val="19"/>
          <w:color w:val="auto"/>
        </w:rPr>
        <w:t>product candidates, including any additional product candidates that we may identify. Although we rely on CMOs, we have personnel and third-party consultants with extensive manufacturing experience to oversee the relationships with our CMOs. Our dependence on CMOs exposes us to many risks and exposures including those listed under the caption “Risk Factors -</w:t>
      </w:r>
    </w:p>
    <w:p>
      <w:pPr>
        <w:jc w:val="both"/>
        <w:ind w:right="20"/>
        <w:spacing w:after="0" w:line="261" w:lineRule="auto"/>
        <w:rPr>
          <w:sz w:val="20"/>
          <w:szCs w:val="20"/>
          <w:color w:val="auto"/>
        </w:rPr>
      </w:pPr>
      <w:r>
        <w:rPr>
          <w:rFonts w:ascii="Times New Roman" w:cs="Times New Roman" w:eastAsia="Times New Roman" w:hAnsi="Times New Roman"/>
          <w:sz w:val="20"/>
          <w:szCs w:val="20"/>
          <w:b w:val="1"/>
          <w:bCs w:val="1"/>
          <w:i w:val="1"/>
          <w:iCs w:val="1"/>
          <w:color w:val="auto"/>
        </w:rPr>
        <w:t>We could experience manufacturing problems that result in delays in our development or commercialization of our programs or otherwise harm our business</w:t>
      </w:r>
      <w:r>
        <w:rPr>
          <w:rFonts w:ascii="Times New Roman" w:cs="Times New Roman" w:eastAsia="Times New Roman" w:hAnsi="Times New Roman"/>
          <w:sz w:val="20"/>
          <w:szCs w:val="20"/>
          <w:color w:val="auto"/>
        </w:rPr>
        <w:t>.”</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Sales and Marketing</w:t>
      </w:r>
    </w:p>
    <w:p>
      <w:pPr>
        <w:spacing w:after="0" w:line="137" w:lineRule="exact"/>
        <w:rPr>
          <w:sz w:val="20"/>
          <w:szCs w:val="20"/>
          <w:color w:val="auto"/>
        </w:rPr>
      </w:pPr>
    </w:p>
    <w:p>
      <w:pPr>
        <w:jc w:val="both"/>
        <w:ind w:firstLine="720"/>
        <w:spacing w:after="0" w:line="280" w:lineRule="auto"/>
        <w:rPr>
          <w:sz w:val="20"/>
          <w:szCs w:val="20"/>
          <w:color w:val="auto"/>
        </w:rPr>
      </w:pPr>
      <w:r>
        <w:rPr>
          <w:rFonts w:ascii="Times New Roman" w:cs="Times New Roman" w:eastAsia="Times New Roman" w:hAnsi="Times New Roman"/>
          <w:sz w:val="20"/>
          <w:szCs w:val="20"/>
          <w:color w:val="auto"/>
        </w:rPr>
        <w:t>We intend to evaluate our commercialization strategy as we advance each product candidate through clinical development which may include building internal sales and marketing capabilities and / or, where appropriate, utilization of strategic partners, distributors or contract sales forces to expand the commercial availability of our product candidates.</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Intellectual Property and License Agreements</w:t>
      </w:r>
    </w:p>
    <w:p>
      <w:pPr>
        <w:spacing w:after="0" w:line="137" w:lineRule="exact"/>
        <w:rPr>
          <w:sz w:val="20"/>
          <w:szCs w:val="20"/>
          <w:color w:val="auto"/>
        </w:rPr>
      </w:pPr>
    </w:p>
    <w:p>
      <w:pPr>
        <w:jc w:val="both"/>
        <w:ind w:firstLine="720"/>
        <w:spacing w:after="0" w:line="256" w:lineRule="auto"/>
        <w:rPr>
          <w:sz w:val="20"/>
          <w:szCs w:val="20"/>
          <w:color w:val="auto"/>
        </w:rPr>
      </w:pPr>
      <w:r>
        <w:rPr>
          <w:rFonts w:ascii="Times New Roman" w:cs="Times New Roman" w:eastAsia="Times New Roman" w:hAnsi="Times New Roman"/>
          <w:sz w:val="20"/>
          <w:szCs w:val="20"/>
          <w:color w:val="auto"/>
        </w:rPr>
        <w:t>We strive to protect the proprietary technology that we believe is important to our business, including seeking and maintaining patents and patent applications intended to cover our product candidates and compositions, their methods of use and processes for their manufacture, and any other aspects of inventions that are commercially important to the development of our business. We have entered into various license agreements to obtain the rights to use certain patents for the development and commercialization of our product candidates. As described below, we also rely on trade secrets to protect aspects of our business that are not amenable to, or that we do not consider appropriate for, patent protection.</w:t>
      </w:r>
    </w:p>
    <w:p>
      <w:pPr>
        <w:spacing w:after="0" w:line="208" w:lineRule="exact"/>
        <w:rPr>
          <w:sz w:val="20"/>
          <w:szCs w:val="20"/>
          <w:color w:val="auto"/>
        </w:rPr>
      </w:pPr>
    </w:p>
    <w:p>
      <w:pPr>
        <w:jc w:val="both"/>
        <w:ind w:right="20" w:firstLine="720"/>
        <w:spacing w:after="0" w:line="255" w:lineRule="auto"/>
        <w:rPr>
          <w:sz w:val="20"/>
          <w:szCs w:val="20"/>
          <w:color w:val="auto"/>
        </w:rPr>
      </w:pPr>
      <w:r>
        <w:rPr>
          <w:rFonts w:ascii="Times New Roman" w:cs="Times New Roman" w:eastAsia="Times New Roman" w:hAnsi="Times New Roman"/>
          <w:sz w:val="20"/>
          <w:szCs w:val="20"/>
          <w:color w:val="auto"/>
        </w:rPr>
        <w:t>Our success will depend on our ability to obtain and maintain patent and other proprietary rights protecting our commercially important technology, inventions and know-how related to our business, defend and enforce our current and future issued patents, if any, preserve the confidentiality of our trade secrets and operate without infringing the valid and enforceable patents and proprietary rights of third parties. We also rely on know-how, continuing technological innovation and potential in-licensing opportunities to develop and maintain our intellectual property portfolio. We seek to obtain U.S. and non-U.S. patent protection, and endeavor to promptly file patent applications for new inventions with potential commercial value.</w:t>
      </w:r>
    </w:p>
    <w:p>
      <w:pPr>
        <w:spacing w:after="0" w:line="210" w:lineRule="exact"/>
        <w:rPr>
          <w:sz w:val="20"/>
          <w:szCs w:val="20"/>
          <w:color w:val="auto"/>
        </w:rPr>
      </w:pPr>
    </w:p>
    <w:p>
      <w:pPr>
        <w:jc w:val="both"/>
        <w:ind w:right="20" w:firstLine="720"/>
        <w:spacing w:after="0" w:line="255" w:lineRule="auto"/>
        <w:rPr>
          <w:sz w:val="20"/>
          <w:szCs w:val="20"/>
          <w:color w:val="auto"/>
        </w:rPr>
      </w:pPr>
      <w:r>
        <w:rPr>
          <w:rFonts w:ascii="Times New Roman" w:cs="Times New Roman" w:eastAsia="Times New Roman" w:hAnsi="Times New Roman"/>
          <w:sz w:val="20"/>
          <w:szCs w:val="20"/>
          <w:color w:val="auto"/>
        </w:rPr>
        <w:t>The patent positions of biopharmaceutical companies like us are generally uncertain and involve complex legal, scientific and factual questions. In addition, the coverage claimed in a patent application can be significantly reduced before the patent is issued, and patent scope can be reinterpreted by the courts after issuance. Moreover, many jurisdictions permit third parties to challenge issued patents in administrative proceedings, which may result in further narrowing or even cancellation of patent claims. We cannot predict whether the patent applications we are currently pursuing will issue as patents in any particular jurisdiction or whether the claims of any patents, if issued, will provide sufficient protection from competitors.</w:t>
      </w:r>
    </w:p>
    <w:p>
      <w:pPr>
        <w:spacing w:after="0" w:line="210" w:lineRule="exact"/>
        <w:rPr>
          <w:sz w:val="20"/>
          <w:szCs w:val="20"/>
          <w:color w:val="auto"/>
        </w:rPr>
      </w:pPr>
    </w:p>
    <w:p>
      <w:pPr>
        <w:jc w:val="both"/>
        <w:ind w:right="20" w:firstLine="720"/>
        <w:spacing w:after="0" w:line="258" w:lineRule="auto"/>
        <w:rPr>
          <w:sz w:val="20"/>
          <w:szCs w:val="20"/>
          <w:color w:val="auto"/>
        </w:rPr>
      </w:pPr>
      <w:r>
        <w:rPr>
          <w:rFonts w:ascii="Times New Roman" w:cs="Times New Roman" w:eastAsia="Times New Roman" w:hAnsi="Times New Roman"/>
          <w:sz w:val="20"/>
          <w:szCs w:val="20"/>
          <w:color w:val="auto"/>
        </w:rPr>
        <w:t>Because patent applications in the United States and certain other jurisdictions are maintained in secrecy for 18 months or potentially even longer, and because the publication of discoveries in scientific or patent literature often lags behind actual discoveries, we cannot be certain of the priority of inventions covered by pending patent applications. Moreover, we may have to participate in interference proceedings or derivation proceedings declared by the United States Patent and Trademark Office (“USPTO”) to determine priority of invention.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Centessa Pharmaceuticals (UK) Limited</w:t>
      </w:r>
    </w:p>
    <w:p>
      <w:pPr>
        <w:spacing w:after="0" w:line="13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As of December 31, 2025, our subsidiary, Centessa Pharmaceuticals (UK) Limited (“CPUK”):</w:t>
      </w:r>
    </w:p>
    <w:p>
      <w:pPr>
        <w:spacing w:after="0" w:line="30" w:lineRule="exact"/>
        <w:rPr>
          <w:sz w:val="20"/>
          <w:szCs w:val="20"/>
          <w:color w:val="auto"/>
        </w:rPr>
      </w:pPr>
    </w:p>
    <w:p>
      <w:pPr>
        <w:jc w:val="both"/>
        <w:ind w:left="1080" w:hanging="370"/>
        <w:spacing w:after="0" w:line="252" w:lineRule="auto"/>
        <w:tabs>
          <w:tab w:leader="none" w:pos="108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owned nine pending U.S. provisional patent applications, seven pending U.S. patent applications, one issued U.S. patent, and 40 pending non-U.S. patent applications in connection with its orexin program. The orexin-related patent portfolio includes claims directed to OX2R agonists and uses thereof. The issued patent, which includes composition of matter, pharmaceutical composition, and method of use claims with OX2R agonists, expires in 2042, and the pending patent applications, if issued, are expected to expire between 2041 and 2046, without considering any possible patent term adjustments or extensions and assuming payment of all appropriate maintenance, renewal, annuity, or other governmental fees;</w:t>
      </w:r>
    </w:p>
    <w:p>
      <w:pPr>
        <w:spacing w:after="0" w:line="89" w:lineRule="exact"/>
        <w:rPr>
          <w:rFonts w:ascii="Times New Roman" w:cs="Times New Roman" w:eastAsia="Times New Roman" w:hAnsi="Times New Roman"/>
          <w:sz w:val="20"/>
          <w:szCs w:val="20"/>
          <w:color w:val="auto"/>
        </w:rPr>
      </w:pPr>
    </w:p>
    <w:p>
      <w:pPr>
        <w:jc w:val="both"/>
        <w:ind w:left="1080" w:right="20" w:hanging="370"/>
        <w:spacing w:after="0" w:line="258" w:lineRule="auto"/>
        <w:tabs>
          <w:tab w:leader="none" w:pos="108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owned one pending U.S. provisional applications, five pending U.S. patent applications, 45 pending non-U.S. patent applications, and two issued non-U.S. patents in connection with its LockBody® technology platform. The LockBody® technology platform patent portfolio includes composition of matter and method of treatment claims directed to CD47 agents, CD3 agents, CD28 agents and CD89 agents. Also included, are three pending U.S. patent applications, six issued U.S. patents, one pending PCT international application, 20</w:t>
      </w:r>
    </w:p>
    <w:p>
      <w:pPr>
        <w:sectPr>
          <w:pgSz w:w="12240" w:h="15840" w:orient="portrait"/>
          <w:cols w:equalWidth="0" w:num="1">
            <w:col w:w="9900"/>
          </w:cols>
          <w:pgMar w:left="1180" w:top="208" w:right="1160" w:bottom="0" w:gutter="0" w:footer="0" w:header="0"/>
        </w:sectPr>
      </w:pPr>
    </w:p>
    <w:p>
      <w:pPr>
        <w:spacing w:after="0" w:line="200" w:lineRule="exact"/>
        <w:rPr>
          <w:sz w:val="20"/>
          <w:szCs w:val="20"/>
          <w:color w:val="auto"/>
        </w:rPr>
      </w:pPr>
    </w:p>
    <w:p>
      <w:pPr>
        <w:spacing w:after="0" w:line="28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16</w:t>
      </w:r>
    </w:p>
    <w:p>
      <w:pPr>
        <w:sectPr>
          <w:pgSz w:w="12240" w:h="15840" w:orient="portrait"/>
          <w:cols w:equalWidth="0" w:num="1">
            <w:col w:w="9900"/>
          </w:cols>
          <w:pgMar w:left="1180" w:top="208" w:right="1160" w:bottom="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400" w:lineRule="exact"/>
        <w:rPr>
          <w:sz w:val="20"/>
          <w:szCs w:val="20"/>
          <w:color w:val="auto"/>
        </w:rPr>
      </w:pPr>
    </w:p>
    <w:p>
      <w:pPr>
        <w:jc w:val="both"/>
        <w:ind w:left="1080" w:right="20"/>
        <w:spacing w:after="0" w:line="256" w:lineRule="auto"/>
        <w:rPr>
          <w:sz w:val="20"/>
          <w:szCs w:val="20"/>
          <w:color w:val="auto"/>
        </w:rPr>
      </w:pPr>
      <w:r>
        <w:rPr>
          <w:rFonts w:ascii="Times New Roman" w:cs="Times New Roman" w:eastAsia="Times New Roman" w:hAnsi="Times New Roman"/>
          <w:sz w:val="20"/>
          <w:szCs w:val="20"/>
          <w:color w:val="auto"/>
        </w:rPr>
        <w:t>pending non-U.S. patent applications, and 20 issued non-U.S. patents comprising composition of matter, pharmaceutical compositions, and/or method of treatment claims directed anti-CD47 antibodies, anti-C-MET antibodies, and anti-CD3 antibodies. The issued patents are expected to expire between 2038 and 2040, and the pending patent applications, once nationalized, where applicable, and if issued, are expected to expire between 2038 and 2046, without considering any possible patent term adjustments or extensions and assuming payment of all appropriate maintenance, renewal, annuity, or other governmental fees;</w:t>
      </w:r>
    </w:p>
    <w:p>
      <w:pPr>
        <w:spacing w:after="0" w:line="88" w:lineRule="exact"/>
        <w:rPr>
          <w:sz w:val="20"/>
          <w:szCs w:val="20"/>
          <w:color w:val="auto"/>
        </w:rPr>
      </w:pPr>
    </w:p>
    <w:p>
      <w:pPr>
        <w:jc w:val="both"/>
        <w:ind w:left="1080" w:hanging="370"/>
        <w:spacing w:after="0" w:line="255" w:lineRule="auto"/>
        <w:tabs>
          <w:tab w:leader="none" w:pos="108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owned, one pending U.S. patent application, one pending PCT international application, 14 pending non-U.S. patent applications, and two non-U.S. patents with claims directed to compositions and methods of use of the anti-BDCA2 antibodies, which it has licensed to AnaptysBio Inc. The issued patents, which include composition of matter claims, pharmaceutical composition claims, and method of use claims with the anti-BDCA2 antibody, expire in 2040, and the pending patent applications, if issued, are expected to expire between 2040 and 2044, without considering any possible patent term adjustments or extensions and assuming payment of all appropriate maintenance, renewal, annuity, or other governmental fees.</w:t>
      </w:r>
    </w:p>
    <w:p>
      <w:pPr>
        <w:spacing w:after="0" w:line="210" w:lineRule="exact"/>
        <w:rPr>
          <w:sz w:val="20"/>
          <w:szCs w:val="20"/>
          <w:color w:val="auto"/>
        </w:rPr>
      </w:pPr>
    </w:p>
    <w:p>
      <w:pPr>
        <w:jc w:val="both"/>
        <w:ind w:right="20" w:firstLine="720"/>
        <w:spacing w:after="0" w:line="277" w:lineRule="auto"/>
        <w:rPr>
          <w:sz w:val="20"/>
          <w:szCs w:val="20"/>
          <w:color w:val="auto"/>
        </w:rPr>
      </w:pPr>
      <w:r>
        <w:rPr>
          <w:rFonts w:ascii="Times New Roman" w:cs="Times New Roman" w:eastAsia="Times New Roman" w:hAnsi="Times New Roman"/>
          <w:sz w:val="20"/>
          <w:szCs w:val="20"/>
          <w:color w:val="auto"/>
        </w:rPr>
        <w:t>In addition, CPUK owns a number of patents and patent applications related to a number of discontinued programs which are not specified above including, patents and patent applications in connection with alpha-1-antitrypsin deficiency and patents and patent applications with claims directed to composition and / or method of use of anti-LIGHT antibodies and anti-PD-L1 antibodies.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Intellectual Property License Agreements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Genmab License Agreement</w:t>
      </w:r>
    </w:p>
    <w:p>
      <w:pPr>
        <w:spacing w:after="0" w:line="134" w:lineRule="exact"/>
        <w:rPr>
          <w:sz w:val="20"/>
          <w:szCs w:val="20"/>
          <w:color w:val="auto"/>
        </w:rPr>
      </w:pPr>
    </w:p>
    <w:p>
      <w:pPr>
        <w:jc w:val="both"/>
        <w:ind w:right="20" w:firstLine="720"/>
        <w:spacing w:after="0" w:line="254" w:lineRule="auto"/>
        <w:rPr>
          <w:sz w:val="20"/>
          <w:szCs w:val="20"/>
          <w:color w:val="auto"/>
        </w:rPr>
      </w:pPr>
      <w:r>
        <w:rPr>
          <w:rFonts w:ascii="Times New Roman" w:cs="Times New Roman" w:eastAsia="Times New Roman" w:hAnsi="Times New Roman"/>
          <w:sz w:val="20"/>
          <w:szCs w:val="20"/>
          <w:color w:val="auto"/>
        </w:rPr>
        <w:t>On February 14, 2025, Centessa Pharmaceuticals (UK) Limited (“CPUK”), a wholly-owned subsidiary of the Company, entered into a License Agreement (the “License Agreement”) with Genmab A/S (“Genmab”) pursuant to which Centessa granted to Genmab an exclusive worldwide license to leverage the Company’s proprietary LockBody platform to research products against up to three undisclosed targets during a multi-year research period, with an option to take up to three exclusive commercial licenses for worldwide development and commercialization of products against each selected target. Genmab will be conducting all research and development activities under the License Agreement and the products may combine Centessa’s LockBody technology with Genmab’s proprietary antibody technologies. The LockBody technology platform is designed to improve the therapeutic index of therapies by allowing targeted conditional activation of potent cell killing mechanisms in diseased tissue only.</w:t>
      </w:r>
    </w:p>
    <w:p>
      <w:pPr>
        <w:spacing w:after="0" w:line="209" w:lineRule="exact"/>
        <w:rPr>
          <w:sz w:val="20"/>
          <w:szCs w:val="20"/>
          <w:color w:val="auto"/>
        </w:rPr>
      </w:pPr>
    </w:p>
    <w:p>
      <w:pPr>
        <w:jc w:val="both"/>
        <w:ind w:firstLine="720"/>
        <w:spacing w:after="0" w:line="256" w:lineRule="auto"/>
        <w:rPr>
          <w:sz w:val="20"/>
          <w:szCs w:val="20"/>
          <w:color w:val="auto"/>
        </w:rPr>
      </w:pPr>
      <w:r>
        <w:rPr>
          <w:rFonts w:ascii="Times New Roman" w:cs="Times New Roman" w:eastAsia="Times New Roman" w:hAnsi="Times New Roman"/>
          <w:sz w:val="20"/>
          <w:szCs w:val="20"/>
          <w:color w:val="auto"/>
        </w:rPr>
        <w:t>Under the terms of the License Agreement, Centessa received an upfront payment of $15 million, may receive option exercise fees potentially totaling up to an additional $15 million and is eligible to receive potential payouts of approximately $230 million in development, regulatory and sales milestones per product, as well as tiered royalties ranging in the mid-single digits on annual global net licensed product (“Licensed Product”) sales. Royalties are to be paid on a Licensed Product-by-Licensed Product and country-by-country basis until the latest of (a) the expiration of the last-to-expire valid claim included in the licensed patents in such country that covers the Licensed Product; or (b) the tenth (10th) anniversary of the first commercial sale of such Licensed Product in such country; or (c) the expiration of the regulatory exclusivity periods in such country with respect to such Licensed Product, provided that such period of regulatory exclusivity would, with respect to the U.S., not exceed twelve (12) years after the first commercial sale in the U.S. and with respect to any country other than the U.S., not exceed ten (10) years after the first commercial sale in that country.</w:t>
      </w:r>
    </w:p>
    <w:p>
      <w:pPr>
        <w:spacing w:after="0" w:line="211"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The License Agreement includes various representations, warranties, covenants, indemnities, and other customary provisions. Unless earlier terminated in accordance with its terms, the License Agreement will expire upon expiration of the last royalty term for the last licensed product. Genmab may terminate the License Agreement or on a target-by-target basis for convenience upon specified time periods. On a target-by-target basis, if Genmab elects not to exercise its option for an exclusive commercial license for worldwide development and commercialization of products against the applicable target (a “Reserved Target”), then the License Agreement will automatically terminate with respect to such Reserved Target. Subject to the terms and specified exceptions set forth in the License Agreement, either party may terminate the License Agreement for the other party’s uncured material breach or insolvency upon a specified notice period.</w:t>
      </w:r>
    </w:p>
    <w:p>
      <w:pPr>
        <w:spacing w:after="0" w:line="32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20"/>
          <w:szCs w:val="20"/>
          <w:b w:val="1"/>
          <w:bCs w:val="1"/>
          <w:i w:val="1"/>
          <w:iCs w:val="1"/>
          <w:color w:val="auto"/>
        </w:rPr>
        <w:t>CPUK License Agreement with Nxera Pharma UK Limited (formerly Heptares Therapeutics Limited) in connection with the Nxera STAR Technology for Orexin Agonism</w:t>
      </w:r>
    </w:p>
    <w:p>
      <w:pPr>
        <w:spacing w:after="0" w:line="56" w:lineRule="exact"/>
        <w:rPr>
          <w:sz w:val="20"/>
          <w:szCs w:val="20"/>
          <w:color w:val="auto"/>
        </w:rPr>
      </w:pPr>
    </w:p>
    <w:p>
      <w:pPr>
        <w:jc w:val="both"/>
        <w:ind w:right="20" w:firstLine="720"/>
        <w:spacing w:after="0" w:line="281" w:lineRule="auto"/>
        <w:rPr>
          <w:sz w:val="20"/>
          <w:szCs w:val="20"/>
          <w:color w:val="auto"/>
        </w:rPr>
      </w:pPr>
      <w:r>
        <w:rPr>
          <w:rFonts w:ascii="Times New Roman" w:cs="Times New Roman" w:eastAsia="Times New Roman" w:hAnsi="Times New Roman"/>
          <w:sz w:val="20"/>
          <w:szCs w:val="20"/>
          <w:color w:val="auto"/>
        </w:rPr>
        <w:t>In January 2019, Nxera Pharma UK Limited (“Nxera”) entered into a license, assignment, and research services agreement with Centessa Pharmaceuticals (Orexia) Limited (“Orexia”), which was amended and restated in 2020 (together</w:t>
      </w:r>
    </w:p>
    <w:p>
      <w:pPr>
        <w:sectPr>
          <w:pgSz w:w="12240" w:h="15840" w:orient="portrait"/>
          <w:cols w:equalWidth="0" w:num="1">
            <w:col w:w="9900"/>
          </w:cols>
          <w:pgMar w:left="1180" w:top="208" w:right="1160" w:bottom="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17</w:t>
      </w:r>
    </w:p>
    <w:p>
      <w:pPr>
        <w:sectPr>
          <w:pgSz w:w="12240" w:h="15840" w:orient="portrait"/>
          <w:cols w:equalWidth="0" w:num="1">
            <w:col w:w="9900"/>
          </w:cols>
          <w:pgMar w:left="1180" w:top="208" w:right="1160" w:bottom="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40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“Agreement”), relating to certain specific molecules and future molecules generated by using the Nxera STAR technology, with, among other criteria, the primary mode of action of an orexin agonist or orexin positive modulator (“Molecules”). Under the agreement, Nxera assigned to Orexia all of Nxera’s right, title, and interest in and to intellectual property that was already in existence and that is developed as a result of the agreement that relates solely to Molecules or products that contain Molecules (“Products”), including all rights to obtain patent or similar protection throughout the world for such intellectual property and to take any and all actions regarding past infringements of existing intellectual property. Additionally, Nxera granted to Orexia an exclusive, sublicensable (subject to certain terms) license to make, import, export, use, sell, or offer for sale, including to development, commercialization, registration, modification, enhancement, improvement, manufacturing, holding, keeping or disposing of Molecules and Products. Nxera must not by itself or through a third party (other than a single company) exploit, use or dispose of (</w:t>
      </w:r>
      <w:r>
        <w:rPr>
          <w:rFonts w:ascii="Times New Roman" w:cs="Times New Roman" w:eastAsia="Times New Roman" w:hAnsi="Times New Roman"/>
          <w:sz w:val="20"/>
          <w:szCs w:val="20"/>
          <w:b w:val="1"/>
          <w:bCs w:val="1"/>
          <w:i w:val="1"/>
          <w:iCs w:val="1"/>
          <w:color w:val="auto"/>
        </w:rPr>
        <w:t>inter alia</w:t>
      </w:r>
      <w:r>
        <w:rPr>
          <w:rFonts w:ascii="Times New Roman" w:cs="Times New Roman" w:eastAsia="Times New Roman" w:hAnsi="Times New Roman"/>
          <w:sz w:val="20"/>
          <w:szCs w:val="20"/>
          <w:color w:val="auto"/>
        </w:rPr>
        <w:t>) any product in the field of orexin agonism and orexin positive modulation for the duration of the agreement and for three years thereafter.</w:t>
      </w:r>
    </w:p>
    <w:p>
      <w:pPr>
        <w:spacing w:after="0" w:line="213"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In consideration for the assignment and license, Orexia is to pay Nxera a royalty in the low single-digits on net sales of Products (subject to limitations in certain scenarios). Royalties are on a Product-by-Product and country-by-country basis. Payments shall commence with the first commercial sale of such product in a country and shall continue until the later of: (a) the duration of regulatory exclusivity in the country; or (b) ten years after the first commercial sale. Further, Orexia is responsible for all development costs incurred by itself or Nxera in the performance of the research program (within the confines of the research budget). Additionally, Orexia must pay Nxera, on a Molecule-by-Molecule basis, development milestone payments in the aggregate of a low double-digit number in the millions of pounds sterling. Milestone payments are payable once per Molecule.</w:t>
      </w:r>
    </w:p>
    <w:p>
      <w:pPr>
        <w:spacing w:after="0" w:line="213"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Orexia may terminate the agreement at any time following the expiration or termination of the research program. In addition, customary termination rights exist for both parties for breach and insolvency. In the event of termination, all licenses automatically terminate. The term of the agreement is until the later of: (i) the expiration of the last to expire patent within the licensed intellectual property; (ii) the expiration of the royalty term; and (iii) the fifteenth anniversary of the effective date. Upon expiration, with respect to any given Molecule, the license granted to Orexia shall become perpetual, irrevocable, and fully-paid up. In 2023, in connection with an internal reorganization, Orexia assigned the Agreement to Centessa Pharmaceuticals (UK) Limited.</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Government Regulation</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United States Food and Drug Administration Regulation</w:t>
      </w:r>
    </w:p>
    <w:p>
      <w:pPr>
        <w:spacing w:after="0" w:line="137" w:lineRule="exact"/>
        <w:rPr>
          <w:sz w:val="20"/>
          <w:szCs w:val="20"/>
          <w:color w:val="auto"/>
        </w:rPr>
      </w:pPr>
    </w:p>
    <w:p>
      <w:pPr>
        <w:jc w:val="both"/>
        <w:ind w:right="20" w:firstLine="720"/>
        <w:spacing w:after="0" w:line="253" w:lineRule="auto"/>
        <w:rPr>
          <w:sz w:val="20"/>
          <w:szCs w:val="20"/>
          <w:color w:val="auto"/>
        </w:rPr>
      </w:pPr>
      <w:r>
        <w:rPr>
          <w:rFonts w:ascii="Times New Roman" w:cs="Times New Roman" w:eastAsia="Times New Roman" w:hAnsi="Times New Roman"/>
          <w:sz w:val="20"/>
          <w:szCs w:val="20"/>
          <w:color w:val="auto"/>
        </w:rPr>
        <w:t>The FDA, and other regulatory authorities at federal, state and local levels, as well as in foreign countries, extensively regulate, among other things, the research, development, testing, manufacture, quality control, import, export, safety, effectiveness, labeling, packaging, storage, distribution, record keeping, approval, advertising, promotion, marketing, post-approval monitoring and post-approval reporting of drugs and biologics such as those we are developing. We, along with our vendors, collaboration partners, clinical research organizations (“CROs”), and CMOs, will be required to navigate the various preclinical, clinical, manufacturing and commercial approval requirements of the governing regulatory agencies of the countries in which we wish to conduct studies or seek approval of our product candidates. The process of obtaining regulatory approvals of drugs and ensuring subsequent compliance with appropriate United States federal, state, local and foreign statutes and regulations requires the expenditure of substantial time and financial resources. Failure to comply with the applicable regulatory requirements at any time during the product development process or post-approval may subject an applicant to delays in development or approval, as well as administrative and judicial sanctions.</w:t>
      </w:r>
    </w:p>
    <w:p>
      <w:pPr>
        <w:spacing w:after="0" w:line="213" w:lineRule="exact"/>
        <w:rPr>
          <w:sz w:val="20"/>
          <w:szCs w:val="20"/>
          <w:color w:val="auto"/>
        </w:rPr>
      </w:pPr>
    </w:p>
    <w:p>
      <w:pPr>
        <w:jc w:val="both"/>
        <w:ind w:right="20" w:firstLine="720"/>
        <w:spacing w:after="0" w:line="260" w:lineRule="auto"/>
        <w:rPr>
          <w:sz w:val="20"/>
          <w:szCs w:val="20"/>
          <w:color w:val="auto"/>
        </w:rPr>
      </w:pPr>
      <w:r>
        <w:rPr>
          <w:rFonts w:ascii="Times New Roman" w:cs="Times New Roman" w:eastAsia="Times New Roman" w:hAnsi="Times New Roman"/>
          <w:sz w:val="20"/>
          <w:szCs w:val="20"/>
          <w:color w:val="auto"/>
        </w:rPr>
        <w:t>In the United States, the FDA regulates drugs under the Federal Food, Drug, and Cosmetic Act (“FDCA”), and biologics under the FDCA and the Public Health Service Act (“PHSA”), and their implementing regulations. Both drugs and biologics are also subject to other federal, state and local statutes and regulations. Our product candidates are early-stage and have not been approved by the FDA for marketing in the United States.</w:t>
      </w:r>
    </w:p>
    <w:p>
      <w:pPr>
        <w:spacing w:after="0" w:line="203" w:lineRule="exact"/>
        <w:rPr>
          <w:sz w:val="20"/>
          <w:szCs w:val="20"/>
          <w:color w:val="auto"/>
        </w:rPr>
      </w:pPr>
    </w:p>
    <w:p>
      <w:pPr>
        <w:jc w:val="both"/>
        <w:ind w:right="20" w:firstLine="720"/>
        <w:spacing w:after="0" w:line="260" w:lineRule="auto"/>
        <w:rPr>
          <w:sz w:val="20"/>
          <w:szCs w:val="20"/>
          <w:color w:val="auto"/>
        </w:rPr>
      </w:pPr>
      <w:r>
        <w:rPr>
          <w:rFonts w:ascii="Times New Roman" w:cs="Times New Roman" w:eastAsia="Times New Roman" w:hAnsi="Times New Roman"/>
          <w:sz w:val="20"/>
          <w:szCs w:val="20"/>
          <w:color w:val="auto"/>
        </w:rPr>
        <w:t>Our product candidates must be approved for therapeutic indications by the FDA before they may be marketed in the United States. For our drug product candidates regulated under the FDCA, FDA must approve a New Drug Application (“NDA”). For our biologic product candidates regulated under the FDCA and PHSA, FDA must approve a BLA. The process is similar and generally involves the following:</w:t>
      </w:r>
    </w:p>
    <w:p>
      <w:pPr>
        <w:spacing w:after="0" w:line="83" w:lineRule="exact"/>
        <w:rPr>
          <w:sz w:val="20"/>
          <w:szCs w:val="20"/>
          <w:color w:val="auto"/>
        </w:rPr>
      </w:pPr>
    </w:p>
    <w:p>
      <w:pPr>
        <w:ind w:left="1080" w:right="20" w:hanging="370"/>
        <w:spacing w:after="0" w:line="281" w:lineRule="auto"/>
        <w:tabs>
          <w:tab w:leader="none" w:pos="108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completion of extensive preclinical studies in accordance with applicable regulations, including studies conducted in accordance with GLP requirements;</w:t>
      </w:r>
    </w:p>
    <w:p>
      <w:pPr>
        <w:spacing w:after="0" w:line="61" w:lineRule="exact"/>
        <w:rPr>
          <w:rFonts w:ascii="Times New Roman" w:cs="Times New Roman" w:eastAsia="Times New Roman" w:hAnsi="Times New Roman"/>
          <w:sz w:val="20"/>
          <w:szCs w:val="20"/>
          <w:color w:val="auto"/>
        </w:rPr>
      </w:pPr>
    </w:p>
    <w:p>
      <w:pPr>
        <w:ind w:left="1080" w:right="20" w:hanging="370"/>
        <w:spacing w:after="0" w:line="281" w:lineRule="auto"/>
        <w:tabs>
          <w:tab w:leader="none" w:pos="108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submission to the FDA of an IND, which must become effective before clinical trials may begin and must be updated annually and when certain changes are made;</w:t>
      </w:r>
    </w:p>
    <w:p>
      <w:pPr>
        <w:sectPr>
          <w:pgSz w:w="12240" w:h="15840" w:orient="portrait"/>
          <w:cols w:equalWidth="0" w:num="1">
            <w:col w:w="9900"/>
          </w:cols>
          <w:pgMar w:left="1180" w:top="208" w:right="1160" w:bottom="0" w:gutter="0" w:footer="0" w:header="0"/>
        </w:sectPr>
      </w:pPr>
    </w:p>
    <w:p>
      <w:pPr>
        <w:spacing w:after="0" w:line="3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18</w:t>
      </w:r>
    </w:p>
    <w:p>
      <w:pPr>
        <w:sectPr>
          <w:pgSz w:w="12240" w:h="15840" w:orient="portrait"/>
          <w:cols w:equalWidth="0" w:num="1">
            <w:col w:w="9900"/>
          </w:cols>
          <w:pgMar w:left="1180" w:top="208" w:right="1160" w:bottom="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400" w:lineRule="exact"/>
        <w:rPr>
          <w:sz w:val="20"/>
          <w:szCs w:val="20"/>
          <w:color w:val="auto"/>
        </w:rPr>
      </w:pPr>
    </w:p>
    <w:p>
      <w:pPr>
        <w:ind w:left="1080" w:right="20" w:hanging="370"/>
        <w:spacing w:after="0" w:line="281" w:lineRule="auto"/>
        <w:tabs>
          <w:tab w:leader="none" w:pos="108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approval of the protocol and related documentation by an Institutional Review Board (“IRB”), or an independent ethics committee at each clinical trial site before each trial may be initiated;</w:t>
      </w:r>
    </w:p>
    <w:p>
      <w:pPr>
        <w:spacing w:after="0" w:line="61" w:lineRule="exact"/>
        <w:rPr>
          <w:rFonts w:ascii="Times New Roman" w:cs="Times New Roman" w:eastAsia="Times New Roman" w:hAnsi="Times New Roman"/>
          <w:sz w:val="20"/>
          <w:szCs w:val="20"/>
          <w:color w:val="auto"/>
        </w:rPr>
      </w:pPr>
    </w:p>
    <w:p>
      <w:pPr>
        <w:jc w:val="both"/>
        <w:ind w:left="1080" w:hanging="370"/>
        <w:spacing w:after="0" w:line="260" w:lineRule="auto"/>
        <w:tabs>
          <w:tab w:leader="none" w:pos="108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performance of adequate and well-controlled clinical trials in accordance with the FDA’s Good Clinical Practice (“GCP”) requirements and any additional requirements for the protection of human research subjects and their health information, to establish the safety and efficacy of the investigational product for each proposed indication;</w:t>
      </w:r>
    </w:p>
    <w:p>
      <w:pPr>
        <w:spacing w:after="0" w:line="83" w:lineRule="exact"/>
        <w:rPr>
          <w:rFonts w:ascii="Times New Roman" w:cs="Times New Roman" w:eastAsia="Times New Roman" w:hAnsi="Times New Roman"/>
          <w:sz w:val="20"/>
          <w:szCs w:val="20"/>
          <w:color w:val="auto"/>
        </w:rPr>
      </w:pPr>
    </w:p>
    <w:p>
      <w:pPr>
        <w:ind w:left="1080" w:hanging="370"/>
        <w:spacing w:after="0"/>
        <w:tabs>
          <w:tab w:leader="none" w:pos="108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preparation and submission to the FDA of an NDA or BLA after completion of all pivotal trials;</w:t>
      </w:r>
    </w:p>
    <w:p>
      <w:pPr>
        <w:spacing w:after="0" w:line="130" w:lineRule="exact"/>
        <w:rPr>
          <w:rFonts w:ascii="Times New Roman" w:cs="Times New Roman" w:eastAsia="Times New Roman" w:hAnsi="Times New Roman"/>
          <w:sz w:val="20"/>
          <w:szCs w:val="20"/>
          <w:color w:val="auto"/>
        </w:rPr>
      </w:pPr>
    </w:p>
    <w:p>
      <w:pPr>
        <w:ind w:left="1080" w:hanging="370"/>
        <w:spacing w:after="0"/>
        <w:tabs>
          <w:tab w:leader="none" w:pos="108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payment of user fees for FDA review of the NDA or BLA (unless a fee waiver applies);</w:t>
      </w:r>
    </w:p>
    <w:p>
      <w:pPr>
        <w:spacing w:after="0" w:line="130" w:lineRule="exact"/>
        <w:rPr>
          <w:rFonts w:ascii="Times New Roman" w:cs="Times New Roman" w:eastAsia="Times New Roman" w:hAnsi="Times New Roman"/>
          <w:sz w:val="20"/>
          <w:szCs w:val="20"/>
          <w:color w:val="auto"/>
        </w:rPr>
      </w:pPr>
    </w:p>
    <w:p>
      <w:pPr>
        <w:ind w:left="1080" w:hanging="370"/>
        <w:spacing w:after="0"/>
        <w:tabs>
          <w:tab w:leader="none" w:pos="108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determination by the FDA within 60 days of its receipt of an NDA or BLA to file the application for review;</w:t>
      </w:r>
    </w:p>
    <w:p>
      <w:pPr>
        <w:spacing w:after="0" w:line="130" w:lineRule="exact"/>
        <w:rPr>
          <w:rFonts w:ascii="Times New Roman" w:cs="Times New Roman" w:eastAsia="Times New Roman" w:hAnsi="Times New Roman"/>
          <w:sz w:val="20"/>
          <w:szCs w:val="20"/>
          <w:color w:val="auto"/>
        </w:rPr>
      </w:pPr>
    </w:p>
    <w:p>
      <w:pPr>
        <w:jc w:val="both"/>
        <w:ind w:left="1080" w:right="20" w:hanging="370"/>
        <w:spacing w:after="0" w:line="260" w:lineRule="auto"/>
        <w:tabs>
          <w:tab w:leader="none" w:pos="108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satisfactory completion of one or more FDA pre-approval inspections of the manufacturing facility or facilities where the product will be produced to assess compliance with current Good Manufacturing Practice (“cGMP”) requirements to assure that the facilities, methods and controls are adequate to ensure and preserve the drug or biological product’s identity, strength, quality and purity;</w:t>
      </w:r>
    </w:p>
    <w:p>
      <w:pPr>
        <w:spacing w:after="0" w:line="83" w:lineRule="exact"/>
        <w:rPr>
          <w:rFonts w:ascii="Times New Roman" w:cs="Times New Roman" w:eastAsia="Times New Roman" w:hAnsi="Times New Roman"/>
          <w:sz w:val="20"/>
          <w:szCs w:val="20"/>
          <w:color w:val="auto"/>
        </w:rPr>
      </w:pPr>
    </w:p>
    <w:p>
      <w:pPr>
        <w:ind w:left="1080" w:right="20" w:hanging="370"/>
        <w:spacing w:after="0" w:line="281" w:lineRule="auto"/>
        <w:tabs>
          <w:tab w:leader="none" w:pos="108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satisfactory completion of any FDA audits of the clinical trial sites that generated the data in support of the NDA or BLA; and</w:t>
      </w:r>
    </w:p>
    <w:p>
      <w:pPr>
        <w:spacing w:after="0" w:line="61" w:lineRule="exact"/>
        <w:rPr>
          <w:rFonts w:ascii="Times New Roman" w:cs="Times New Roman" w:eastAsia="Times New Roman" w:hAnsi="Times New Roman"/>
          <w:sz w:val="20"/>
          <w:szCs w:val="20"/>
          <w:color w:val="auto"/>
        </w:rPr>
      </w:pPr>
    </w:p>
    <w:p>
      <w:pPr>
        <w:jc w:val="both"/>
        <w:ind w:left="1080" w:right="20" w:hanging="370"/>
        <w:spacing w:after="0" w:line="266" w:lineRule="auto"/>
        <w:tabs>
          <w:tab w:leader="none" w:pos="108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FDA review and approval of the NDA or BLA, including, where applicable, consideration of the views of any FDA advisory committee, prior to any commercial marketing or sale of the drug or biologic in the United States.</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Preclinical Studies and Clinical Trials</w:t>
      </w:r>
    </w:p>
    <w:p>
      <w:pPr>
        <w:spacing w:after="0" w:line="139" w:lineRule="exact"/>
        <w:rPr>
          <w:sz w:val="20"/>
          <w:szCs w:val="20"/>
          <w:color w:val="auto"/>
        </w:rPr>
      </w:pPr>
    </w:p>
    <w:p>
      <w:pPr>
        <w:jc w:val="both"/>
        <w:ind w:right="20" w:firstLine="720"/>
        <w:spacing w:after="0" w:line="256" w:lineRule="auto"/>
        <w:rPr>
          <w:sz w:val="20"/>
          <w:szCs w:val="20"/>
          <w:color w:val="auto"/>
        </w:rPr>
      </w:pPr>
      <w:r>
        <w:rPr>
          <w:rFonts w:ascii="Times New Roman" w:cs="Times New Roman" w:eastAsia="Times New Roman" w:hAnsi="Times New Roman"/>
          <w:sz w:val="20"/>
          <w:szCs w:val="20"/>
          <w:color w:val="auto"/>
        </w:rPr>
        <w:t xml:space="preserve">Before testing any drug or biologic in humans, the product candidate must undergo rigorous preclinical testing. Preclinical studies include laboratory evaluations of chemistry, formulation and stability, as well as </w:t>
      </w:r>
      <w:r>
        <w:rPr>
          <w:rFonts w:ascii="Times New Roman" w:cs="Times New Roman" w:eastAsia="Times New Roman" w:hAnsi="Times New Roman"/>
          <w:sz w:val="20"/>
          <w:szCs w:val="20"/>
          <w:b w:val="1"/>
          <w:bCs w:val="1"/>
          <w:i w:val="1"/>
          <w:iCs w:val="1"/>
          <w:color w:val="auto"/>
        </w:rPr>
        <w:t>in vitro</w:t>
      </w:r>
      <w:r>
        <w:rPr>
          <w:rFonts w:ascii="Times New Roman" w:cs="Times New Roman" w:eastAsia="Times New Roman" w:hAnsi="Times New Roman"/>
          <w:sz w:val="20"/>
          <w:szCs w:val="20"/>
          <w:color w:val="auto"/>
        </w:rPr>
        <w:t xml:space="preserve"> and animal studies to assess safety and in some cases to establish the rationale for therapeutic use. The conduct of preclinical studies is subject to federal and state regulations and requirements, including GLP requirements for safety and toxicology studies. In the United States, the results of the preclinical studies, together with manufacturing information and analytical data must be submitted to the FDA as part of an IND.</w:t>
      </w:r>
    </w:p>
    <w:p>
      <w:pPr>
        <w:spacing w:after="0" w:line="208" w:lineRule="exact"/>
        <w:rPr>
          <w:sz w:val="20"/>
          <w:szCs w:val="20"/>
          <w:color w:val="auto"/>
        </w:rPr>
      </w:pPr>
    </w:p>
    <w:p>
      <w:pPr>
        <w:jc w:val="both"/>
        <w:ind w:firstLine="720"/>
        <w:spacing w:after="0" w:line="253" w:lineRule="auto"/>
        <w:rPr>
          <w:sz w:val="20"/>
          <w:szCs w:val="20"/>
          <w:color w:val="auto"/>
        </w:rPr>
      </w:pPr>
      <w:r>
        <w:rPr>
          <w:rFonts w:ascii="Times New Roman" w:cs="Times New Roman" w:eastAsia="Times New Roman" w:hAnsi="Times New Roman"/>
          <w:sz w:val="20"/>
          <w:szCs w:val="20"/>
          <w:color w:val="auto"/>
        </w:rPr>
        <w:t xml:space="preserve">An IND is a request for authorization from the FDA to administer an investigational product to humans and must become effective before clinical trials may begin. The central focus of an IND submission is on the general investigational plan and the protocol(s) for clinical studies. The IND also includes results of animal and </w:t>
      </w:r>
      <w:r>
        <w:rPr>
          <w:rFonts w:ascii="Times New Roman" w:cs="Times New Roman" w:eastAsia="Times New Roman" w:hAnsi="Times New Roman"/>
          <w:sz w:val="20"/>
          <w:szCs w:val="20"/>
          <w:b w:val="1"/>
          <w:bCs w:val="1"/>
          <w:i w:val="1"/>
          <w:iCs w:val="1"/>
          <w:color w:val="auto"/>
        </w:rPr>
        <w:t>in vitro</w:t>
      </w:r>
      <w:r>
        <w:rPr>
          <w:rFonts w:ascii="Times New Roman" w:cs="Times New Roman" w:eastAsia="Times New Roman" w:hAnsi="Times New Roman"/>
          <w:sz w:val="20"/>
          <w:szCs w:val="20"/>
          <w:color w:val="auto"/>
        </w:rPr>
        <w:t xml:space="preserve"> studies assessing the toxicology, pharmacokinetics, pharmacology, and pharmacodynamic characteristics of the product; chemistry, manufacturing, and controls information; and any available human data or literature to support the use of the investigational product. In the United States, the IND automatically becomes effective 30 days after receipt by the FDA, unless the FDA, within the 30-day time period, raises concerns or questions about the conduct of the clinical trial, including concerns that human research subjects will be exposed to unreasonable health risks, and imposes a clinical hold. In such a case, the IND sponsor and the FDA must resolve any outstanding concerns before the clinical trial can begin. Some long-term preclinical testing may continue after the IND is submitted. Accordingly, submission of an IND may or may not result in FDA authorization to begin a trial.</w:t>
      </w:r>
    </w:p>
    <w:p>
      <w:pPr>
        <w:spacing w:after="0" w:line="213" w:lineRule="exact"/>
        <w:rPr>
          <w:sz w:val="20"/>
          <w:szCs w:val="20"/>
          <w:color w:val="auto"/>
        </w:rPr>
      </w:pPr>
    </w:p>
    <w:p>
      <w:pPr>
        <w:jc w:val="both"/>
        <w:ind w:firstLine="720"/>
        <w:spacing w:after="0" w:line="253" w:lineRule="auto"/>
        <w:rPr>
          <w:sz w:val="20"/>
          <w:szCs w:val="20"/>
          <w:color w:val="auto"/>
        </w:rPr>
      </w:pPr>
      <w:r>
        <w:rPr>
          <w:rFonts w:ascii="Times New Roman" w:cs="Times New Roman" w:eastAsia="Times New Roman" w:hAnsi="Times New Roman"/>
          <w:sz w:val="20"/>
          <w:szCs w:val="20"/>
          <w:color w:val="auto"/>
        </w:rPr>
        <w:t>The clinical stage of development involves the administration of the product candidate to healthy volunteers or patients under the supervision of qualified investigators, generally physicians not employed by or under the trial sponsor’s control, in accordance with GCP requirements, which include the requirements that all research subjects provide their informed consent for their participation in any clinical trial. Clinical trials are conducted under protocols detailing, among other things, the objectives of the clinical trial, dosing procedures, subject selection and exclusion criteria and the parameters and criteria to be used in monitoring safety and evaluating effectiveness. Each protocol, and any subsequent amendments to the protocol, must be submitted to the FDA as part of the IND. Furthermore, each clinical trial must be reviewed and approved by an IRB for each institution at which the clinical trial will be conducted to ensure that the risks to individuals participating in the clinical trials are minimized and are reasonable in relation to the anticipated benefits. The IRB also approves the informed consent form that must be provided to each clinical trial subject or his or her legal representative and must monitor the clinical trial until completed.</w:t>
      </w:r>
    </w:p>
    <w:p>
      <w:pPr>
        <w:spacing w:after="0" w:line="213" w:lineRule="exact"/>
        <w:rPr>
          <w:sz w:val="20"/>
          <w:szCs w:val="20"/>
          <w:color w:val="auto"/>
        </w:rPr>
      </w:pPr>
    </w:p>
    <w:p>
      <w:pPr>
        <w:jc w:val="both"/>
        <w:ind w:right="20" w:firstLine="720"/>
        <w:spacing w:after="0" w:line="266" w:lineRule="auto"/>
        <w:rPr>
          <w:sz w:val="20"/>
          <w:szCs w:val="20"/>
          <w:color w:val="auto"/>
        </w:rPr>
      </w:pPr>
      <w:r>
        <w:rPr>
          <w:rFonts w:ascii="Times New Roman" w:cs="Times New Roman" w:eastAsia="Times New Roman" w:hAnsi="Times New Roman"/>
          <w:sz w:val="20"/>
          <w:szCs w:val="20"/>
          <w:color w:val="auto"/>
        </w:rPr>
        <w:t>The FDA may, at any time during the initial 30-day IND review period or while clinical trials are ongoing under the IND, impose a partial or complete clinical hold based on concerns for patient safety and/or noncompliance with regulatory requirements. This order issued by the FDA would delay a proposed clinical study or cause suspension of an</w:t>
      </w:r>
    </w:p>
    <w:p>
      <w:pPr>
        <w:sectPr>
          <w:pgSz w:w="12240" w:h="15840" w:orient="portrait"/>
          <w:cols w:equalWidth="0" w:num="1">
            <w:col w:w="9900"/>
          </w:cols>
          <w:pgMar w:left="1180" w:top="208" w:right="1160" w:bottom="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19</w:t>
      </w:r>
    </w:p>
    <w:p>
      <w:pPr>
        <w:sectPr>
          <w:pgSz w:w="12240" w:h="15840" w:orient="portrait"/>
          <w:cols w:equalWidth="0" w:num="1">
            <w:col w:w="9900"/>
          </w:cols>
          <w:pgMar w:left="1180" w:top="208" w:right="1160" w:bottom="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400"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20"/>
          <w:szCs w:val="20"/>
          <w:color w:val="auto"/>
        </w:rPr>
        <w:t>ongoing study until all outstanding concerns have been adequately addressed, and the FDA has notified the company that investigations may proceed. Imposition of a clinical hold could cause significant delays or difficulties in completing planned clinical studies in a timely manner. In addition, the IRB, or the sponsor may suspend or discontinue a clinical trial at any time on various grounds, including a finding that the subjects are being exposed to an unacceptable health risk. Some studies also include oversight by an independent group of qualified experts organized by the clinical study sponsor, known as a data safety monitoring board, which provides authorization for whether or not a study may move forward at designated check points based on access to certain data from the study and may recommend that the clinical trial be stopped if it determines that there is an unacceptable safety risk for subjects or other grounds, such as no demonstration of efficacy. There also are requirements governing the reporting of ongoing clinical trials and completed clinical trials to public registries. In the United States, information about applicable clinical trials, including clinical trial results, must be submitted within specific timeframes for publication on the www.clinicaltrials.gov website.</w:t>
      </w:r>
    </w:p>
    <w:p>
      <w:pPr>
        <w:spacing w:after="0" w:line="213" w:lineRule="exact"/>
        <w:rPr>
          <w:sz w:val="20"/>
          <w:szCs w:val="20"/>
          <w:color w:val="auto"/>
        </w:rPr>
      </w:pPr>
    </w:p>
    <w:p>
      <w:pPr>
        <w:jc w:val="both"/>
        <w:ind w:firstLine="720"/>
        <w:spacing w:after="0" w:line="256" w:lineRule="auto"/>
        <w:rPr>
          <w:sz w:val="20"/>
          <w:szCs w:val="20"/>
          <w:color w:val="auto"/>
        </w:rPr>
      </w:pPr>
      <w:r>
        <w:rPr>
          <w:rFonts w:ascii="Times New Roman" w:cs="Times New Roman" w:eastAsia="Times New Roman" w:hAnsi="Times New Roman"/>
          <w:sz w:val="20"/>
          <w:szCs w:val="20"/>
          <w:color w:val="auto"/>
        </w:rPr>
        <w:t>A sponsor who wishes to conduct a clinical trial outside of the United States may, but need not, obtain FDA authorization to conduct the clinical trial under an IND. The FDA will accept a well-designed and well-conducted foreign clinical study not conducted under an IND if the study was conducted in accordance with GCP requirements, and the FDA is able to validate the data through an onsite inspection if deemed necessary. Clinical trials to evaluate therapeutic indications to support NDAs and BLAs for marketing approval are typically conducted in three sequential phases, which may overlap.</w:t>
      </w:r>
    </w:p>
    <w:p>
      <w:pPr>
        <w:spacing w:after="0" w:line="88" w:lineRule="exact"/>
        <w:rPr>
          <w:sz w:val="20"/>
          <w:szCs w:val="20"/>
          <w:color w:val="auto"/>
        </w:rPr>
      </w:pPr>
    </w:p>
    <w:p>
      <w:pPr>
        <w:jc w:val="both"/>
        <w:ind w:left="1080" w:right="20" w:hanging="370"/>
        <w:spacing w:after="0" w:line="258" w:lineRule="auto"/>
        <w:tabs>
          <w:tab w:leader="none" w:pos="108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Phase 1—Phase 1 clinical trials involve initial introduction of the investigational product in a limited population of healthy human volunteers or patients with the target disease or condition. These studies are typically designed to test the safety, dosage tolerance, absorption, metabolism and distribution of the investigational product in humans, evaluate the side effects associated with increasing doses, and, if possible, to gain early evidence of effectiveness.</w:t>
      </w:r>
    </w:p>
    <w:p>
      <w:pPr>
        <w:spacing w:after="0" w:line="83" w:lineRule="exact"/>
        <w:rPr>
          <w:rFonts w:ascii="Times New Roman" w:cs="Times New Roman" w:eastAsia="Times New Roman" w:hAnsi="Times New Roman"/>
          <w:sz w:val="20"/>
          <w:szCs w:val="20"/>
          <w:color w:val="auto"/>
        </w:rPr>
      </w:pPr>
    </w:p>
    <w:p>
      <w:pPr>
        <w:jc w:val="both"/>
        <w:ind w:left="1080" w:right="20" w:hanging="370"/>
        <w:spacing w:after="0" w:line="258" w:lineRule="auto"/>
        <w:tabs>
          <w:tab w:leader="none" w:pos="108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Phase 2—Phase 2 clinical trials typically involve administration of the investigational product to a limited patient population with a specified disease or condition to evaluate the preliminary efficacy, optimal dosages and dosing schedule and to identify possible adverse side effects and safety risks. Multiple Phase 2 clinical trials may be conducted to obtain information prior to beginning larger and more expensive Phase 3 clinical trials.</w:t>
      </w:r>
    </w:p>
    <w:p>
      <w:pPr>
        <w:spacing w:after="0" w:line="83" w:lineRule="exact"/>
        <w:rPr>
          <w:rFonts w:ascii="Times New Roman" w:cs="Times New Roman" w:eastAsia="Times New Roman" w:hAnsi="Times New Roman"/>
          <w:sz w:val="20"/>
          <w:szCs w:val="20"/>
          <w:color w:val="auto"/>
        </w:rPr>
      </w:pPr>
    </w:p>
    <w:p>
      <w:pPr>
        <w:jc w:val="both"/>
        <w:ind w:left="1080" w:right="20" w:hanging="370"/>
        <w:spacing w:after="0" w:line="256" w:lineRule="auto"/>
        <w:tabs>
          <w:tab w:leader="none" w:pos="108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Phase 3—Phase 3 clinical trials typically involve administration of the investigational product to an expanded patient population to further evaluate dosage, to provide substantial evidence of clinical efficacy and to further test for safety, generally at multiple geographically dispersed clinical trial sites. These clinical trials are intended to establish the overall risk/benefit ratio of the investigational product and to provide an adequate basis for physician labeling. Generally, two adequate and well-controlled Phase 3 clinical trials are required by the FDA for approval of an NDA or BLA.</w:t>
      </w:r>
    </w:p>
    <w:p>
      <w:pPr>
        <w:spacing w:after="0" w:line="208" w:lineRule="exact"/>
        <w:rPr>
          <w:sz w:val="20"/>
          <w:szCs w:val="20"/>
          <w:color w:val="auto"/>
        </w:rPr>
      </w:pPr>
    </w:p>
    <w:p>
      <w:pPr>
        <w:jc w:val="both"/>
        <w:ind w:right="20" w:firstLine="720"/>
        <w:spacing w:after="0" w:line="256" w:lineRule="auto"/>
        <w:rPr>
          <w:sz w:val="20"/>
          <w:szCs w:val="20"/>
          <w:color w:val="auto"/>
        </w:rPr>
      </w:pPr>
      <w:r>
        <w:rPr>
          <w:rFonts w:ascii="Times New Roman" w:cs="Times New Roman" w:eastAsia="Times New Roman" w:hAnsi="Times New Roman"/>
          <w:sz w:val="20"/>
          <w:szCs w:val="20"/>
          <w:color w:val="auto"/>
        </w:rPr>
        <w:t>Post-approval trials, sometimes referred to as Phase 4 clinical trials, may be conducted after initial marketing approval. These trials are used to gain additional experience from the treatment of patients in the intended therapeutic indication and are commonly intended to generate additional safety data regarding use of the product in a clinical setting. In certain instances, the FDA may mandate the performance of Phase 4 clinical trials as a condition of approval of an NDA or BLA. Failure to exhibit due diligence with regard to conducting required Phase 4 clinical trials could result in withdrawal of approval for products.</w:t>
      </w:r>
    </w:p>
    <w:p>
      <w:pPr>
        <w:spacing w:after="0" w:line="208" w:lineRule="exact"/>
        <w:rPr>
          <w:sz w:val="20"/>
          <w:szCs w:val="20"/>
          <w:color w:val="auto"/>
        </w:rPr>
      </w:pPr>
    </w:p>
    <w:p>
      <w:pPr>
        <w:jc w:val="both"/>
        <w:ind w:right="20" w:firstLine="720"/>
        <w:spacing w:after="0" w:line="254" w:lineRule="auto"/>
        <w:rPr>
          <w:sz w:val="20"/>
          <w:szCs w:val="20"/>
          <w:color w:val="auto"/>
        </w:rPr>
      </w:pPr>
      <w:r>
        <w:rPr>
          <w:rFonts w:ascii="Times New Roman" w:cs="Times New Roman" w:eastAsia="Times New Roman" w:hAnsi="Times New Roman"/>
          <w:sz w:val="20"/>
          <w:szCs w:val="20"/>
          <w:color w:val="auto"/>
        </w:rPr>
        <w:t xml:space="preserve">Progress reports detailing the results of the clinical trials, among other information, must be submitted at least annually to the FDA and written IND safety reports must be submitted to the FDA and the investigators fifteen days after the trial sponsor determines the information qualifies for reporting for serious and unexpected suspected adverse events, findings from other studies or animal or </w:t>
      </w:r>
      <w:r>
        <w:rPr>
          <w:rFonts w:ascii="Times New Roman" w:cs="Times New Roman" w:eastAsia="Times New Roman" w:hAnsi="Times New Roman"/>
          <w:sz w:val="20"/>
          <w:szCs w:val="20"/>
          <w:b w:val="1"/>
          <w:bCs w:val="1"/>
          <w:i w:val="1"/>
          <w:iCs w:val="1"/>
          <w:color w:val="auto"/>
        </w:rPr>
        <w:t>in vitro</w:t>
      </w:r>
      <w:r>
        <w:rPr>
          <w:rFonts w:ascii="Times New Roman" w:cs="Times New Roman" w:eastAsia="Times New Roman" w:hAnsi="Times New Roman"/>
          <w:sz w:val="20"/>
          <w:szCs w:val="20"/>
          <w:color w:val="auto"/>
        </w:rPr>
        <w:t xml:space="preserve"> testing that suggest a significant risk for human participants exposed to the drug or biologic and any clinically important increase in the rate of a serious suspected adverse reaction over that listed in the protocol or investigator brochure. The sponsor must also notify the FDA of any unexpected fatal or life-threatening suspected adverse reaction as soon as possible but in no case later than seven calendar days after the sponsor’s initial receipt of the information.</w:t>
      </w:r>
    </w:p>
    <w:p>
      <w:pPr>
        <w:spacing w:after="0" w:line="213" w:lineRule="exact"/>
        <w:rPr>
          <w:sz w:val="20"/>
          <w:szCs w:val="20"/>
          <w:color w:val="auto"/>
        </w:rPr>
      </w:pPr>
    </w:p>
    <w:p>
      <w:pPr>
        <w:jc w:val="both"/>
        <w:ind w:right="20" w:firstLine="720"/>
        <w:spacing w:after="0" w:line="256" w:lineRule="auto"/>
        <w:rPr>
          <w:sz w:val="20"/>
          <w:szCs w:val="20"/>
          <w:color w:val="auto"/>
        </w:rPr>
      </w:pPr>
      <w:r>
        <w:rPr>
          <w:rFonts w:ascii="Times New Roman" w:cs="Times New Roman" w:eastAsia="Times New Roman" w:hAnsi="Times New Roman"/>
          <w:sz w:val="20"/>
          <w:szCs w:val="20"/>
          <w:color w:val="auto"/>
        </w:rPr>
        <w:t>Concurrent with clinical trials, companies usually complete additional animal studies and must also develop additional information about the drug or biological characteristics of the product candidate and finalize a process for manufacturing the drug product in commercial quantities in accordance with cGMP requirements. The manufacturing process must be capable of consistently producing quality batches of the product candidate and manufacturers must develop, among other things, methods for testing the identity, strength, quality and purity of the final drug product. Additionally, appropriate packaging must be selected and tested, and stability studies must be conducted to demonstrate</w:t>
      </w:r>
    </w:p>
    <w:p>
      <w:pPr>
        <w:sectPr>
          <w:pgSz w:w="12240" w:h="15840" w:orient="portrait"/>
          <w:cols w:equalWidth="0" w:num="1">
            <w:col w:w="9900"/>
          </w:cols>
          <w:pgMar w:left="1180" w:top="208" w:right="1160" w:bottom="0" w:gutter="0" w:footer="0" w:header="0"/>
        </w:sectPr>
      </w:pPr>
    </w:p>
    <w:p>
      <w:pPr>
        <w:spacing w:after="0" w:line="200" w:lineRule="exact"/>
        <w:rPr>
          <w:sz w:val="20"/>
          <w:szCs w:val="20"/>
          <w:color w:val="auto"/>
        </w:rPr>
      </w:pPr>
    </w:p>
    <w:p>
      <w:pPr>
        <w:spacing w:after="0" w:line="2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20</w:t>
      </w:r>
    </w:p>
    <w:p>
      <w:pPr>
        <w:sectPr>
          <w:pgSz w:w="12240" w:h="15840" w:orient="portrait"/>
          <w:cols w:equalWidth="0" w:num="1">
            <w:col w:w="9900"/>
          </w:cols>
          <w:pgMar w:left="1180" w:top="208" w:right="1160" w:bottom="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400"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that the product candidate does not undergo unacceptable deterioration over its shelf life and to identify appropriate storage conditions for the product candidate.</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FDA Marketing Application Review Process</w:t>
      </w:r>
    </w:p>
    <w:p>
      <w:pPr>
        <w:spacing w:after="0" w:line="139" w:lineRule="exact"/>
        <w:rPr>
          <w:sz w:val="20"/>
          <w:szCs w:val="20"/>
          <w:color w:val="auto"/>
        </w:rPr>
      </w:pPr>
    </w:p>
    <w:p>
      <w:pPr>
        <w:jc w:val="both"/>
        <w:ind w:right="20" w:firstLine="720"/>
        <w:spacing w:after="0" w:line="253" w:lineRule="auto"/>
        <w:rPr>
          <w:sz w:val="20"/>
          <w:szCs w:val="20"/>
          <w:color w:val="auto"/>
        </w:rPr>
      </w:pPr>
      <w:r>
        <w:rPr>
          <w:rFonts w:ascii="Times New Roman" w:cs="Times New Roman" w:eastAsia="Times New Roman" w:hAnsi="Times New Roman"/>
          <w:sz w:val="20"/>
          <w:szCs w:val="20"/>
          <w:color w:val="auto"/>
        </w:rPr>
        <w:t>Assuming successful completion of the required clinical testing, the results of the preclinical studies and clinical trials, together with detailed information relating to the product’s chemistry, manufacture, controls and proposed labeling, among other things, are submitted to the FDA as part of an NDA or BLA requesting approval to market the product for one or more indications. The NDA or BLA must include all relevant data available from pertinent preclinical studies and clinical trials, including negative or ambiguous results as well as positive findings. Data may come from company-sponsored clinical trials intended to test the safety and efficacy of a product’s use or from a number of alternative sources, including studies initiated by investigators. To support marketing approval, the data submitted must be sufficient in quality and quantity to establish the safety and efficacy of the investigational drug, or the safety, purity and potency of the investigational biologic, to the satisfaction of the FDA. FDA approval of an NDA or BLA must be obtained before a drug or biologic may be marketed in the United States.</w:t>
      </w:r>
    </w:p>
    <w:p>
      <w:pPr>
        <w:spacing w:after="0" w:line="216"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In addition, under the Pediatric Research Equity Act (“PREA”), certain NDAs and BLAs and certain supplements to an NDA or BLA must contain data to assess the safety and effectiveness of the drug or biological product candidate for the claimed indications in all relevant pediatric subpopulations and to support dosing and administration for each pediatric subpopulation for which the product is safe and effective. The FDCA requires that a sponsor who is planning to submit a marketing application for a drug or biological product that includes a new active ingredient or clinically active component, new indication, new dosage form, new dosing regimen or new route of administration submit an initial Pediatric Study Plan within 60 days after an End-of-Phase 2 meeting or as may be agreed between the sponsor and FDA. Unless otherwise required by regulation, PREA generally does not apply to a drug or biological product for an indication for which ODD has been granted.</w:t>
      </w:r>
    </w:p>
    <w:p>
      <w:pPr>
        <w:spacing w:after="0" w:line="209" w:lineRule="exact"/>
        <w:rPr>
          <w:sz w:val="20"/>
          <w:szCs w:val="20"/>
          <w:color w:val="auto"/>
        </w:rPr>
      </w:pPr>
    </w:p>
    <w:p>
      <w:pPr>
        <w:jc w:val="both"/>
        <w:ind w:firstLine="720"/>
        <w:spacing w:after="0" w:line="253" w:lineRule="auto"/>
        <w:rPr>
          <w:sz w:val="20"/>
          <w:szCs w:val="20"/>
          <w:color w:val="auto"/>
        </w:rPr>
      </w:pPr>
      <w:r>
        <w:rPr>
          <w:rFonts w:ascii="Times New Roman" w:cs="Times New Roman" w:eastAsia="Times New Roman" w:hAnsi="Times New Roman"/>
          <w:sz w:val="20"/>
          <w:szCs w:val="20"/>
          <w:color w:val="auto"/>
        </w:rPr>
        <w:t>In the United States, the FDA reviews all submitted NDAs and BLAs to ensure they are sufficiently complete to permit substantive review before it accepts them for filing and may request additional information rather than accepting the NDA or BLA for filing. The FDA makes a decision on accepting an NDA or BLA for filing within 60 days of receipt, and such decision could include a refusal to file by the FDA. Once the submission is accepted for filing, the FDA begins an in-depth substantive review of the application. The FDA reviews an NDA or BLA to determine, among other things, whether the product is safe and effective and whether the facility in which it is manufactured, processed, packaged or held meets standards, including cGMP requirements, designed to assure and preserve the product’s identity, strength, quality and purity. Under the goals and policies agreed to by the FDA under the Prescription Drug User Fee Act (“PDUFA”), the FDA targets ten months, from the filing date, in which to complete its initial review of an original NDA for a new molecular entity or BLA and respond to the applicant, and six months from the filing date of an original NDA for a new molecular entity or BLA that has been granted priority review. The FDA does not always meet its PDUFA goal dates for standard or priority NDAs or BLAs, and the review process is often extended by FDA requests for additional information or clarification.</w:t>
      </w:r>
    </w:p>
    <w:p>
      <w:pPr>
        <w:spacing w:after="0" w:line="208"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Further, under PDUFA, as amended, each NDA or BLA must be accompanied by an application fee, and the sponsor of an approved NDA or BLA is also subject to an annual program fee. FDA adjusts these PDUFA fees on an annual basis. Fee waivers or reductions may be available in certain circumstances, including a waiver of the application fee for the first application filed by a small business. Additionally, no user fees are assessed on NDAs or BLAs for products designated as orphan drugs, unless the product also includes a non-orphan indication.</w:t>
      </w:r>
    </w:p>
    <w:p>
      <w:pPr>
        <w:spacing w:after="0" w:line="204" w:lineRule="exact"/>
        <w:rPr>
          <w:sz w:val="20"/>
          <w:szCs w:val="20"/>
          <w:color w:val="auto"/>
        </w:rPr>
      </w:pPr>
    </w:p>
    <w:p>
      <w:pPr>
        <w:jc w:val="both"/>
        <w:ind w:right="20" w:firstLine="720"/>
        <w:spacing w:after="0" w:line="260" w:lineRule="auto"/>
        <w:rPr>
          <w:sz w:val="20"/>
          <w:szCs w:val="20"/>
          <w:color w:val="auto"/>
        </w:rPr>
      </w:pPr>
      <w:r>
        <w:rPr>
          <w:rFonts w:ascii="Times New Roman" w:cs="Times New Roman" w:eastAsia="Times New Roman" w:hAnsi="Times New Roman"/>
          <w:sz w:val="20"/>
          <w:szCs w:val="20"/>
          <w:color w:val="auto"/>
        </w:rPr>
        <w:t>The FDA may refer an application for a drug or biologic to an advisory committee. An advisory committee is a panel of independent experts, including clinicians and other scientific experts, which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203" w:lineRule="exact"/>
        <w:rPr>
          <w:sz w:val="20"/>
          <w:szCs w:val="20"/>
          <w:color w:val="auto"/>
        </w:rPr>
      </w:pPr>
    </w:p>
    <w:p>
      <w:pPr>
        <w:jc w:val="both"/>
        <w:ind w:right="20" w:firstLine="720"/>
        <w:spacing w:after="0" w:line="258" w:lineRule="auto"/>
        <w:rPr>
          <w:sz w:val="20"/>
          <w:szCs w:val="20"/>
          <w:color w:val="auto"/>
        </w:rPr>
      </w:pPr>
      <w:r>
        <w:rPr>
          <w:rFonts w:ascii="Times New Roman" w:cs="Times New Roman" w:eastAsia="Times New Roman" w:hAnsi="Times New Roman"/>
          <w:sz w:val="20"/>
          <w:szCs w:val="20"/>
          <w:color w:val="auto"/>
        </w:rPr>
        <w:t>Before approving an NDA or BLA, the FDA typically will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Additionally, before approving an NDA or BLA, the FDA may inspect one or more clinical trial sites to assure compliance with GCP and other requirements and the integrity of the clinical data submitted to the FDA.</w:t>
      </w:r>
    </w:p>
    <w:p>
      <w:pPr>
        <w:sectPr>
          <w:pgSz w:w="12240" w:h="15840" w:orient="portrait"/>
          <w:cols w:equalWidth="0" w:num="1">
            <w:col w:w="9900"/>
          </w:cols>
          <w:pgMar w:left="1180" w:top="20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21</w:t>
      </w:r>
    </w:p>
    <w:p>
      <w:pPr>
        <w:sectPr>
          <w:pgSz w:w="12240" w:h="15840" w:orient="portrait"/>
          <w:cols w:equalWidth="0" w:num="1">
            <w:col w:w="9900"/>
          </w:cols>
          <w:pgMar w:left="1180" w:top="208" w:right="1160" w:bottom="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400" w:lineRule="exact"/>
        <w:rPr>
          <w:sz w:val="20"/>
          <w:szCs w:val="20"/>
          <w:color w:val="auto"/>
        </w:rPr>
      </w:pPr>
    </w:p>
    <w:p>
      <w:pPr>
        <w:jc w:val="both"/>
        <w:ind w:right="20" w:firstLine="720"/>
        <w:spacing w:after="0" w:line="253" w:lineRule="auto"/>
        <w:rPr>
          <w:sz w:val="20"/>
          <w:szCs w:val="20"/>
          <w:color w:val="auto"/>
        </w:rPr>
      </w:pPr>
      <w:r>
        <w:rPr>
          <w:rFonts w:ascii="Times New Roman" w:cs="Times New Roman" w:eastAsia="Times New Roman" w:hAnsi="Times New Roman"/>
          <w:sz w:val="20"/>
          <w:szCs w:val="20"/>
          <w:color w:val="auto"/>
        </w:rPr>
        <w:t>After evaluating the application and all related information, including the advisory committee recommendation, if any, and inspection reports regarding the manufacturing facilities and clinical trial sites, the FDA may issue an approval letter, or, in some cases, a Complete Response Letter. A Complete Response Letter indicates that the review cycle of the application is complete and the application is not ready for approval. A Complete Response Letter will usually describe all of the deficiencies that the FDA has identified in the NDA or BLA, except that where the FDA determines that the data supporting the application are inadequate to support approval, the FDA may issue the Complete Response Letter without first conducting required inspections, testing submitted product lots, and/or reviewing proposed labeling. In issuing the Complete Response Letter, the FDA may recommend actions that the applicant might take to place the NDA or BLA in condition for approval, including requests for additional information or clarification. Even with submission of this additional information, the FDA ultimately may decide that the application does not satisfy the regulatory criteria for approval. If and when those conditions have been met to the FDA’s satisfaction, the FDA will typically issue an approval letter. An approval letter authorizes commercial marketing of the product with specific prescribing information for specific indications.</w:t>
      </w:r>
    </w:p>
    <w:p>
      <w:pPr>
        <w:spacing w:after="0" w:line="208"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Even if the FDA approves a product, depending on the specific risk(s) to be addressed, the FDA may limit the approved indications for use of the product, require that contraindications, warnings or precautions be included in the product labeling, require that post-approval studies, including Phase 4 clinical trials, be conducted to further assess a product’s safety or efficacy after approval, require testing and surveillance programs to monitor the product after commercialization, or impose other conditions, including distribution and use restrictions or other risk management mechanisms under a REMS, which can materially affect the potential market and profitability of the product. A REMS can include medication guides, communication plans for healthcare professionals, and elements to assure safe use (“ETASU”). ETASU can include, but are not limited to, special training or certification for prescribing or dispensing, dispensing only under certain circumstances, special monitoring, and the use of patient registries. If the FDA concludes a REMS is needed, the sponsor of the NDA or BLA must submit a proposed REMS; the FDA will not approve the NDA or BLA without a REMS, if required. The FDA may prevent or limit further marketing of a product based on the results of post-marketing studies or surveillance programs. After approval, some types of changes to the approved product, such as adding new indications, manufacturing changes, and additional labeling claims, are subject to further testing requirements and FDA review and approval.</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Orphan Drug Designation and Exclusivity</w:t>
      </w:r>
    </w:p>
    <w:p>
      <w:pPr>
        <w:spacing w:after="0" w:line="139" w:lineRule="exact"/>
        <w:rPr>
          <w:sz w:val="20"/>
          <w:szCs w:val="20"/>
          <w:color w:val="auto"/>
        </w:rPr>
      </w:pPr>
    </w:p>
    <w:p>
      <w:pPr>
        <w:jc w:val="both"/>
        <w:ind w:right="20" w:firstLine="720"/>
        <w:spacing w:after="0" w:line="255" w:lineRule="auto"/>
        <w:rPr>
          <w:sz w:val="20"/>
          <w:szCs w:val="20"/>
          <w:color w:val="auto"/>
        </w:rPr>
      </w:pPr>
      <w:r>
        <w:rPr>
          <w:rFonts w:ascii="Times New Roman" w:cs="Times New Roman" w:eastAsia="Times New Roman" w:hAnsi="Times New Roman"/>
          <w:sz w:val="20"/>
          <w:szCs w:val="20"/>
          <w:color w:val="auto"/>
        </w:rPr>
        <w:t>Under the Orphan Drug Act, the FDA may grant orphan drug designation (“ODD”) to a drug or biologic intended to treat a rare disease or condition, defined as a disease or condition with either a patient population of fewer than 200,000 individuals in the United States, or a patient population greater than 200,000 individuals in the United States when there is no reasonable expectation that the cost of developing and making available the drug or biologic in the United States will be recovered from sales in the United States of that drug or biologic. ODD must be requested before submitting an NDA or BLA. After the FDA grants ODD, the generic identity of the therapeutic agent and its potential orphan use are disclosed publicly by the FDA.</w:t>
      </w:r>
    </w:p>
    <w:p>
      <w:pPr>
        <w:spacing w:after="0" w:line="210" w:lineRule="exact"/>
        <w:rPr>
          <w:sz w:val="20"/>
          <w:szCs w:val="20"/>
          <w:color w:val="auto"/>
        </w:rPr>
      </w:pPr>
    </w:p>
    <w:p>
      <w:pPr>
        <w:jc w:val="both"/>
        <w:ind w:right="20" w:firstLine="720"/>
        <w:spacing w:after="0" w:line="253" w:lineRule="auto"/>
        <w:rPr>
          <w:sz w:val="20"/>
          <w:szCs w:val="20"/>
          <w:color w:val="auto"/>
        </w:rPr>
      </w:pPr>
      <w:r>
        <w:rPr>
          <w:rFonts w:ascii="Times New Roman" w:cs="Times New Roman" w:eastAsia="Times New Roman" w:hAnsi="Times New Roman"/>
          <w:sz w:val="20"/>
          <w:szCs w:val="20"/>
          <w:color w:val="auto"/>
        </w:rPr>
        <w:t>If a product that has received ODD and subsequently receives the first FDA approval for that drug or biologic for the disease for which it has such designation, the product is entitled to orphan product exclusivity, which means that the FDA may not approve any other applications, including a full NDA or BLA, to market the same drug or biologic for the same indication for seven years from the approval of the NDA or BLA, except in limited circumstances, such as a showing of clinical superiority to the product with orphan drug exclusivity or if the FDA finds that the holder of the orphan drug exclusivity has not shown that it can assure the availability of sufficient quantities of the orphan drug to meet the needs of patients with the disease or condition for which the drug was designated. Orphan drug exclusivity does not prevent the FDA from approving a different drug or biologic for the same disease or condition, or the same drug or biologic for a different disease or condition. Among the other benefits of ODD are tax credits for certain research and development expenses and a waiver of the NDA or BLA application fee.</w:t>
      </w:r>
    </w:p>
    <w:p>
      <w:pPr>
        <w:spacing w:after="0" w:line="216" w:lineRule="exact"/>
        <w:rPr>
          <w:sz w:val="20"/>
          <w:szCs w:val="20"/>
          <w:color w:val="auto"/>
        </w:rPr>
      </w:pPr>
    </w:p>
    <w:p>
      <w:pPr>
        <w:jc w:val="both"/>
        <w:ind w:right="20" w:firstLine="720"/>
        <w:spacing w:after="0" w:line="260" w:lineRule="auto"/>
        <w:rPr>
          <w:sz w:val="20"/>
          <w:szCs w:val="20"/>
          <w:color w:val="auto"/>
        </w:rPr>
      </w:pPr>
      <w:r>
        <w:rPr>
          <w:rFonts w:ascii="Times New Roman" w:cs="Times New Roman" w:eastAsia="Times New Roman" w:hAnsi="Times New Roman"/>
          <w:sz w:val="20"/>
          <w:szCs w:val="20"/>
          <w:color w:val="auto"/>
        </w:rPr>
        <w:t>A designated orphan drug may not receive orphan drug exclusivity if it is approved for a use that is broader than the indication for which it received ODD. In addition, orphan drug exclusive marketing rights in the United States may be lost if the FDA later determines that the request for designation was materially defective or if the manufacturer is unable to assure sufficient quantities of the product to meet the needs of patients with the rare disease or condition.</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Expedited Development and Review Programs</w:t>
      </w:r>
    </w:p>
    <w:p>
      <w:pPr>
        <w:sectPr>
          <w:pgSz w:w="12240" w:h="15840" w:orient="portrait"/>
          <w:cols w:equalWidth="0" w:num="1">
            <w:col w:w="9900"/>
          </w:cols>
          <w:pgMar w:left="1180" w:top="20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22</w:t>
      </w:r>
    </w:p>
    <w:p>
      <w:pPr>
        <w:sectPr>
          <w:pgSz w:w="12240" w:h="15840" w:orient="portrait"/>
          <w:cols w:equalWidth="0" w:num="1">
            <w:col w:w="9900"/>
          </w:cols>
          <w:pgMar w:left="1180" w:top="208" w:right="1160" w:bottom="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400" w:lineRule="exact"/>
        <w:rPr>
          <w:sz w:val="20"/>
          <w:szCs w:val="20"/>
          <w:color w:val="auto"/>
        </w:rPr>
      </w:pPr>
    </w:p>
    <w:p>
      <w:pPr>
        <w:jc w:val="both"/>
        <w:ind w:right="20" w:firstLine="720"/>
        <w:spacing w:after="0" w:line="256" w:lineRule="auto"/>
        <w:rPr>
          <w:sz w:val="20"/>
          <w:szCs w:val="20"/>
          <w:color w:val="auto"/>
        </w:rPr>
      </w:pPr>
      <w:r>
        <w:rPr>
          <w:rFonts w:ascii="Times New Roman" w:cs="Times New Roman" w:eastAsia="Times New Roman" w:hAnsi="Times New Roman"/>
          <w:sz w:val="20"/>
          <w:szCs w:val="20"/>
          <w:color w:val="auto"/>
        </w:rPr>
        <w:t>The FDA maintains several programs intended to facilitate and expedite development and review of new drugs and biologics to address unmet medical needs in the treatment of serious or life-threatening diseases or conditions. These programs include Fast Track designation, Breakthrough Therapy designation, priority review and accelerated approval. Additionally, under the Food and Drug Omnibus Reform Act of 2022 (“FDORA”), sponsors of designated platform technologies may receive expedited development and review of any subsequent application for a drug or biologic that uses or incorporates the platform technology.</w:t>
      </w:r>
    </w:p>
    <w:p>
      <w:pPr>
        <w:spacing w:after="0" w:line="208"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A new drug or biologic is eligible for Fast Track designation if it is intended to treat a serious or life-threatening disease or condition and demonstrates the potential to address unmet medical needs for such disease or condition. Fast Track designation applies to the combination of the product and the specific indication for which it is being studied. Fast Track designation provides increased opportunities for sponsor interactions with the FDA during preclinical and clinical development, in addition to the potential for a rolling review once a marketing application is filed, meaning that the FDA may initiate review of sections of a Fast Track product’s application before the application is complete upon satisfaction of certain conditions.</w:t>
      </w:r>
    </w:p>
    <w:p>
      <w:pPr>
        <w:spacing w:after="0" w:line="210"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In addition, a new drug or biological product may be eligible for Breakthrough Therapy designation if it is intended to treat a serious or life-threatening disease or condition and preliminary clinical evidence indicates that the drug or biologic, alone or in combination with one or more other drugs or biologics, may demonstrate substantial improvement over existing therapies on one or more clinically significant endpoints, such as substantial treatment effects observed early in clinical development. Breakthrough Therapy designation provides all the features of Fast Track designation in addition to intensive guidance on an efficient development program beginning as early as Phase 1, and the FDA’s organizational commitment to expedited development, including involvement of senior managers and experienced review staff in a cross-disciplinary review, where appropriate.</w:t>
      </w:r>
    </w:p>
    <w:p>
      <w:pPr>
        <w:spacing w:after="0" w:line="213" w:lineRule="exact"/>
        <w:rPr>
          <w:sz w:val="20"/>
          <w:szCs w:val="20"/>
          <w:color w:val="auto"/>
        </w:rPr>
      </w:pPr>
    </w:p>
    <w:p>
      <w:pPr>
        <w:jc w:val="both"/>
        <w:ind w:firstLine="720"/>
        <w:spacing w:after="0" w:line="256" w:lineRule="auto"/>
        <w:rPr>
          <w:sz w:val="20"/>
          <w:szCs w:val="20"/>
          <w:color w:val="auto"/>
        </w:rPr>
      </w:pPr>
      <w:r>
        <w:rPr>
          <w:rFonts w:ascii="Times New Roman" w:cs="Times New Roman" w:eastAsia="Times New Roman" w:hAnsi="Times New Roman"/>
          <w:sz w:val="20"/>
          <w:szCs w:val="20"/>
          <w:color w:val="auto"/>
        </w:rPr>
        <w:t>Any product submitted to the FDA for approval, including a product with Fast Track, or Breakthrough Therapy designation, may also be eligible for priority review. A product is eligible for priority review if it is intended to treat a serious or life-threatening disease or condition, and if approved, would provide a significant improvement in safety or effectiveness. For an original NDA for a new molecular entity or a BLA, priority review designation means the FDA’s goal is to take action on the marketing application within six months of the 60-day filing date (compared with ten months under standard review).</w:t>
      </w:r>
    </w:p>
    <w:p>
      <w:pPr>
        <w:spacing w:after="0" w:line="208" w:lineRule="exact"/>
        <w:rPr>
          <w:sz w:val="20"/>
          <w:szCs w:val="20"/>
          <w:color w:val="auto"/>
        </w:rPr>
      </w:pPr>
    </w:p>
    <w:p>
      <w:pPr>
        <w:jc w:val="both"/>
        <w:ind w:right="20" w:firstLine="720"/>
        <w:spacing w:after="0" w:line="256" w:lineRule="auto"/>
        <w:rPr>
          <w:sz w:val="20"/>
          <w:szCs w:val="20"/>
          <w:color w:val="auto"/>
        </w:rPr>
      </w:pPr>
      <w:r>
        <w:rPr>
          <w:rFonts w:ascii="Times New Roman" w:cs="Times New Roman" w:eastAsia="Times New Roman" w:hAnsi="Times New Roman"/>
          <w:sz w:val="20"/>
          <w:szCs w:val="20"/>
          <w:color w:val="auto"/>
        </w:rPr>
        <w:t>The FDA may grant accelerated approval to a product intended to treat a serious or life-threatening disease or condition that generally provides a meaningful therapeutic advantage to patients over available treatments, and demonstrates an effect on a surrogate endpoint that is reasonably likely to predict clinical benefit or on a clinical endpoint that can be measured earlier than irreversible morbidity or mortality (“IMM”), that is reasonably likely to predict an effect on IMM or other clinical benefit, taking into account the severity, rarity, or prevalence of the condition and the availability or lack of alternative treatments.</w:t>
      </w:r>
    </w:p>
    <w:p>
      <w:pPr>
        <w:spacing w:after="0" w:line="208"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For drugs and biologics granted accelerated approval, the FDA generally requires sponsors to conduct, in a diligent manner, adequate and well-controlled post-approval confirmatory studies to verify and describe the product’s clinical benefit and, under FDORA, the FDA may require, as appropriate, that such trials be underway prior to approval or within a specific time period after the date of accelerated approval. Failure to conduct required post-approval studies with due diligence, failure to confirm a clinical benefit during the post-approval studies, or dissemination of false or misleading promotional materials would allow the FDA to withdraw the product approval on an expedited basis, and under FDORA, the FDA has increased authority for such expedited withdrawal procedures. All promotional materials for product candidates approved under accelerated approval are subject to prior review by the FDA unless the FDA informs the applicant otherwise.</w:t>
      </w:r>
    </w:p>
    <w:p>
      <w:pPr>
        <w:spacing w:after="0" w:line="209" w:lineRule="exact"/>
        <w:rPr>
          <w:sz w:val="20"/>
          <w:szCs w:val="20"/>
          <w:color w:val="auto"/>
        </w:rPr>
      </w:pPr>
    </w:p>
    <w:p>
      <w:pPr>
        <w:jc w:val="both"/>
        <w:ind w:right="20" w:firstLine="720"/>
        <w:spacing w:after="0" w:line="266" w:lineRule="auto"/>
        <w:rPr>
          <w:sz w:val="20"/>
          <w:szCs w:val="20"/>
          <w:color w:val="auto"/>
        </w:rPr>
      </w:pPr>
      <w:r>
        <w:rPr>
          <w:rFonts w:ascii="Times New Roman" w:cs="Times New Roman" w:eastAsia="Times New Roman" w:hAnsi="Times New Roman"/>
          <w:sz w:val="20"/>
          <w:szCs w:val="20"/>
          <w:color w:val="auto"/>
        </w:rPr>
        <w:t>Fast Track designation, Breakthrough Therapy designation, priority review and accelerated approval do not change the scientific or medical standards for approval or the quality of evidence necessary to support approval but they may expedite the development or review process.</w:t>
      </w:r>
    </w:p>
    <w:p>
      <w:pPr>
        <w:spacing w:after="0" w:line="195" w:lineRule="exact"/>
        <w:rPr>
          <w:sz w:val="20"/>
          <w:szCs w:val="20"/>
          <w:color w:val="auto"/>
        </w:rPr>
      </w:pPr>
    </w:p>
    <w:p>
      <w:pPr>
        <w:jc w:val="both"/>
        <w:ind w:right="20" w:firstLine="720"/>
        <w:spacing w:after="0" w:line="256" w:lineRule="auto"/>
        <w:rPr>
          <w:sz w:val="20"/>
          <w:szCs w:val="20"/>
          <w:color w:val="auto"/>
        </w:rPr>
      </w:pPr>
      <w:r>
        <w:rPr>
          <w:rFonts w:ascii="Times New Roman" w:cs="Times New Roman" w:eastAsia="Times New Roman" w:hAnsi="Times New Roman"/>
          <w:sz w:val="20"/>
          <w:szCs w:val="20"/>
          <w:color w:val="auto"/>
        </w:rPr>
        <w:t>Under FDORA, a platform technology incorporated within or utilized by a drug or biological product is eligible for designation as a designated platform technology if: (1) the platform technology is incorporated in, or utilized by, a drug approved under an NDA or BLA; (2) preliminary evidence submitted by the sponsor of the approved or licensed drug, or a sponsor that has been granted a right of reference to data submitted in the application for such drug, demonstrates that the platform technology has the potential to be incorporated in, or utilized by, more than one drug without an adverse effect on quality, manufacturing, or safety; and (3) data or information submitted by the applicable person indicates that</w:t>
      </w:r>
    </w:p>
    <w:p>
      <w:pPr>
        <w:sectPr>
          <w:pgSz w:w="12240" w:h="15840" w:orient="portrait"/>
          <w:cols w:equalWidth="0" w:num="1">
            <w:col w:w="9900"/>
          </w:cols>
          <w:pgMar w:left="1180" w:top="208" w:right="1160" w:bottom="0" w:gutter="0" w:footer="0" w:header="0"/>
        </w:sectPr>
      </w:pPr>
    </w:p>
    <w:p>
      <w:pPr>
        <w:spacing w:after="0" w:line="200" w:lineRule="exact"/>
        <w:rPr>
          <w:sz w:val="20"/>
          <w:szCs w:val="20"/>
          <w:color w:val="auto"/>
        </w:rPr>
      </w:pPr>
    </w:p>
    <w:p>
      <w:pPr>
        <w:spacing w:after="0" w:line="3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23</w:t>
      </w:r>
    </w:p>
    <w:p>
      <w:pPr>
        <w:sectPr>
          <w:pgSz w:w="12240" w:h="15840" w:orient="portrait"/>
          <w:cols w:equalWidth="0" w:num="1">
            <w:col w:w="9900"/>
          </w:cols>
          <w:pgMar w:left="1180" w:top="208" w:right="1160" w:bottom="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40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incorporation or utilization of the platform technology has a reasonable likelihood to bring significant efficiencies to the drug development or manufacturing process and to the review process. A sponsor may request the FDA to designate a platform technology as a designated platform technology concurrently with, or at any time after, submission of an IND application for a drug that incorporates or utilizes the platform technology that is the subject of the request. If so designated, the FDA may expedite the development and review of any subsequent original NDA or BLA for a drug that uses or incorporates the platform technology. Designated platform technology status does not ensure that a drug will be developed more quickly or receive FDA approval. In addition, the FDA may revoke a designation if the FDA determines that a designated platform technology no longer meets the criteria for such designation.</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Post-Approval Requirements for Drugs and Biologics in the United States</w:t>
      </w:r>
    </w:p>
    <w:p>
      <w:pPr>
        <w:spacing w:after="0" w:line="139" w:lineRule="exact"/>
        <w:rPr>
          <w:sz w:val="20"/>
          <w:szCs w:val="20"/>
          <w:color w:val="auto"/>
        </w:rPr>
      </w:pPr>
    </w:p>
    <w:p>
      <w:pPr>
        <w:jc w:val="both"/>
        <w:ind w:right="20" w:firstLine="720"/>
        <w:spacing w:after="0" w:line="252" w:lineRule="auto"/>
        <w:rPr>
          <w:sz w:val="20"/>
          <w:szCs w:val="20"/>
          <w:color w:val="auto"/>
        </w:rPr>
      </w:pPr>
      <w:r>
        <w:rPr>
          <w:rFonts w:ascii="Times New Roman" w:cs="Times New Roman" w:eastAsia="Times New Roman" w:hAnsi="Times New Roman"/>
          <w:sz w:val="20"/>
          <w:szCs w:val="20"/>
          <w:color w:val="auto"/>
        </w:rPr>
        <w:t>In the United States, drugs and biologics manufactured or distributed pursuant to FDA approvals are subject to extensive and continuing regulation by the FDA, including, among other things, requirements relating to recordkeeping, periodic reporting, product sampling and distribution, reporting of adverse experiences with the product, complying with promotion and advertising requirements, which include restrictions on promoting products for unapproved uses or patient populations (known as “off-label use”) and limitations on industry-sponsored scientific and educational activities. Although physicians may prescribe approved products for off-label uses, manufacturers may not market or promote such uses. The FDA and other agencies actively enforce the laws and regulations prohibiting the promotion of off-label uses, including not only by Company employees but also by agents of the Company or those speaking on the Company’s behalf, and a company that is found to have improperly promoted off-label uses may be subject to significant liability. Failure to comply with these requirements can result in, among other things, adverse publicity, warning letters, corrective advertising and potential civil and criminal penalties, including liabilities under the False Claims Act where products carry reimbursement under federal health care programs. Promotional materials for approved drugs and biologics must be submitted to the FDA in conjunction with their first use or first publication. Further, if there are any modifications to the product, including changes in indications, labeling or manufacturing processes or facilities, the applicant may be required to submit and obtain FDA approval of a new NDA or BLA or NDA or BLA supplement, which may require the development of additional data or preclinical studies and clinical trials.</w:t>
      </w:r>
    </w:p>
    <w:p>
      <w:pPr>
        <w:spacing w:after="0" w:line="216" w:lineRule="exact"/>
        <w:rPr>
          <w:sz w:val="20"/>
          <w:szCs w:val="20"/>
          <w:color w:val="auto"/>
        </w:rPr>
      </w:pPr>
    </w:p>
    <w:p>
      <w:pPr>
        <w:jc w:val="both"/>
        <w:ind w:right="20" w:firstLine="720"/>
        <w:spacing w:after="0" w:line="266" w:lineRule="auto"/>
        <w:rPr>
          <w:sz w:val="20"/>
          <w:szCs w:val="20"/>
          <w:color w:val="auto"/>
        </w:rPr>
      </w:pPr>
      <w:r>
        <w:rPr>
          <w:rFonts w:ascii="Times New Roman" w:cs="Times New Roman" w:eastAsia="Times New Roman" w:hAnsi="Times New Roman"/>
          <w:sz w:val="20"/>
          <w:szCs w:val="20"/>
          <w:color w:val="auto"/>
        </w:rPr>
        <w:t>The FDA may impose a number of post-approval requirements as a condition of approval of an NDA or BLA. For example, the FDA may require post-market testing, including Phase 4 clinical trials, and surveillance to further assess and monitor the product’s safety and effectiveness after commercialization.</w:t>
      </w:r>
    </w:p>
    <w:p>
      <w:pPr>
        <w:spacing w:after="0" w:line="195" w:lineRule="exact"/>
        <w:rPr>
          <w:sz w:val="20"/>
          <w:szCs w:val="20"/>
          <w:color w:val="auto"/>
        </w:rPr>
      </w:pPr>
    </w:p>
    <w:p>
      <w:pPr>
        <w:jc w:val="both"/>
        <w:ind w:right="20" w:firstLine="720"/>
        <w:spacing w:after="0" w:line="252" w:lineRule="auto"/>
        <w:rPr>
          <w:sz w:val="20"/>
          <w:szCs w:val="20"/>
          <w:color w:val="auto"/>
        </w:rPr>
      </w:pPr>
      <w:r>
        <w:rPr>
          <w:rFonts w:ascii="Times New Roman" w:cs="Times New Roman" w:eastAsia="Times New Roman" w:hAnsi="Times New Roman"/>
          <w:sz w:val="20"/>
          <w:szCs w:val="20"/>
          <w:color w:val="auto"/>
        </w:rPr>
        <w:t xml:space="preserve">In addition, drug and biologics manufacturers and their subcontractors involved in the manufacture and distribution of approved products are required to register their establishments with the FDA and certain state agencies and are subject to periodic unannounced inspections by the FDA and certain state agencies for compliance with ongoing regulatory requirements, including cGMP, which impose certain procedural and documentation requirements upon us and our CMOs. Changes to the manufacturing process are strictly regulated, and, depending on the significance of the change, may require prior FDA approval before being implemented. FDA regulations also require investigation and correction of any deviations from cGMP and impose reporting requirements upon us and any third-party manufacturers that we may decide to use. </w:t>
      </w:r>
      <w:r>
        <w:rPr>
          <w:rFonts w:ascii="Times New Roman" w:cs="Times New Roman" w:eastAsia="Times New Roman" w:hAnsi="Times New Roman"/>
          <w:sz w:val="20"/>
          <w:szCs w:val="20"/>
          <w:color w:val="242424"/>
        </w:rPr>
        <w:t>Manufacturers and other parties involved in the drug supply chain for prescription drug and biological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242424"/>
        </w:rPr>
        <w:t xml:space="preserve">products must also comply with product tracking and tracing requirements and for notifying the FDA of counterfeit, diverted, stolen and intentionally adulterated products or products that are otherwise unfit for distribution in the United States. </w:t>
      </w:r>
      <w:r>
        <w:rPr>
          <w:rFonts w:ascii="Times New Roman" w:cs="Times New Roman" w:eastAsia="Times New Roman" w:hAnsi="Times New Roman"/>
          <w:sz w:val="20"/>
          <w:szCs w:val="20"/>
          <w:color w:val="000000"/>
        </w:rPr>
        <w:t>Accordingly, manufacturers must continue to expend time, money and effort in the area of production and quality</w:t>
      </w:r>
      <w:r>
        <w:rPr>
          <w:rFonts w:ascii="Times New Roman" w:cs="Times New Roman" w:eastAsia="Times New Roman" w:hAnsi="Times New Roman"/>
          <w:sz w:val="20"/>
          <w:szCs w:val="20"/>
          <w:color w:val="242424"/>
        </w:rPr>
        <w:t xml:space="preserve"> </w:t>
      </w:r>
      <w:r>
        <w:rPr>
          <w:rFonts w:ascii="Times New Roman" w:cs="Times New Roman" w:eastAsia="Times New Roman" w:hAnsi="Times New Roman"/>
          <w:sz w:val="20"/>
          <w:szCs w:val="20"/>
          <w:color w:val="000000"/>
        </w:rPr>
        <w:t>control to maintain compliance with cGMP and other aspects of regulatory compliance. Failure to comply with statutory and regulatory requirements can subject a manufacturer to possible legal or regulatory action, such as warning letters, suspension of manufacturing, product seizures, injunctions, civil penalties or criminal prosecution.</w:t>
      </w:r>
    </w:p>
    <w:p>
      <w:pPr>
        <w:spacing w:after="0" w:line="219" w:lineRule="exact"/>
        <w:rPr>
          <w:sz w:val="20"/>
          <w:szCs w:val="20"/>
          <w:color w:val="auto"/>
        </w:rPr>
      </w:pPr>
    </w:p>
    <w:p>
      <w:pPr>
        <w:jc w:val="both"/>
        <w:ind w:right="20" w:firstLine="720"/>
        <w:spacing w:after="0" w:line="256" w:lineRule="auto"/>
        <w:rPr>
          <w:sz w:val="20"/>
          <w:szCs w:val="20"/>
          <w:color w:val="auto"/>
        </w:rPr>
      </w:pPr>
      <w:r>
        <w:rPr>
          <w:rFonts w:ascii="Times New Roman" w:cs="Times New Roman" w:eastAsia="Times New Roman" w:hAnsi="Times New Roman"/>
          <w:sz w:val="20"/>
          <w:szCs w:val="20"/>
          <w:color w:val="auto"/>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requirements for post-market studies or clinical trials to assess new safety risks, or imposition of distribution or other restrictions under a REMS. Other potential consequences include, among other things:</w:t>
      </w:r>
    </w:p>
    <w:p>
      <w:pPr>
        <w:spacing w:after="0" w:line="88" w:lineRule="exact"/>
        <w:rPr>
          <w:sz w:val="20"/>
          <w:szCs w:val="20"/>
          <w:color w:val="auto"/>
        </w:rPr>
      </w:pPr>
    </w:p>
    <w:p>
      <w:pPr>
        <w:ind w:left="1080" w:right="20" w:hanging="370"/>
        <w:spacing w:after="0" w:line="281" w:lineRule="auto"/>
        <w:tabs>
          <w:tab w:leader="none" w:pos="108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restrictions on the marketing or manufacturing of the product, complete withdrawal of the product from the market or product recalls;</w:t>
      </w:r>
    </w:p>
    <w:p>
      <w:pPr>
        <w:spacing w:after="0" w:line="61" w:lineRule="exact"/>
        <w:rPr>
          <w:rFonts w:ascii="Times New Roman" w:cs="Times New Roman" w:eastAsia="Times New Roman" w:hAnsi="Times New Roman"/>
          <w:sz w:val="20"/>
          <w:szCs w:val="20"/>
          <w:color w:val="auto"/>
        </w:rPr>
      </w:pPr>
    </w:p>
    <w:p>
      <w:pPr>
        <w:ind w:left="1080" w:right="20" w:hanging="370"/>
        <w:spacing w:after="0" w:line="281" w:lineRule="auto"/>
        <w:tabs>
          <w:tab w:leader="none" w:pos="108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safety alerts, Dear Healthcare Provider letters, press releases or other communications containing warnings or other safety information about the product;</w:t>
      </w:r>
    </w:p>
    <w:p>
      <w:pPr>
        <w:sectPr>
          <w:pgSz w:w="12240" w:h="15840" w:orient="portrait"/>
          <w:cols w:equalWidth="0" w:num="1">
            <w:col w:w="9900"/>
          </w:cols>
          <w:pgMar w:left="1180" w:top="208" w:right="1160" w:bottom="0" w:gutter="0" w:footer="0" w:header="0"/>
        </w:sectPr>
      </w:pPr>
    </w:p>
    <w:p>
      <w:pPr>
        <w:spacing w:after="0" w:line="200" w:lineRule="exact"/>
        <w:rPr>
          <w:sz w:val="20"/>
          <w:szCs w:val="20"/>
          <w:color w:val="auto"/>
        </w:rPr>
      </w:pPr>
    </w:p>
    <w:p>
      <w:pPr>
        <w:spacing w:after="0" w:line="3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24</w:t>
      </w:r>
    </w:p>
    <w:p>
      <w:pPr>
        <w:sectPr>
          <w:pgSz w:w="12240" w:h="15840" w:orient="portrait"/>
          <w:cols w:equalWidth="0" w:num="1">
            <w:col w:w="9900"/>
          </w:cols>
          <w:pgMar w:left="1180" w:top="208" w:right="1160" w:bottom="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400" w:lineRule="exact"/>
        <w:rPr>
          <w:sz w:val="20"/>
          <w:szCs w:val="20"/>
          <w:color w:val="auto"/>
        </w:rPr>
      </w:pPr>
    </w:p>
    <w:p>
      <w:pPr>
        <w:ind w:left="1080" w:hanging="370"/>
        <w:spacing w:after="0"/>
        <w:tabs>
          <w:tab w:leader="none" w:pos="108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mandated modification of promotional materials and labeling and issuance of corrective information;</w:t>
      </w:r>
    </w:p>
    <w:p>
      <w:pPr>
        <w:spacing w:after="0" w:line="130" w:lineRule="exact"/>
        <w:rPr>
          <w:rFonts w:ascii="Times New Roman" w:cs="Times New Roman" w:eastAsia="Times New Roman" w:hAnsi="Times New Roman"/>
          <w:sz w:val="20"/>
          <w:szCs w:val="20"/>
          <w:color w:val="auto"/>
        </w:rPr>
      </w:pPr>
    </w:p>
    <w:p>
      <w:pPr>
        <w:ind w:left="1080" w:hanging="370"/>
        <w:spacing w:after="0"/>
        <w:tabs>
          <w:tab w:leader="none" w:pos="108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fines, warning letters, or untitled letters;</w:t>
      </w:r>
    </w:p>
    <w:p>
      <w:pPr>
        <w:spacing w:after="0" w:line="130" w:lineRule="exact"/>
        <w:rPr>
          <w:rFonts w:ascii="Times New Roman" w:cs="Times New Roman" w:eastAsia="Times New Roman" w:hAnsi="Times New Roman"/>
          <w:sz w:val="20"/>
          <w:szCs w:val="20"/>
          <w:color w:val="auto"/>
        </w:rPr>
      </w:pPr>
    </w:p>
    <w:p>
      <w:pPr>
        <w:ind w:left="1080" w:hanging="370"/>
        <w:spacing w:after="0"/>
        <w:tabs>
          <w:tab w:leader="none" w:pos="108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holds on clinical trials;</w:t>
      </w:r>
    </w:p>
    <w:p>
      <w:pPr>
        <w:spacing w:after="0" w:line="130" w:lineRule="exact"/>
        <w:rPr>
          <w:rFonts w:ascii="Times New Roman" w:cs="Times New Roman" w:eastAsia="Times New Roman" w:hAnsi="Times New Roman"/>
          <w:sz w:val="20"/>
          <w:szCs w:val="20"/>
          <w:color w:val="auto"/>
        </w:rPr>
      </w:pPr>
    </w:p>
    <w:p>
      <w:pPr>
        <w:ind w:left="1080" w:right="20" w:hanging="370"/>
        <w:spacing w:after="0" w:line="281" w:lineRule="auto"/>
        <w:tabs>
          <w:tab w:leader="none" w:pos="108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refusal of the FDA to approve applications or supplements to approved applications, or suspension or revocation of product approvals;</w:t>
      </w:r>
    </w:p>
    <w:p>
      <w:pPr>
        <w:spacing w:after="0" w:line="61" w:lineRule="exact"/>
        <w:rPr>
          <w:rFonts w:ascii="Times New Roman" w:cs="Times New Roman" w:eastAsia="Times New Roman" w:hAnsi="Times New Roman"/>
          <w:sz w:val="20"/>
          <w:szCs w:val="20"/>
          <w:color w:val="auto"/>
        </w:rPr>
      </w:pPr>
    </w:p>
    <w:p>
      <w:pPr>
        <w:ind w:left="1080" w:hanging="370"/>
        <w:spacing w:after="0"/>
        <w:tabs>
          <w:tab w:leader="none" w:pos="108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product seizure or detention, or refusal to permit the import or export of products;</w:t>
      </w:r>
    </w:p>
    <w:p>
      <w:pPr>
        <w:spacing w:after="0" w:line="130" w:lineRule="exact"/>
        <w:rPr>
          <w:rFonts w:ascii="Times New Roman" w:cs="Times New Roman" w:eastAsia="Times New Roman" w:hAnsi="Times New Roman"/>
          <w:sz w:val="20"/>
          <w:szCs w:val="20"/>
          <w:color w:val="auto"/>
        </w:rPr>
      </w:pPr>
    </w:p>
    <w:p>
      <w:pPr>
        <w:ind w:left="1080" w:hanging="370"/>
        <w:spacing w:after="0"/>
        <w:tabs>
          <w:tab w:leader="none" w:pos="108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injunctions or the imposition of civil or criminal penalties; and</w:t>
      </w:r>
    </w:p>
    <w:p>
      <w:pPr>
        <w:spacing w:after="0" w:line="130" w:lineRule="exact"/>
        <w:rPr>
          <w:rFonts w:ascii="Times New Roman" w:cs="Times New Roman" w:eastAsia="Times New Roman" w:hAnsi="Times New Roman"/>
          <w:sz w:val="20"/>
          <w:szCs w:val="20"/>
          <w:color w:val="auto"/>
        </w:rPr>
      </w:pPr>
    </w:p>
    <w:p>
      <w:pPr>
        <w:ind w:left="1080" w:hanging="370"/>
        <w:spacing w:after="0"/>
        <w:tabs>
          <w:tab w:leader="none" w:pos="108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consent decrees, corporate integrity agreements, debarment or exclusion from federal healthcare programs.</w:t>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Regulation of Combination Products in the United States</w:t>
      </w:r>
    </w:p>
    <w:p>
      <w:pPr>
        <w:spacing w:after="0" w:line="139" w:lineRule="exact"/>
        <w:rPr>
          <w:sz w:val="20"/>
          <w:szCs w:val="20"/>
          <w:color w:val="auto"/>
        </w:rPr>
      </w:pPr>
    </w:p>
    <w:p>
      <w:pPr>
        <w:jc w:val="both"/>
        <w:ind w:right="20" w:firstLine="720"/>
        <w:spacing w:after="0" w:line="260" w:lineRule="auto"/>
        <w:rPr>
          <w:sz w:val="20"/>
          <w:szCs w:val="20"/>
          <w:color w:val="auto"/>
        </w:rPr>
      </w:pPr>
      <w:r>
        <w:rPr>
          <w:rFonts w:ascii="Times New Roman" w:cs="Times New Roman" w:eastAsia="Times New Roman" w:hAnsi="Times New Roman"/>
          <w:sz w:val="20"/>
          <w:szCs w:val="20"/>
          <w:color w:val="auto"/>
        </w:rPr>
        <w:t>Certain products may be comprised of components that are regulated under separate regulatory authorities and by different centers at the FDA. These products are known as combination products. A combination product is comprised of a combination of a drug and a device; a biological product and a device; a drug and a biological product; or a drug, a device, and a biological product. Under regulations issued by the FDA, a combination product includes:</w:t>
      </w:r>
    </w:p>
    <w:p>
      <w:pPr>
        <w:spacing w:after="0" w:line="83" w:lineRule="exact"/>
        <w:rPr>
          <w:sz w:val="20"/>
          <w:szCs w:val="20"/>
          <w:color w:val="auto"/>
        </w:rPr>
      </w:pPr>
    </w:p>
    <w:p>
      <w:pPr>
        <w:ind w:left="1080" w:right="20" w:hanging="370"/>
        <w:spacing w:after="0" w:line="281" w:lineRule="auto"/>
        <w:tabs>
          <w:tab w:leader="none" w:pos="108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product comprised of two or more regulated components that are physically, chemically, or otherwise combined or mixed and produced as a single entity;</w:t>
      </w:r>
    </w:p>
    <w:p>
      <w:pPr>
        <w:spacing w:after="0" w:line="61" w:lineRule="exact"/>
        <w:rPr>
          <w:rFonts w:ascii="Times New Roman" w:cs="Times New Roman" w:eastAsia="Times New Roman" w:hAnsi="Times New Roman"/>
          <w:sz w:val="20"/>
          <w:szCs w:val="20"/>
          <w:color w:val="auto"/>
        </w:rPr>
      </w:pPr>
    </w:p>
    <w:p>
      <w:pPr>
        <w:ind w:left="1080" w:right="20" w:hanging="370"/>
        <w:spacing w:after="0" w:line="281" w:lineRule="auto"/>
        <w:tabs>
          <w:tab w:leader="none" w:pos="108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two or more separate products packaged together in a single package or as a unit and comprised of drug and device products, device and biological products, or biological and drug products;</w:t>
      </w:r>
    </w:p>
    <w:p>
      <w:pPr>
        <w:spacing w:after="0" w:line="61" w:lineRule="exact"/>
        <w:rPr>
          <w:rFonts w:ascii="Times New Roman" w:cs="Times New Roman" w:eastAsia="Times New Roman" w:hAnsi="Times New Roman"/>
          <w:sz w:val="20"/>
          <w:szCs w:val="20"/>
          <w:color w:val="auto"/>
        </w:rPr>
      </w:pPr>
    </w:p>
    <w:p>
      <w:pPr>
        <w:jc w:val="both"/>
        <w:ind w:left="1080" w:right="20" w:hanging="370"/>
        <w:spacing w:after="0" w:line="258" w:lineRule="auto"/>
        <w:tabs>
          <w:tab w:leader="none" w:pos="108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drug, device, or biological product packaged separately that according to its investigational plan or proposed labeling is intended for use only with an approved individually specified drug, device or biological product where both are required to achieve the intended use, indication, or effect and where upon approval of the proposed product the labeling of the approved product would need to be changed, </w:t>
      </w:r>
      <w:r>
        <w:rPr>
          <w:rFonts w:ascii="Times New Roman" w:cs="Times New Roman" w:eastAsia="Times New Roman" w:hAnsi="Times New Roman"/>
          <w:sz w:val="20"/>
          <w:szCs w:val="20"/>
          <w:b w:val="1"/>
          <w:bCs w:val="1"/>
          <w:i w:val="1"/>
          <w:iCs w:val="1"/>
          <w:color w:val="auto"/>
        </w:rPr>
        <w:t>e.g.</w:t>
      </w:r>
      <w:r>
        <w:rPr>
          <w:rFonts w:ascii="Times New Roman" w:cs="Times New Roman" w:eastAsia="Times New Roman" w:hAnsi="Times New Roman"/>
          <w:sz w:val="20"/>
          <w:szCs w:val="20"/>
          <w:color w:val="auto"/>
        </w:rPr>
        <w:t>, to reflect a change in intended use, dosage form, strength, route of administration, or significant change in dose; or</w:t>
      </w:r>
    </w:p>
    <w:p>
      <w:pPr>
        <w:spacing w:after="0" w:line="83" w:lineRule="exact"/>
        <w:rPr>
          <w:rFonts w:ascii="Times New Roman" w:cs="Times New Roman" w:eastAsia="Times New Roman" w:hAnsi="Times New Roman"/>
          <w:sz w:val="20"/>
          <w:szCs w:val="20"/>
          <w:color w:val="auto"/>
        </w:rPr>
      </w:pPr>
    </w:p>
    <w:p>
      <w:pPr>
        <w:jc w:val="both"/>
        <w:ind w:left="1080" w:hanging="370"/>
        <w:spacing w:after="0" w:line="266" w:lineRule="auto"/>
        <w:tabs>
          <w:tab w:leader="none" w:pos="108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investigational drug, device, or biological product packaged separately that according to its proposed labeling is for use only with another individually specified investigational drug, device, or biological product where both are required to achieve the intended use, indication, or effect.</w:t>
      </w:r>
    </w:p>
    <w:p>
      <w:pPr>
        <w:spacing w:after="0" w:line="195" w:lineRule="exact"/>
        <w:rPr>
          <w:sz w:val="20"/>
          <w:szCs w:val="20"/>
          <w:color w:val="auto"/>
        </w:rPr>
      </w:pPr>
    </w:p>
    <w:p>
      <w:pPr>
        <w:jc w:val="both"/>
        <w:ind w:right="20" w:firstLine="720"/>
        <w:spacing w:after="0" w:line="258" w:lineRule="auto"/>
        <w:rPr>
          <w:sz w:val="20"/>
          <w:szCs w:val="20"/>
          <w:color w:val="auto"/>
        </w:rPr>
      </w:pPr>
      <w:r>
        <w:rPr>
          <w:rFonts w:ascii="Times New Roman" w:cs="Times New Roman" w:eastAsia="Times New Roman" w:hAnsi="Times New Roman"/>
          <w:sz w:val="20"/>
          <w:szCs w:val="20"/>
          <w:color w:val="auto"/>
        </w:rPr>
        <w:t>Under the FDCA, the FDA is charged with assigning a center with primary jurisdiction, or a lead center, for review of a combination product. That determination is based on the “primary mode of action” of the combination product, which means the single mode of action that provides the most important therapeutic action of the combination product, i.e., the mode of action expected to make the greatest contribution to the overall intended therapeutic effects of the combination product.</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United States Patent Term Restoration and Marketing Exclusivity</w:t>
      </w:r>
    </w:p>
    <w:p>
      <w:pPr>
        <w:spacing w:after="0" w:line="139"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Depending upon the timing, duration and specifics of FDA approval of our future product candidates, some of our United States patents may be eligible for limited patent term extension under the Drug Price Competition and Patent Term Restoration Act of 1984, commonly referred to as the Hatch-Waxman Amendments. The Hatch-Waxman Amendments permit restoration of the patent term of up to five years as compensation for patent term lost during the FDA regulatory review process. Patent-term restoration, however, cannot extend the remaining term of a patent beyond a total of 14 years from the product’s approval date and only those claims covering such approved drug product, a method for using it or a method for manufacturing it may be extended. The patent-term restoration period is generally one-half the time between the effective date of an IND and the submission date of an NDA or BLA plus the time between the submission date of an NDA or BLA and the approval of that application, except that the review period is reduced by any time during which the applicant failed to exercise due diligence. Only one patent applicable to an approved drug is eligible for the extension and the application for the extension must be submitted prior to the expiration of the patent. The U.S. Patent and Trademark Office, in consultation with the FDA, reviews and approves the application for any patent term extension or restoration. In the future, we may apply for restoration of patent term for our currently owned or licensed patents to add patent life beyond its current expiration date, depending on the expected length of the clinical trials and other factors involved in the filing of the relevant NDA or BLA.</w:t>
      </w:r>
    </w:p>
    <w:p>
      <w:pPr>
        <w:sectPr>
          <w:pgSz w:w="12240" w:h="15840" w:orient="portrait"/>
          <w:cols w:equalWidth="0" w:num="1">
            <w:col w:w="9900"/>
          </w:cols>
          <w:pgMar w:left="1180" w:top="20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25</w:t>
      </w:r>
    </w:p>
    <w:p>
      <w:pPr>
        <w:sectPr>
          <w:pgSz w:w="12240" w:h="15840" w:orient="portrait"/>
          <w:cols w:equalWidth="0" w:num="1">
            <w:col w:w="9900"/>
          </w:cols>
          <w:pgMar w:left="1180" w:top="208" w:right="1160" w:bottom="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400" w:lineRule="exact"/>
        <w:rPr>
          <w:sz w:val="20"/>
          <w:szCs w:val="20"/>
          <w:color w:val="auto"/>
        </w:rPr>
      </w:pPr>
    </w:p>
    <w:p>
      <w:pPr>
        <w:jc w:val="both"/>
        <w:ind w:right="20" w:firstLine="720"/>
        <w:spacing w:after="0" w:line="254" w:lineRule="auto"/>
        <w:rPr>
          <w:sz w:val="20"/>
          <w:szCs w:val="20"/>
          <w:color w:val="auto"/>
        </w:rPr>
      </w:pPr>
      <w:r>
        <w:rPr>
          <w:rFonts w:ascii="Times New Roman" w:cs="Times New Roman" w:eastAsia="Times New Roman" w:hAnsi="Times New Roman"/>
          <w:sz w:val="20"/>
          <w:szCs w:val="20"/>
          <w:color w:val="auto"/>
        </w:rPr>
        <w:t>Regulatory exclusivity provisions under the FDCA also can delay the submission or the approval of certain applications. The FDCA provides a five-year period of non-patent marketing exclusivity within the United States to the first applicant to gain approval of an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accept for review an ANDA, or a 505(b)(2) NDA submitted by another company for another version of such drug where the applicant does not own or have a legal right of reference to all the data required for approval. However, an application may be submitted after four years if it contains a certification of patent invalidity or non-infringement.</w:t>
      </w:r>
    </w:p>
    <w:p>
      <w:pPr>
        <w:spacing w:after="0" w:line="213" w:lineRule="exact"/>
        <w:rPr>
          <w:sz w:val="20"/>
          <w:szCs w:val="20"/>
          <w:color w:val="auto"/>
        </w:rPr>
      </w:pPr>
    </w:p>
    <w:p>
      <w:pPr>
        <w:jc w:val="both"/>
        <w:ind w:right="20" w:firstLine="720"/>
        <w:spacing w:after="0" w:line="254" w:lineRule="auto"/>
        <w:rPr>
          <w:sz w:val="20"/>
          <w:szCs w:val="20"/>
          <w:color w:val="auto"/>
        </w:rPr>
      </w:pPr>
      <w:r>
        <w:rPr>
          <w:rFonts w:ascii="Times New Roman" w:cs="Times New Roman" w:eastAsia="Times New Roman" w:hAnsi="Times New Roman"/>
          <w:sz w:val="20"/>
          <w:szCs w:val="20"/>
          <w:color w:val="auto"/>
        </w:rPr>
        <w:t>The FDCA also provides three years of exclusivity for an NDA, 505(b)(2)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conditions of use associated with the new clinical investigations and does not prohibit the FDA from approving ANDAs for drugs containing the original active agent for other conditions of use. Five-year and three-year exclusivity will not delay the submission or approval of a full NDA. However, an applicant submitting a full NDA would be required to conduct or obtain a right of reference to all of the preclinical studies and adequate and well-controlled clinical trials necessary to demonstrate safety and effectiveness.</w:t>
      </w:r>
    </w:p>
    <w:p>
      <w:pPr>
        <w:spacing w:after="0" w:line="213" w:lineRule="exact"/>
        <w:rPr>
          <w:sz w:val="20"/>
          <w:szCs w:val="20"/>
          <w:color w:val="auto"/>
        </w:rPr>
      </w:pPr>
    </w:p>
    <w:p>
      <w:pPr>
        <w:jc w:val="both"/>
        <w:ind w:right="20" w:firstLine="720"/>
        <w:spacing w:after="0" w:line="260" w:lineRule="auto"/>
        <w:rPr>
          <w:sz w:val="20"/>
          <w:szCs w:val="20"/>
          <w:color w:val="auto"/>
        </w:rPr>
      </w:pPr>
      <w:r>
        <w:rPr>
          <w:rFonts w:ascii="Times New Roman" w:cs="Times New Roman" w:eastAsia="Times New Roman" w:hAnsi="Times New Roman"/>
          <w:sz w:val="20"/>
          <w:szCs w:val="20"/>
          <w:color w:val="auto"/>
        </w:rPr>
        <w:t>In addition, both drugs and biologics can obtain pediatric exclusivity in the United States. Pediatric exclusivity, if granted, adds six months to existing regulatory exclusivity periods for all formulations, dosage forms, and indications of the active moiety for biologics and drugs, and for drugs to patent terms. Pediatric exclusivity may be granted based on the voluntary completion of a pediatric study in accordance with an FDA-issued “Written Request” for such a study.</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United States Biosimilars and Exclusivity</w:t>
      </w:r>
    </w:p>
    <w:p>
      <w:pPr>
        <w:spacing w:after="0" w:line="139" w:lineRule="exact"/>
        <w:rPr>
          <w:sz w:val="20"/>
          <w:szCs w:val="20"/>
          <w:color w:val="auto"/>
        </w:rPr>
      </w:pPr>
    </w:p>
    <w:p>
      <w:pPr>
        <w:jc w:val="both"/>
        <w:ind w:right="20" w:firstLine="720"/>
        <w:spacing w:after="0" w:line="253" w:lineRule="auto"/>
        <w:rPr>
          <w:sz w:val="20"/>
          <w:szCs w:val="20"/>
          <w:color w:val="auto"/>
        </w:rPr>
      </w:pPr>
      <w:r>
        <w:rPr>
          <w:rFonts w:ascii="Times New Roman" w:cs="Times New Roman" w:eastAsia="Times New Roman" w:hAnsi="Times New Roman"/>
          <w:sz w:val="20"/>
          <w:szCs w:val="20"/>
          <w:color w:val="auto"/>
        </w:rPr>
        <w:t>The Patient Protection and Affordable Care Act, as amended by the Health Care and Education Reconciliation Act of 2010, or collectively (“ACA”), signed into law in 2010, includes a subtitle called the Biologics Price Competition and Innovation Act (“BPCIA”), which created an abbreviated approval pathway for biological products that are biosimilar to or interchangeable with an FDA-licensed reference biological product. The FDA has issued several guidance documents outlining an approach to the review and approval of biosimilars in the United States. Biosimilarity, which requires that there be no clinically meaningful differences between the biological product and the reference product in terms of safety, purity, and potency, can be shown through analytical studies, animal studies, and a clinical study or studies. Interchangeability requires that a product is biosimilar to the reference product and the product must demonstrate that it can be expected to produce the same clinical results as the reference product in any given patient and, for products that are administered multiple times to an individual, the biologic and the reference biologic may be alternated or switched after one has been previously administered without increasing safety risks or risks of diminished efficacy relative to exclusive use of the reference biologic.</w:t>
      </w:r>
    </w:p>
    <w:p>
      <w:pPr>
        <w:spacing w:after="0" w:line="211"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Under the BPCIA, a reference biological product is granted 12 years of data exclusivity from the time of first licensure of the product, and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that applicant’s own preclinical data and data from adequate and well-controlled clinical trials to demonstrate the safety, purity and potency of its product. The BPCIA also created certain exclusivity periods for biosimilars approved as interchangeable products. The first biological product determined to be interchangeable with a branded reference product for any condition of use is also eligible for a period of exclusivity, during which time the FDA may not determine that another product is interchangeable with the same reference product for any condition of use. The FDA may approve multiple “first” interchangeable products so long as they are all approved on the same first day of marketing. This exclusivity period, which may be shared among multiple first interchangeable products, lasts until the earlier of: (1) one year after the first commercial marketing of the first interchangeable product; (2) 18 months after resolution of a patent infringement suit instituted under 42 U.S.C. § 262(l)(6) against the applicant that submitted the application for the first interchangeable product, based on a final court decision regarding all of the patents in the litigation or dismissal of the litigation with or without prejudice; (3) 42 months after approval of the first interchangeable product, if a patent infringement suit instituted under 42 U.S.C. § 262(l)(6) against the applicant that submitted the application for the first interchangeable product is still ongoing; or (4) 18 months after approval of the first interchangeable product if the applicant that submitted the application for the first interchangeable</w:t>
      </w:r>
    </w:p>
    <w:p>
      <w:pPr>
        <w:sectPr>
          <w:pgSz w:w="12240" w:h="15840" w:orient="portrait"/>
          <w:cols w:equalWidth="0" w:num="1">
            <w:col w:w="9900"/>
          </w:cols>
          <w:pgMar w:left="1180" w:top="20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26</w:t>
      </w:r>
    </w:p>
    <w:p>
      <w:pPr>
        <w:sectPr>
          <w:pgSz w:w="12240" w:h="15840" w:orient="portrait"/>
          <w:cols w:equalWidth="0" w:num="1">
            <w:col w:w="9900"/>
          </w:cols>
          <w:pgMar w:left="1180" w:top="208" w:right="1160" w:bottom="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400"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product has not been sued under 42 U.S.C. § 262(l)(6). Whether biosimilar products deemed “interchangeable” by the FDA will, in fact, be readily substituted by pharmacies will be determined by state pharmacy law.</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Other United States Regulatory Matters</w:t>
      </w:r>
    </w:p>
    <w:p>
      <w:pPr>
        <w:spacing w:after="0" w:line="139" w:lineRule="exact"/>
        <w:rPr>
          <w:sz w:val="20"/>
          <w:szCs w:val="20"/>
          <w:color w:val="auto"/>
        </w:rPr>
      </w:pPr>
    </w:p>
    <w:p>
      <w:pPr>
        <w:jc w:val="both"/>
        <w:ind w:right="20" w:firstLine="720"/>
        <w:spacing w:after="0" w:line="256" w:lineRule="auto"/>
        <w:rPr>
          <w:sz w:val="20"/>
          <w:szCs w:val="20"/>
          <w:color w:val="auto"/>
        </w:rPr>
      </w:pPr>
      <w:r>
        <w:rPr>
          <w:rFonts w:ascii="Times New Roman" w:cs="Times New Roman" w:eastAsia="Times New Roman" w:hAnsi="Times New Roman"/>
          <w:sz w:val="20"/>
          <w:szCs w:val="20"/>
          <w:color w:val="auto"/>
        </w:rPr>
        <w:t>Manufacturing, sales, promotion and other activities of product candidates following product approval, where applicable, or commercialization are also subject to regulation by numerous regulatory authorities in the United States in addition to the FDA, which may include the Centers for Medicare &amp; Medicaid Services (“CMS”), other divisions of the Department of Health and Human Services (“HHS”), the Department of Justice, the Drug Enforcement Administration, the Consumer Product Safety Commission, the Federal Trade Commission, the Occupational Safety &amp; Health Administration, the Environmental Protection Agency and state and local governments and governmental agencies.</w:t>
      </w: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Other United States Healthcare Laws</w:t>
      </w:r>
    </w:p>
    <w:p>
      <w:pPr>
        <w:spacing w:after="0" w:line="139" w:lineRule="exact"/>
        <w:rPr>
          <w:sz w:val="20"/>
          <w:szCs w:val="20"/>
          <w:color w:val="auto"/>
        </w:rPr>
      </w:pPr>
    </w:p>
    <w:p>
      <w:pPr>
        <w:jc w:val="both"/>
        <w:ind w:right="20" w:firstLine="720"/>
        <w:spacing w:after="0" w:line="254" w:lineRule="auto"/>
        <w:rPr>
          <w:sz w:val="20"/>
          <w:szCs w:val="20"/>
          <w:color w:val="auto"/>
        </w:rPr>
      </w:pPr>
      <w:r>
        <w:rPr>
          <w:rFonts w:ascii="Times New Roman" w:cs="Times New Roman" w:eastAsia="Times New Roman" w:hAnsi="Times New Roman"/>
          <w:sz w:val="20"/>
          <w:szCs w:val="20"/>
          <w:color w:val="auto"/>
        </w:rPr>
        <w:t>Healthcare providers and third-party payors in the United States and elsewhere play a primary role in the recommendation and prescription of pharmaceutical products. Arrangements with third-party payors and customers can expose pharmaceutical manufacturers to broadly applicable fraud and abuse and other healthcare laws and regulations, including, without limitation, the federal Anti-Kickback Statute and the federal False Claims Act (“FCA”), which may constrain the business or financial arrangements and relationships through which companies research, sell, market and distribute pharmaceutical products. In addition, transparency laws and patient privacy laws can apply to the activities of pharmaceutical manufacturers. The applicable federal, state and foreign healthcare laws and regulations that can affect a pharmaceutical company’s operations include without limitation:</w:t>
      </w:r>
    </w:p>
    <w:p>
      <w:pPr>
        <w:spacing w:after="0" w:line="93" w:lineRule="exact"/>
        <w:rPr>
          <w:sz w:val="20"/>
          <w:szCs w:val="20"/>
          <w:color w:val="auto"/>
        </w:rPr>
      </w:pPr>
    </w:p>
    <w:p>
      <w:pPr>
        <w:jc w:val="both"/>
        <w:ind w:left="1080" w:hanging="370"/>
        <w:spacing w:after="0" w:line="252" w:lineRule="auto"/>
        <w:tabs>
          <w:tab w:leader="none" w:pos="108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federal Anti-Kickback Statute, which prohibits, among other things, knowingly and willfully soliciting, receiving, offering or paying any remuneration (including any kickback, bribe, or rebate), directly or indirectly, overtly or covertly, in cash or in kind, to induce, or in return for, either the referral of an individual, or the purchase, lease, order or recommendation of any good, facility, item or service for which payment may be made, in whole or in part, under the Medicare and Medicaid programs, or other federal healthcare programs. A person or entity can be found guilty of violating the statute without actual knowledge of the statute or specific intent to violate it. Violations are subject to civil and criminal fines and penalties for each violation, plus up to three times the remuneration involved, imprisonment, and exclusion from government healthcare programs. In addition, the government may assert that a claim including items or services resulting from a violation of the federal Anti-Kickback Statute constitutes a false or fraudulent claim for purposes of the FCA. The Anti-Kickback Statute has been interpreted to apply to arrangements between pharmaceutical manufacturers on the one hand and prescribers, purchasers, and formulary managers on the other. There are a number of statutory exceptions and regulatory safe harbors protecting some common activities from prosecution, but such exceptions and safe harbors are drawn narrowly and require strict compliance in order to offer protection;</w:t>
      </w:r>
    </w:p>
    <w:p>
      <w:pPr>
        <w:spacing w:after="0" w:line="217" w:lineRule="exact"/>
        <w:rPr>
          <w:rFonts w:ascii="Times New Roman" w:cs="Times New Roman" w:eastAsia="Times New Roman" w:hAnsi="Times New Roman"/>
          <w:sz w:val="20"/>
          <w:szCs w:val="20"/>
          <w:color w:val="auto"/>
        </w:rPr>
      </w:pPr>
    </w:p>
    <w:p>
      <w:pPr>
        <w:jc w:val="both"/>
        <w:ind w:left="1080" w:hanging="370"/>
        <w:spacing w:after="0" w:line="253" w:lineRule="auto"/>
        <w:tabs>
          <w:tab w:leader="none" w:pos="108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federal civil and criminal false claims laws, including the FCA, and civil monetary penalty laws, which prohibit any person or entity from, among other things, knowingly presenting, or causing to be presented, a false, fictitious or fraudulent claim for payment to, or approval by, the federal government or knowingly making, using or causing to be made or used a false record or statement, including providing inaccurate billing or coding information to customers or promoting a product off-label, material to a false or fraudulent claim to the federal government. As a result of a modification made by the Fraud Enforcement and Recovery Act of 2009, a claim includes “any request or demand” for money or property presented to the federal government. In addition, manufacturers can be held liable under the FCA even when they do not submit claims directly to government payors if they are deemed to “cause” the submission of false or fraudulent claims. The FCA also permits a private individual acting as a “whistleblower” to bring actions on behalf of the federal government alleging violations of the FCA and to share in any monetary recovery;</w:t>
      </w:r>
    </w:p>
    <w:p>
      <w:pPr>
        <w:spacing w:after="0" w:line="213" w:lineRule="exact"/>
        <w:rPr>
          <w:rFonts w:ascii="Times New Roman" w:cs="Times New Roman" w:eastAsia="Times New Roman" w:hAnsi="Times New Roman"/>
          <w:sz w:val="20"/>
          <w:szCs w:val="20"/>
          <w:color w:val="auto"/>
        </w:rPr>
      </w:pPr>
    </w:p>
    <w:p>
      <w:pPr>
        <w:jc w:val="both"/>
        <w:ind w:left="1080" w:hanging="370"/>
        <w:spacing w:after="0" w:line="255" w:lineRule="auto"/>
        <w:tabs>
          <w:tab w:leader="none" w:pos="108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federal Health Insurance Portability and Accountability Act of 1996 (“HIPAA”), which created federal criminal statutes that prohibit, among other things,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w:t>
      </w:r>
    </w:p>
    <w:p>
      <w:pPr>
        <w:sectPr>
          <w:pgSz w:w="12240" w:h="15840" w:orient="portrait"/>
          <w:cols w:equalWidth="0" w:num="1">
            <w:col w:w="9900"/>
          </w:cols>
          <w:pgMar w:left="1180" w:top="20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27</w:t>
      </w:r>
    </w:p>
    <w:p>
      <w:pPr>
        <w:sectPr>
          <w:pgSz w:w="12240" w:h="15840" w:orient="portrait"/>
          <w:cols w:equalWidth="0" w:num="1">
            <w:col w:w="9900"/>
          </w:cols>
          <w:pgMar w:left="1180" w:top="208" w:right="1160" w:bottom="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400" w:lineRule="exact"/>
        <w:rPr>
          <w:sz w:val="20"/>
          <w:szCs w:val="20"/>
          <w:color w:val="auto"/>
        </w:rPr>
      </w:pPr>
    </w:p>
    <w:p>
      <w:pPr>
        <w:ind w:left="1080" w:right="20"/>
        <w:spacing w:after="0" w:line="281" w:lineRule="auto"/>
        <w:rPr>
          <w:sz w:val="20"/>
          <w:szCs w:val="20"/>
          <w:color w:val="auto"/>
        </w:rPr>
      </w:pPr>
      <w:r>
        <w:rPr>
          <w:rFonts w:ascii="Times New Roman" w:cs="Times New Roman" w:eastAsia="Times New Roman" w:hAnsi="Times New Roman"/>
          <w:sz w:val="20"/>
          <w:szCs w:val="20"/>
          <w:color w:val="auto"/>
        </w:rPr>
        <w:t>relating to healthcare matters. Similar to the federal Anti-Kickback Statute, a person or entity can be found guilty of violating HIPAA without actual knowledge of the statute or specific intent to violate it;</w:t>
      </w:r>
    </w:p>
    <w:p>
      <w:pPr>
        <w:spacing w:after="0" w:line="181" w:lineRule="exact"/>
        <w:rPr>
          <w:sz w:val="20"/>
          <w:szCs w:val="20"/>
          <w:color w:val="auto"/>
        </w:rPr>
      </w:pPr>
    </w:p>
    <w:p>
      <w:pPr>
        <w:jc w:val="both"/>
        <w:ind w:left="1080" w:right="20" w:hanging="370"/>
        <w:spacing w:after="0" w:line="254" w:lineRule="auto"/>
        <w:tabs>
          <w:tab w:leader="none" w:pos="108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HIPAA, as amended by the Health Information Technology for Economic and Clinical Health Act of 2009 (“HITECH”), and their respective implementing regulations, which impose, among other things, specified requirements relating to the privacy, security and transmission of individually identifiable health information held by covered entities and their business associates as well as their covered subcontractors.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w:t>
      </w:r>
    </w:p>
    <w:p>
      <w:pPr>
        <w:spacing w:after="0" w:line="212" w:lineRule="exact"/>
        <w:rPr>
          <w:rFonts w:ascii="Times New Roman" w:cs="Times New Roman" w:eastAsia="Times New Roman" w:hAnsi="Times New Roman"/>
          <w:sz w:val="20"/>
          <w:szCs w:val="20"/>
          <w:color w:val="auto"/>
        </w:rPr>
      </w:pPr>
    </w:p>
    <w:p>
      <w:pPr>
        <w:jc w:val="both"/>
        <w:ind w:left="1080" w:right="20" w:hanging="370"/>
        <w:spacing w:after="0" w:line="255" w:lineRule="auto"/>
        <w:tabs>
          <w:tab w:leader="none" w:pos="108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federal legislation commonly referred to as the Physician Payments Sunshine Act, created under the ACA, and its implementing regulations, which requires certain manufacturers of drugs, devices, biologics and medical supplies for which payment is available under Medicare, Medicaid or the Children’s Health Insurance Program (with certain exceptions) to report annually to CMS information related to payments or other transfers of value made to physicians (defined to include doctors, dentists, optometrists, podiatrists and chiropractors), certain other licensed health care practitioners and teaching hospitals, as well as ownership and investment interests held by physicians and their immediate family members;</w:t>
      </w:r>
    </w:p>
    <w:p>
      <w:pPr>
        <w:spacing w:after="0" w:line="209" w:lineRule="exact"/>
        <w:rPr>
          <w:rFonts w:ascii="Times New Roman" w:cs="Times New Roman" w:eastAsia="Times New Roman" w:hAnsi="Times New Roman"/>
          <w:sz w:val="20"/>
          <w:szCs w:val="20"/>
          <w:color w:val="auto"/>
        </w:rPr>
      </w:pPr>
    </w:p>
    <w:p>
      <w:pPr>
        <w:ind w:left="1080" w:right="20" w:hanging="370"/>
        <w:spacing w:after="0" w:line="281" w:lineRule="auto"/>
        <w:tabs>
          <w:tab w:leader="none" w:pos="108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Federal government price reporting laws, which require us to calculate and report complex pricing metrics in an accurate and timely manner to government programs;</w:t>
      </w:r>
    </w:p>
    <w:p>
      <w:pPr>
        <w:spacing w:after="0" w:line="181" w:lineRule="exact"/>
        <w:rPr>
          <w:rFonts w:ascii="Times New Roman" w:cs="Times New Roman" w:eastAsia="Times New Roman" w:hAnsi="Times New Roman"/>
          <w:sz w:val="20"/>
          <w:szCs w:val="20"/>
          <w:color w:val="auto"/>
        </w:rPr>
      </w:pPr>
    </w:p>
    <w:p>
      <w:pPr>
        <w:ind w:left="1080" w:right="20" w:hanging="370"/>
        <w:spacing w:after="0" w:line="281" w:lineRule="auto"/>
        <w:tabs>
          <w:tab w:leader="none" w:pos="108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Federal consumer protection and unfair competition laws, which broadly regulate marketplace activities and activities that potentially harm consumers; and</w:t>
      </w:r>
    </w:p>
    <w:p>
      <w:pPr>
        <w:spacing w:after="0" w:line="181" w:lineRule="exact"/>
        <w:rPr>
          <w:rFonts w:ascii="Times New Roman" w:cs="Times New Roman" w:eastAsia="Times New Roman" w:hAnsi="Times New Roman"/>
          <w:sz w:val="20"/>
          <w:szCs w:val="20"/>
          <w:color w:val="auto"/>
        </w:rPr>
      </w:pPr>
    </w:p>
    <w:p>
      <w:pPr>
        <w:jc w:val="both"/>
        <w:ind w:left="1080" w:right="20" w:hanging="370"/>
        <w:spacing w:after="0" w:line="253" w:lineRule="auto"/>
        <w:tabs>
          <w:tab w:leader="none" w:pos="108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Analogous state laws and regulations, including: state anti-kickback and false claims laws, which may apply to our business practices, including, but not limited to, research, distribution, sales and marketing arrangements and claims involving healthcare items or services reimbursed by any third-party payor, including private insurers; state laws that require pharmaceutical companies to comply with the pharmaceutical industry’s voluntary compliance guidelines and the relevant compliance guidance promulgated by the U.S. federal government, or otherwise restrict payments that may be made to healthcare providers and other potential referral sources; state and local laws that require drug manufacturers to report information related to payments and other transfers of value to physicians and other healthcare providers or marketing expenditures; state laws that require the reporting of information related to drug pricing; state and local laws requiring the registration of pharmaceutical sales representatives; and state laws governing the privacy and security of health information in some circumstances, many of which differ from each other in significant ways and often are not preempted by HIPAA, thus complicating compliance efforts.</w:t>
      </w:r>
    </w:p>
    <w:p>
      <w:pPr>
        <w:spacing w:after="0" w:line="211" w:lineRule="exact"/>
        <w:rPr>
          <w:sz w:val="20"/>
          <w:szCs w:val="20"/>
          <w:color w:val="auto"/>
        </w:rPr>
      </w:pPr>
    </w:p>
    <w:p>
      <w:pPr>
        <w:jc w:val="both"/>
        <w:ind w:right="20" w:firstLine="720"/>
        <w:spacing w:after="0" w:line="256" w:lineRule="auto"/>
        <w:rPr>
          <w:sz w:val="20"/>
          <w:szCs w:val="20"/>
          <w:color w:val="auto"/>
        </w:rPr>
      </w:pPr>
      <w:r>
        <w:rPr>
          <w:rFonts w:ascii="Times New Roman" w:cs="Times New Roman" w:eastAsia="Times New Roman" w:hAnsi="Times New Roman"/>
          <w:sz w:val="20"/>
          <w:szCs w:val="20"/>
          <w:color w:val="auto"/>
        </w:rPr>
        <w:t>Pricing and rebate programs must comply with the Medicaid rebate requirements of the U.S. Omnibus Budget Reconciliation Act of 1990 and more recent requirements in the ACA. If products are made available to authorized users of the Federal Supply Schedule of the General Services Administration, additional laws and requirements apply. Products must meet applicable child-resistant packaging requirements under the U.S. Poison Prevention Packaging Act. Manufacturing, sales, promotion and other activities also are potentially subject to federal and state consumer protection and unfair competition laws.</w:t>
      </w:r>
    </w:p>
    <w:p>
      <w:pPr>
        <w:spacing w:after="0" w:line="208" w:lineRule="exact"/>
        <w:rPr>
          <w:sz w:val="20"/>
          <w:szCs w:val="20"/>
          <w:color w:val="auto"/>
        </w:rPr>
      </w:pPr>
    </w:p>
    <w:p>
      <w:pPr>
        <w:jc w:val="both"/>
        <w:ind w:right="20" w:firstLine="720"/>
        <w:spacing w:after="0" w:line="266" w:lineRule="auto"/>
        <w:rPr>
          <w:sz w:val="20"/>
          <w:szCs w:val="20"/>
          <w:color w:val="auto"/>
        </w:rPr>
      </w:pPr>
      <w:r>
        <w:rPr>
          <w:rFonts w:ascii="Times New Roman" w:cs="Times New Roman" w:eastAsia="Times New Roman" w:hAnsi="Times New Roman"/>
          <w:sz w:val="20"/>
          <w:szCs w:val="20"/>
          <w:color w:val="auto"/>
        </w:rPr>
        <w:t>The distribution of pharmaceutical products is subject to additional requirements and regulations, including extensive record-keeping, licensing, storage and security requirements intended to prevent the unauthorized sale of pharmaceutical products.</w:t>
      </w:r>
    </w:p>
    <w:p>
      <w:pPr>
        <w:spacing w:after="0" w:line="195"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The scope and enforcement of each of these laws is uncertain and subject to rapid change in the current environment of healthcare reform, especially in light of the lack of applicable precedent and regulations with respect to certain laws. Federal and state enforcement bodies have recently increased their scrutiny of interactions between healthcare companies and healthcare providers, which has led to a number of investigations, prosecutions, convictions and settlements in the healthcare industry. Prohibitions or restrictions on sales or withdrawal of future marketed products could materially affect our business in an adverse way. Changes in regulations, statutes or the interpretation of existing regulations could impact our business in the future by requiring, for example: (i) changes to our manufacturing arrangements; (ii) additions or modifications to product labeling; (iii) the recall or discontinuation of our products; or (iv) additional record-keeping</w:t>
      </w:r>
    </w:p>
    <w:p>
      <w:pPr>
        <w:sectPr>
          <w:pgSz w:w="12240" w:h="15840" w:orient="portrait"/>
          <w:cols w:equalWidth="0" w:num="1">
            <w:col w:w="9900"/>
          </w:cols>
          <w:pgMar w:left="1180" w:top="208" w:right="1160" w:bottom="0" w:gutter="0" w:footer="0" w:header="0"/>
        </w:sectPr>
      </w:pPr>
    </w:p>
    <w:p>
      <w:pPr>
        <w:spacing w:after="0" w:line="200" w:lineRule="exact"/>
        <w:rPr>
          <w:sz w:val="20"/>
          <w:szCs w:val="20"/>
          <w:color w:val="auto"/>
        </w:rPr>
      </w:pPr>
    </w:p>
    <w:p>
      <w:pPr>
        <w:spacing w:after="0" w:line="3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28</w:t>
      </w:r>
    </w:p>
    <w:p>
      <w:pPr>
        <w:sectPr>
          <w:pgSz w:w="12240" w:h="15840" w:orient="portrait"/>
          <w:cols w:equalWidth="0" w:num="1">
            <w:col w:w="9900"/>
          </w:cols>
          <w:pgMar w:left="1180" w:top="208" w:right="1160" w:bottom="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40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requirements. If any such changes were to be imposed, they could adversely affect the operation of our business. Ensuring our business arrangements comply with applicable healthcare laws, as well as responding to possible investigations by government authorities, can be time- and resource-consuming and can divert a company’s attention from the business.</w:t>
      </w:r>
    </w:p>
    <w:p>
      <w:pPr>
        <w:spacing w:after="0" w:line="195"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The failure to comply with any of these laws or regulatory requirements subjects companies to possible legal or regulatory action. Depending on the circumstances, failure to meet applicable regulatory requirements can result in significant penalties, including civil, criminal and administrative penalties, damages, fines, disgorgement, imprisonment, possible exclusion from participation in federal and state funded healthcare programs, contractual damages and the curtailment or restricting of our operations, as well as additional reporting obligations and oversight if we become subject to a corporate integrity agreement or other agreement to resolve allegations of non-compliance with these laws. Any action for violation of these laws, even if successfully defended, could cause a pharmaceutical company to incur significant legal expenses and divert management’s attention from the operation of the business.</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Health Reform</w:t>
      </w:r>
    </w:p>
    <w:p>
      <w:pPr>
        <w:spacing w:after="0" w:line="139" w:lineRule="exact"/>
        <w:rPr>
          <w:sz w:val="20"/>
          <w:szCs w:val="20"/>
          <w:color w:val="auto"/>
        </w:rPr>
      </w:pPr>
    </w:p>
    <w:p>
      <w:pPr>
        <w:jc w:val="both"/>
        <w:ind w:firstLine="720"/>
        <w:spacing w:after="0" w:line="253" w:lineRule="auto"/>
        <w:rPr>
          <w:sz w:val="20"/>
          <w:szCs w:val="20"/>
          <w:color w:val="auto"/>
        </w:rPr>
      </w:pPr>
      <w:r>
        <w:rPr>
          <w:rFonts w:ascii="Times New Roman" w:cs="Times New Roman" w:eastAsia="Times New Roman" w:hAnsi="Times New Roman"/>
          <w:sz w:val="20"/>
          <w:szCs w:val="20"/>
          <w:color w:val="auto"/>
        </w:rPr>
        <w:t>In the United States, there have been and continue to be a number of legislative initiatives to contain healthcare costs. For example, in 2010, the Patient Protection and Affordable Care Act, as amended by the Health Care and Education Reconciliation Act (the “ACA”) was passed, which substantially changed the way healthcare is financed by both governmental and private insurers and continues to significantly impact the U.S. pharmaceutical industry. The ACA, among other things, subjects biological products to potential competition by lower-cost biosimilars; increases the minimum Medicaid rebates owed by manufacturers under the Medicaid Drug Rebate Program; extends the rebate program to individuals enrolled in Medicaid managed care organizations; establishes annual fees and taxes on manufacturers of certain branded prescription drugs; and creates a Medicare Part D coverage gap discount program, in which manufacturers must agree to offer 70% point-of-sale discounts off negotiated prices of applicable brand drugs to eligible beneficiaries during their coverage gap period, as a condition to coverage under Medicare Part D for the manufacturer’s outpatient drugs.</w:t>
      </w:r>
    </w:p>
    <w:p>
      <w:pPr>
        <w:spacing w:after="0" w:line="21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Other legislative changes have been proposed and adopted in the United States since the ACA was enacted:</w:t>
      </w:r>
    </w:p>
    <w:p>
      <w:pPr>
        <w:spacing w:after="0" w:line="70" w:lineRule="exact"/>
        <w:rPr>
          <w:sz w:val="20"/>
          <w:szCs w:val="20"/>
          <w:color w:val="auto"/>
        </w:rPr>
      </w:pPr>
    </w:p>
    <w:p>
      <w:pPr>
        <w:jc w:val="both"/>
        <w:ind w:left="1080" w:right="20" w:hanging="370"/>
        <w:spacing w:after="0" w:line="258" w:lineRule="auto"/>
        <w:tabs>
          <w:tab w:leader="none" w:pos="108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Budget Control Act of 2011 and subsequent legislation, among other things, created measures for spending reductions by Congress that include aggregate reductions of Medicare payments to providers of 2% per fiscal year, which remain in effect through 2031. Due to the Statutory Pay-As-You-Go Act of 2010, estimated budget deficit increases resulting from the American Rescue Plan Act of 2021, and subsequent legislation, Medicare payments to providers were further reduced starting on January 1, 2025.</w:t>
      </w:r>
    </w:p>
    <w:p>
      <w:pPr>
        <w:spacing w:after="0" w:line="23" w:lineRule="exact"/>
        <w:rPr>
          <w:rFonts w:ascii="Times New Roman" w:cs="Times New Roman" w:eastAsia="Times New Roman" w:hAnsi="Times New Roman"/>
          <w:sz w:val="20"/>
          <w:szCs w:val="20"/>
          <w:color w:val="auto"/>
        </w:rPr>
      </w:pPr>
    </w:p>
    <w:p>
      <w:pPr>
        <w:jc w:val="both"/>
        <w:ind w:left="1080" w:hanging="370"/>
        <w:spacing w:after="0" w:line="256" w:lineRule="auto"/>
        <w:tabs>
          <w:tab w:leader="none" w:pos="108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March 11, 2021, President Biden signed the American Rescue Plan Act of 2021 into law, which eliminated the statutory Medicaid drug rebate cap, set at 100% of a drug’s average manufacturer price, for single source and innovator multiple source drugs, beginning January 1, 2024. These laws and regulations may result in additional reductions in Medicare and other healthcare funding and otherwise affect the prices we may obtain for any of our product candidates for which we may obtain regulatory approval or the frequency with which any such product candidate is prescribed or used.</w:t>
      </w:r>
    </w:p>
    <w:p>
      <w:pPr>
        <w:spacing w:after="0" w:line="28" w:lineRule="exact"/>
        <w:rPr>
          <w:rFonts w:ascii="Times New Roman" w:cs="Times New Roman" w:eastAsia="Times New Roman" w:hAnsi="Times New Roman"/>
          <w:sz w:val="20"/>
          <w:szCs w:val="20"/>
          <w:color w:val="auto"/>
        </w:rPr>
      </w:pPr>
    </w:p>
    <w:p>
      <w:pPr>
        <w:jc w:val="both"/>
        <w:ind w:left="1080" w:hanging="370"/>
        <w:spacing w:after="0" w:line="266" w:lineRule="auto"/>
        <w:tabs>
          <w:tab w:leader="none" w:pos="108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American Taxpayer Relief Act of 2012 further reduced Medicare payments to several types of providers and increased the statute of limitations period for the government to recover overpayments to providers from three to five years.</w:t>
      </w:r>
    </w:p>
    <w:p>
      <w:pPr>
        <w:spacing w:after="0" w:line="15" w:lineRule="exact"/>
        <w:rPr>
          <w:rFonts w:ascii="Times New Roman" w:cs="Times New Roman" w:eastAsia="Times New Roman" w:hAnsi="Times New Roman"/>
          <w:sz w:val="20"/>
          <w:szCs w:val="20"/>
          <w:color w:val="auto"/>
        </w:rPr>
      </w:pPr>
    </w:p>
    <w:p>
      <w:pPr>
        <w:jc w:val="both"/>
        <w:ind w:left="1080" w:right="20" w:hanging="370"/>
        <w:spacing w:after="0" w:line="266" w:lineRule="auto"/>
        <w:tabs>
          <w:tab w:leader="none" w:pos="108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April 13, 2017, CMS published a final rule that gives states greater flexibility in setting benchmarks for insurers in the individual and small group marketplaces, which may have the effect of relaxing the essential health benefits required under the ACA for plans sold through such marketplaces.</w:t>
      </w:r>
    </w:p>
    <w:p>
      <w:pPr>
        <w:spacing w:after="0" w:line="15" w:lineRule="exact"/>
        <w:rPr>
          <w:rFonts w:ascii="Times New Roman" w:cs="Times New Roman" w:eastAsia="Times New Roman" w:hAnsi="Times New Roman"/>
          <w:sz w:val="20"/>
          <w:szCs w:val="20"/>
          <w:color w:val="auto"/>
        </w:rPr>
      </w:pPr>
    </w:p>
    <w:p>
      <w:pPr>
        <w:jc w:val="both"/>
        <w:ind w:left="1080" w:right="20" w:hanging="370"/>
        <w:spacing w:after="0" w:line="256" w:lineRule="auto"/>
        <w:tabs>
          <w:tab w:leader="none" w:pos="108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May 30, 2018, the Right to Try Act, was signed into law. The law, among other things, provides a federal framework for certain patients to access certain investigational new drug products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pharmaceutical manufacturer to make its drug products available to eligible patients as a result of the Right to Try Act.</w:t>
      </w:r>
    </w:p>
    <w:p>
      <w:pPr>
        <w:spacing w:after="0" w:line="12" w:lineRule="exact"/>
        <w:rPr>
          <w:rFonts w:ascii="Times New Roman" w:cs="Times New Roman" w:eastAsia="Times New Roman" w:hAnsi="Times New Roman"/>
          <w:sz w:val="20"/>
          <w:szCs w:val="20"/>
          <w:color w:val="auto"/>
        </w:rPr>
      </w:pPr>
    </w:p>
    <w:p>
      <w:pPr>
        <w:ind w:left="1080" w:right="20" w:hanging="370"/>
        <w:spacing w:after="0" w:line="296" w:lineRule="auto"/>
        <w:tabs>
          <w:tab w:leader="none" w:pos="108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w:t>
      </w:r>
      <w:r>
        <w:rPr>
          <w:rFonts w:ascii="Arial" w:cs="Arial" w:eastAsia="Arial" w:hAnsi="Arial"/>
          <w:sz w:val="20"/>
          <w:szCs w:val="20"/>
          <w:b w:val="1"/>
          <w:bCs w:val="1"/>
          <w:color w:val="auto"/>
        </w:rPr>
        <w:t xml:space="preserve"> </w:t>
      </w:r>
      <w:r>
        <w:rPr>
          <w:rFonts w:ascii="Times New Roman" w:cs="Times New Roman" w:eastAsia="Times New Roman" w:hAnsi="Times New Roman"/>
          <w:sz w:val="20"/>
          <w:szCs w:val="20"/>
          <w:color w:val="auto"/>
        </w:rPr>
        <w:t xml:space="preserve"> May 23, 2019, CMS published a final rule to allow Medicare Advantage Plans the option of using step therapy for Part B drugs beginning January 1, 2020.</w:t>
      </w:r>
    </w:p>
    <w:p>
      <w:pPr>
        <w:spacing w:after="0" w:line="167" w:lineRule="exact"/>
        <w:rPr>
          <w:sz w:val="20"/>
          <w:szCs w:val="20"/>
          <w:color w:val="auto"/>
        </w:rPr>
      </w:pPr>
    </w:p>
    <w:p>
      <w:pPr>
        <w:jc w:val="both"/>
        <w:ind w:right="20" w:firstLine="720"/>
        <w:spacing w:after="0" w:line="266" w:lineRule="auto"/>
        <w:rPr>
          <w:sz w:val="20"/>
          <w:szCs w:val="20"/>
          <w:color w:val="auto"/>
        </w:rPr>
      </w:pPr>
      <w:r>
        <w:rPr>
          <w:rFonts w:ascii="Times New Roman" w:cs="Times New Roman" w:eastAsia="Times New Roman" w:hAnsi="Times New Roman"/>
          <w:sz w:val="20"/>
          <w:szCs w:val="20"/>
          <w:color w:val="auto"/>
        </w:rPr>
        <w:t>Moreover, payment methodologies may be subject to changes in healthcare legislation and regulatory initiatives which could limit the amounts that federal and state governments will pay for healthcare products and services and result in reduced demand for certain pharmaceutical products or additional pricing pressures.</w:t>
      </w:r>
    </w:p>
    <w:p>
      <w:pPr>
        <w:sectPr>
          <w:pgSz w:w="12240" w:h="15840" w:orient="portrait"/>
          <w:cols w:equalWidth="0" w:num="1">
            <w:col w:w="9900"/>
          </w:cols>
          <w:pgMar w:left="1180" w:top="20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29</w:t>
      </w:r>
    </w:p>
    <w:p>
      <w:pPr>
        <w:sectPr>
          <w:pgSz w:w="12240" w:h="15840" w:orient="portrait"/>
          <w:cols w:equalWidth="0" w:num="1">
            <w:col w:w="9900"/>
          </w:cols>
          <w:pgMar w:left="1180" w:top="208" w:right="1160" w:bottom="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400" w:lineRule="exact"/>
        <w:rPr>
          <w:sz w:val="20"/>
          <w:szCs w:val="20"/>
          <w:color w:val="auto"/>
        </w:rPr>
      </w:pPr>
    </w:p>
    <w:p>
      <w:pPr>
        <w:jc w:val="both"/>
        <w:ind w:right="20" w:firstLine="720"/>
        <w:spacing w:after="0" w:line="258" w:lineRule="auto"/>
        <w:rPr>
          <w:sz w:val="20"/>
          <w:szCs w:val="20"/>
          <w:color w:val="auto"/>
        </w:rPr>
      </w:pPr>
      <w:r>
        <w:rPr>
          <w:rFonts w:ascii="Times New Roman" w:cs="Times New Roman" w:eastAsia="Times New Roman" w:hAnsi="Times New Roman"/>
          <w:sz w:val="20"/>
          <w:szCs w:val="20"/>
          <w:color w:val="auto"/>
        </w:rPr>
        <w:t>Additionally, there has been increasing legislative and enforcement interest in the United States with respect to specialty drug pricing practices. Specifically, there have been several recent U.S. presidential executive orders, congressional inquiries and proposed and enacted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w:t>
      </w:r>
    </w:p>
    <w:p>
      <w:pPr>
        <w:spacing w:after="0" w:line="204" w:lineRule="exact"/>
        <w:rPr>
          <w:sz w:val="20"/>
          <w:szCs w:val="20"/>
          <w:color w:val="auto"/>
        </w:rPr>
      </w:pPr>
    </w:p>
    <w:p>
      <w:pPr>
        <w:jc w:val="both"/>
        <w:ind w:right="20" w:firstLine="720"/>
        <w:spacing w:after="0" w:line="256" w:lineRule="auto"/>
        <w:rPr>
          <w:sz w:val="20"/>
          <w:szCs w:val="20"/>
          <w:color w:val="auto"/>
        </w:rPr>
      </w:pPr>
      <w:r>
        <w:rPr>
          <w:rFonts w:ascii="Times New Roman" w:cs="Times New Roman" w:eastAsia="Times New Roman" w:hAnsi="Times New Roman"/>
          <w:sz w:val="20"/>
          <w:szCs w:val="20"/>
          <w:color w:val="auto"/>
        </w:rPr>
        <w:t>At a federal level, President Trump reversed some of President Biden’s executive orders including rescinding Executive Order 14087 entitled “Lowering Prescription Drug Costs for Americans.” President Trump may issue new executive orders designed to impact drug pricing, and/or rescind or modify the previous administration’s efforts to address drug costs. A number of these and other proposed measures may require authorization through additional legislation to become effective. Congress and the Trump administration have indicated that they will continue to seek new legislative measures to control drug costs.</w:t>
      </w:r>
    </w:p>
    <w:p>
      <w:pPr>
        <w:spacing w:after="0" w:line="208"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On April 15, 2025, the Trump administration published Executive Order 14273, “Lowering Drug Prices by Once Again Putting Americans First,” which generally directs the federal government to take measures to reduce drug prices, including eliminating the so-called “pill penalty” under the IRA that creates a distinction between small molecule and large molecule products for purposes of determining when a drug may be eligible for drug price negotiation. On May 12, 2025, the Trump administration published Executive Order 14297, “Delivering Most-Favored-Nation Prescription Drug Pricing to American Patients” which generally, among other things, directs the federal government to establish and communicate most-favored-nation (“MFN”) price targets to pharmaceutical manufacturers to bring prices for American patients in line with comparably developed nations. Further, the Executive Order directs the federal government to support regulatory paths to allow direct-to-patient sales for companies that meet these targets. It also states that the Administration will take additional aggressive action (for example, examining whether marketing approvals should be modified or rescinded or opening the door for individual drug importation waivers) should manufacturers fail to offer American consumers the MFN lowest price. It also directs the Secretary of Commerce and the U.S. Trade Representative to “take all necessary and appropriate action to ensure foreign countries are not engaged in any act, policy, or practice that may be unreasonable or discriminatory or that may impair United States national security, including by suppressing the price of pharmaceutical products below fair market value in foreign countries.” Notably, a similar MFN pricing rule enacted under the first Trump administration was subject to an injunction resulting from judicial challenges to the rule, which was formally rescinded by the former Biden Administration in August 2021.</w:t>
      </w:r>
    </w:p>
    <w:p>
      <w:pPr>
        <w:spacing w:after="0" w:line="215"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The Inflation Reduction Act of 2022 (“IRA”) includes several provisions that may impact our business to varying degrees, including provisions that reduce the out-of-pocket spending cap for Medicare Part D beneficiaries from $7,050 to $2,000 starting in 2025, thereby effectively eliminating the coverage gap; impose new manufacturer financial liability on certain drugs under Medicare Part D, allow the U.S. government to negotiate Medicare Part B and Part D price caps for certain high-cost drugs and biologics without generic or biosimilar competition; require companies to pay rebates to Medicare for certain drug prices that increase faster than inflation; and delay until January 1, 2032 the implementation of the HHS rebate rule that would have limited the fees that pharmacy benefit managers can charge. Further, under the IRA, orphan drugs are exempted from the Medicare drug price negotiation program, but only if they have one orphan designation and for which the only approved indication is for that disease or condition. Under the One Big Beautiful Bill Act of 2025, this restriction was eliminated; and effective for the 2028 initial price applicability year, all orphan drugs, regardless of the number of orphan drug designations or indications, are exempt from the Medicare drug price negotiation program. The implementation of the IRA is currently subject to ongoing litigation challenging the constitutionality of the IRA’s Medicare drug price negotiation program. Although the effects of the IRA on our business and the healthcare industry in general is not yet known we are taking into consideration the potential impact of the IRA on our development and commercialization activities.</w:t>
      </w:r>
    </w:p>
    <w:p>
      <w:pPr>
        <w:spacing w:after="0" w:line="218" w:lineRule="exact"/>
        <w:rPr>
          <w:sz w:val="20"/>
          <w:szCs w:val="20"/>
          <w:color w:val="auto"/>
        </w:rPr>
      </w:pPr>
    </w:p>
    <w:p>
      <w:pPr>
        <w:jc w:val="both"/>
        <w:ind w:firstLine="720"/>
        <w:spacing w:after="0" w:line="253" w:lineRule="auto"/>
        <w:rPr>
          <w:sz w:val="20"/>
          <w:szCs w:val="20"/>
          <w:color w:val="auto"/>
        </w:rPr>
      </w:pPr>
      <w:r>
        <w:rPr>
          <w:rFonts w:ascii="Times New Roman" w:cs="Times New Roman" w:eastAsia="Times New Roman" w:hAnsi="Times New Roman"/>
          <w:sz w:val="20"/>
          <w:szCs w:val="20"/>
          <w:color w:val="auto"/>
        </w:rPr>
        <w:t>On December 19, 2025, CMS released two proposed rules that would incorporate MFN pricing principles into federal reimbursement for prescription drugs. The first proposal, the Global Benchmark for Efficient Drug Pricing Model (“GLOBE”) for Medicare Part B, would require manufacturers of specified single source drugs and sole source biologics to pay incremental rebates based on international benchmark prices, with participation triggered for products meeting CMS’s spending and eligibility criteria. The second proposal, the Guarding U.S. Medicare Against Rising Drug Costs (“GUARD”) model for Medicare Part D, would similarly mandate manufacturer rebates for qualifying sole source drugs where the Medicare net price exceeds an MFN benchmark derived from international reference pricing methodologies. As proposed, GLOBE would begin a five year performance period on October 1, 2026 and GUARD would begin its performance period in 2027. These proposals will likely be subject to legal challenges that could delay their implementation or modify their impact on manufacturer pricing and revenue. Additionally, in November 2025, CMS introduced the GENErating cost Reductions fOr U.S. Medicaid (“GENEROUS”) Model, a voluntary MFN framework for manufacturers participating in the</w:t>
      </w:r>
    </w:p>
    <w:p>
      <w:pPr>
        <w:sectPr>
          <w:pgSz w:w="12240" w:h="15840" w:orient="portrait"/>
          <w:cols w:equalWidth="0" w:num="1">
            <w:col w:w="9900"/>
          </w:cols>
          <w:pgMar w:left="1180" w:top="208" w:right="1160" w:bottom="0" w:gutter="0" w:footer="0" w:header="0"/>
        </w:sectPr>
      </w:pPr>
    </w:p>
    <w:p>
      <w:pPr>
        <w:spacing w:after="0" w:line="200" w:lineRule="exact"/>
        <w:rPr>
          <w:sz w:val="20"/>
          <w:szCs w:val="20"/>
          <w:color w:val="auto"/>
        </w:rPr>
      </w:pPr>
    </w:p>
    <w:p>
      <w:pPr>
        <w:spacing w:after="0" w:line="34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30</w:t>
      </w:r>
    </w:p>
    <w:p>
      <w:pPr>
        <w:sectPr>
          <w:pgSz w:w="12240" w:h="15840" w:orient="portrait"/>
          <w:cols w:equalWidth="0" w:num="1">
            <w:col w:w="9900"/>
          </w:cols>
          <w:pgMar w:left="1180" w:top="208" w:right="1160" w:bottom="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400"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Medicaid Drug Rebate Program. Although it is voluntary, the GENEROUS Model could also impact the drug pricing landscape for manufacturers.</w:t>
      </w:r>
    </w:p>
    <w:p>
      <w:pPr>
        <w:spacing w:after="0" w:line="181" w:lineRule="exact"/>
        <w:rPr>
          <w:sz w:val="20"/>
          <w:szCs w:val="20"/>
          <w:color w:val="auto"/>
        </w:rPr>
      </w:pPr>
    </w:p>
    <w:p>
      <w:pPr>
        <w:jc w:val="both"/>
        <w:ind w:firstLine="720"/>
        <w:spacing w:after="0" w:line="253" w:lineRule="auto"/>
        <w:rPr>
          <w:sz w:val="20"/>
          <w:szCs w:val="20"/>
          <w:color w:val="auto"/>
        </w:rPr>
      </w:pPr>
      <w:r>
        <w:rPr>
          <w:rFonts w:ascii="Times New Roman" w:cs="Times New Roman" w:eastAsia="Times New Roman" w:hAnsi="Times New Roman"/>
          <w:sz w:val="20"/>
          <w:szCs w:val="20"/>
          <w:color w:val="auto"/>
        </w:rPr>
        <w:t>At the state level, legislatures have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Certain states are also pursuing cost containment efforts through Prescription Drug Affordability Boards (“PDABs”) and similar entities. While many PDABs have been granted authority to promote drug price transparency and reporting, some states have granted PDABs more expansive authority, including to set Upper Payment Limits (UPLs) on select, high price drugs. The adoption and implementation of UPLs may put downward pressure on drug prices and impact our company’s future revenues.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drugs or put pressure on our drug pricing, which could negatively affect our business, financial condition, results of operations and prospects.</w:t>
      </w:r>
    </w:p>
    <w:p>
      <w:pPr>
        <w:spacing w:after="0" w:line="211" w:lineRule="exact"/>
        <w:rPr>
          <w:sz w:val="20"/>
          <w:szCs w:val="20"/>
          <w:color w:val="auto"/>
        </w:rPr>
      </w:pPr>
    </w:p>
    <w:p>
      <w:pPr>
        <w:jc w:val="both"/>
        <w:ind w:right="20" w:firstLine="720"/>
        <w:spacing w:after="0" w:line="256" w:lineRule="auto"/>
        <w:rPr>
          <w:sz w:val="20"/>
          <w:szCs w:val="20"/>
          <w:color w:val="auto"/>
        </w:rPr>
      </w:pPr>
      <w:r>
        <w:rPr>
          <w:rFonts w:ascii="Times New Roman" w:cs="Times New Roman" w:eastAsia="Times New Roman" w:hAnsi="Times New Roman"/>
          <w:sz w:val="20"/>
          <w:szCs w:val="20"/>
          <w:color w:val="auto"/>
        </w:rPr>
        <w:t>Legally mandated price controls on payment amounts by third-party payors or other restrictions could harm our business, financial condition, results of operations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drugs or put pressure on our drug pricing, which could negatively affect our business, financial condition, results of operations and prospects.</w:t>
      </w: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Coverage and Reimbursement</w:t>
      </w:r>
    </w:p>
    <w:p>
      <w:pPr>
        <w:spacing w:after="0" w:line="139" w:lineRule="exact"/>
        <w:rPr>
          <w:sz w:val="20"/>
          <w:szCs w:val="20"/>
          <w:color w:val="auto"/>
        </w:rPr>
      </w:pPr>
    </w:p>
    <w:p>
      <w:pPr>
        <w:jc w:val="both"/>
        <w:ind w:right="20" w:firstLine="720"/>
        <w:spacing w:after="0" w:line="256" w:lineRule="auto"/>
        <w:rPr>
          <w:sz w:val="20"/>
          <w:szCs w:val="20"/>
          <w:color w:val="auto"/>
        </w:rPr>
      </w:pPr>
      <w:r>
        <w:rPr>
          <w:rFonts w:ascii="Times New Roman" w:cs="Times New Roman" w:eastAsia="Times New Roman" w:hAnsi="Times New Roman"/>
          <w:sz w:val="20"/>
          <w:szCs w:val="20"/>
          <w:color w:val="auto"/>
        </w:rPr>
        <w:t>Sales of our products, when and if approved, will depend, in part, on the extent to which our products will be covered by third-party payors, such as government health programs, commercial insurance and managed healthcare organizations. In the United States, no uniform policy of coverage and reimbursement for drug or biological products exists. Accordingly, decisions regarding the extent of coverage and amount of reimbursement to be provided for any of our products will be made on a payor-by-payor basis. Factors payors consider in determining reimbursement are based on whether the product is:</w:t>
      </w:r>
    </w:p>
    <w:p>
      <w:pPr>
        <w:spacing w:after="0" w:line="28" w:lineRule="exact"/>
        <w:rPr>
          <w:sz w:val="20"/>
          <w:szCs w:val="20"/>
          <w:color w:val="auto"/>
        </w:rPr>
      </w:pPr>
    </w:p>
    <w:p>
      <w:pPr>
        <w:ind w:left="1080" w:hanging="370"/>
        <w:spacing w:after="0"/>
        <w:tabs>
          <w:tab w:leader="none" w:pos="108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covered benefit under its health plan;</w:t>
      </w:r>
    </w:p>
    <w:p>
      <w:pPr>
        <w:spacing w:after="0" w:line="70" w:lineRule="exact"/>
        <w:rPr>
          <w:rFonts w:ascii="Times New Roman" w:cs="Times New Roman" w:eastAsia="Times New Roman" w:hAnsi="Times New Roman"/>
          <w:sz w:val="20"/>
          <w:szCs w:val="20"/>
          <w:color w:val="auto"/>
        </w:rPr>
      </w:pPr>
    </w:p>
    <w:p>
      <w:pPr>
        <w:ind w:left="1080" w:hanging="370"/>
        <w:spacing w:after="0"/>
        <w:tabs>
          <w:tab w:leader="none" w:pos="108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safe, effective and medically necessary;</w:t>
      </w:r>
    </w:p>
    <w:p>
      <w:pPr>
        <w:spacing w:after="0" w:line="70" w:lineRule="exact"/>
        <w:rPr>
          <w:rFonts w:ascii="Times New Roman" w:cs="Times New Roman" w:eastAsia="Times New Roman" w:hAnsi="Times New Roman"/>
          <w:sz w:val="20"/>
          <w:szCs w:val="20"/>
          <w:color w:val="auto"/>
        </w:rPr>
      </w:pPr>
    </w:p>
    <w:p>
      <w:pPr>
        <w:ind w:left="1080" w:hanging="370"/>
        <w:spacing w:after="0"/>
        <w:tabs>
          <w:tab w:leader="none" w:pos="108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appropriate for the specific patient;</w:t>
      </w:r>
    </w:p>
    <w:p>
      <w:pPr>
        <w:spacing w:after="0" w:line="70" w:lineRule="exact"/>
        <w:rPr>
          <w:rFonts w:ascii="Times New Roman" w:cs="Times New Roman" w:eastAsia="Times New Roman" w:hAnsi="Times New Roman"/>
          <w:sz w:val="20"/>
          <w:szCs w:val="20"/>
          <w:color w:val="auto"/>
        </w:rPr>
      </w:pPr>
    </w:p>
    <w:p>
      <w:pPr>
        <w:ind w:left="1080" w:hanging="370"/>
        <w:spacing w:after="0"/>
        <w:tabs>
          <w:tab w:leader="none" w:pos="108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cost-effective; and</w:t>
      </w:r>
    </w:p>
    <w:p>
      <w:pPr>
        <w:spacing w:after="0" w:line="70" w:lineRule="exact"/>
        <w:rPr>
          <w:rFonts w:ascii="Times New Roman" w:cs="Times New Roman" w:eastAsia="Times New Roman" w:hAnsi="Times New Roman"/>
          <w:sz w:val="20"/>
          <w:szCs w:val="20"/>
          <w:color w:val="auto"/>
        </w:rPr>
      </w:pPr>
    </w:p>
    <w:p>
      <w:pPr>
        <w:ind w:left="1080" w:hanging="370"/>
        <w:spacing w:after="0"/>
        <w:tabs>
          <w:tab w:leader="none" w:pos="108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experimental nor investigational.</w:t>
      </w:r>
    </w:p>
    <w:p>
      <w:pPr>
        <w:spacing w:after="0" w:line="250" w:lineRule="exact"/>
        <w:rPr>
          <w:sz w:val="20"/>
          <w:szCs w:val="20"/>
          <w:color w:val="auto"/>
        </w:rPr>
      </w:pPr>
    </w:p>
    <w:p>
      <w:pPr>
        <w:jc w:val="both"/>
        <w:ind w:right="20" w:firstLine="720"/>
        <w:spacing w:after="0" w:line="253" w:lineRule="auto"/>
        <w:rPr>
          <w:sz w:val="20"/>
          <w:szCs w:val="20"/>
          <w:color w:val="auto"/>
        </w:rPr>
      </w:pPr>
      <w:r>
        <w:rPr>
          <w:rFonts w:ascii="Times New Roman" w:cs="Times New Roman" w:eastAsia="Times New Roman" w:hAnsi="Times New Roman"/>
          <w:sz w:val="20"/>
          <w:szCs w:val="20"/>
          <w:color w:val="auto"/>
        </w:rPr>
        <w:t>In the United States, for example, principal decisions about reimbursement for new products are typically made by CMS, which decides whether and to what extent a new product will be covered and reimbursed under Medicare. Private third-party payors often follow CMS’s decisions regarding coverage and reimbursement to a substantial degree. However, one third-party payor’s determination to provide coverage for a product candidate does not assure that other payors will also provide coverage for the product candidate. Further, no uniform policy for coverage and reimbursement exists in the United States, and coverage and reimbursement can differ significantly from payor to payor. As a result, coverage determination is often a time-consuming and costly process that will require us to provide scientific and clinical support for the use of our products to each payor separately, with no assurance that coverage and adequate reimbursement will be obtained. Further, coverage policies and third-party payor reimbursement rates may change at any time. Even if favorable coverage and reimbursement status is attained, less favorable coverage policies and reimbursement rates may be implemented in the future.</w:t>
      </w:r>
    </w:p>
    <w:p>
      <w:pPr>
        <w:spacing w:after="0" w:line="213" w:lineRule="exact"/>
        <w:rPr>
          <w:sz w:val="20"/>
          <w:szCs w:val="20"/>
          <w:color w:val="auto"/>
        </w:rPr>
      </w:pPr>
    </w:p>
    <w:p>
      <w:pPr>
        <w:jc w:val="both"/>
        <w:ind w:right="20" w:firstLine="720"/>
        <w:spacing w:after="0" w:line="254" w:lineRule="auto"/>
        <w:rPr>
          <w:sz w:val="20"/>
          <w:szCs w:val="20"/>
          <w:color w:val="auto"/>
        </w:rPr>
      </w:pPr>
      <w:r>
        <w:rPr>
          <w:rFonts w:ascii="Times New Roman" w:cs="Times New Roman" w:eastAsia="Times New Roman" w:hAnsi="Times New Roman"/>
          <w:sz w:val="20"/>
          <w:szCs w:val="20"/>
          <w:color w:val="auto"/>
        </w:rPr>
        <w:t>The U.S. government, state legislatures and foreign governments have shown significant interest in implementing cost containment programs to limit the growth of government-paid health care costs, including price-controls, restrictions on reimbursement and requirements for substitution of biosimilars for branded prescription drugs. For example, the ACA contains provisions that may reduce the profitability of drug products through increased rebates for drugs reimbursed by Medicaid programs, extension of Medicaid rebates to Medicaid managed care plans, mandatory discounts for certain Medicare Part D beneficiaries and annual fees based on pharmaceutical companies’ share of sales to federal healthcare programs. Adoption of general controls and measures, coupled with the tightening of restrictive policies in jurisdictions with existing controls and measures, could limit payments for pharmaceutical drugs.</w:t>
      </w:r>
    </w:p>
    <w:p>
      <w:pPr>
        <w:sectPr>
          <w:pgSz w:w="12240" w:h="15840" w:orient="portrait"/>
          <w:cols w:equalWidth="0" w:num="1">
            <w:col w:w="9900"/>
          </w:cols>
          <w:pgMar w:left="1180" w:top="208" w:right="1160" w:bottom="0" w:gutter="0" w:footer="0" w:header="0"/>
        </w:sectPr>
      </w:pPr>
    </w:p>
    <w:p>
      <w:pPr>
        <w:spacing w:after="0" w:line="200" w:lineRule="exact"/>
        <w:rPr>
          <w:sz w:val="20"/>
          <w:szCs w:val="20"/>
          <w:color w:val="auto"/>
        </w:rPr>
      </w:pPr>
    </w:p>
    <w:p>
      <w:pPr>
        <w:spacing w:after="0" w:line="28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31</w:t>
      </w:r>
    </w:p>
    <w:p>
      <w:pPr>
        <w:sectPr>
          <w:pgSz w:w="12240" w:h="15840" w:orient="portrait"/>
          <w:cols w:equalWidth="0" w:num="1">
            <w:col w:w="9900"/>
          </w:cols>
          <w:pgMar w:left="1180" w:top="208" w:right="1160" w:bottom="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400" w:lineRule="exact"/>
        <w:rPr>
          <w:sz w:val="20"/>
          <w:szCs w:val="20"/>
          <w:color w:val="auto"/>
        </w:rPr>
      </w:pPr>
    </w:p>
    <w:p>
      <w:pPr>
        <w:jc w:val="both"/>
        <w:ind w:right="20" w:firstLine="720"/>
        <w:spacing w:after="0" w:line="253" w:lineRule="auto"/>
        <w:rPr>
          <w:sz w:val="20"/>
          <w:szCs w:val="20"/>
          <w:color w:val="auto"/>
        </w:rPr>
      </w:pPr>
      <w:r>
        <w:rPr>
          <w:rFonts w:ascii="Times New Roman" w:cs="Times New Roman" w:eastAsia="Times New Roman" w:hAnsi="Times New Roman"/>
          <w:sz w:val="20"/>
          <w:szCs w:val="20"/>
          <w:color w:val="auto"/>
        </w:rPr>
        <w:t>The Medicaid Drug Rebate Program requires pharmaceutical manufacturers to enter into and have in effect a national rebate agreement with the Secretary of the Department of Health and Human Services as a condition for states to receive federal matching funds for the manufacturer’s outpatient drugs furnished to Medicaid patients. The ACA made several changes to the Medicaid Drug Rebate Program, including increasing pharmaceutical manufacturers’ rebate liability by raising the minimum basic Medicaid rebate on most branded prescription drugs from 15.1% of average manufacturer price (“AMP”), to 23.1% of AMP and adding a new rebate calculation for “line extensions” (i.e., new formulations, such as extended release formulations) of solid oral dosage forms of branded products, as well as potentially impacting their rebate liability by modifying the statutory definition of AMP. The ACA also expanded the universe of Medicaid utilization subject to drug rebates by requiring pharmaceutical manufacturers to pay rebates on Medicaid managed care utilization and by enlarging the population potentially eligible for Medicaid drug benefits.</w:t>
      </w:r>
    </w:p>
    <w:p>
      <w:pPr>
        <w:spacing w:after="0" w:line="216"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The Medicare Prescription Drug, Improvement, and Modernization Act of 2003 (“MMA”), established the Medicare Part D program to provide a voluntary prescription drug benefit to Medicare beneficiaries. Under Part D, Medicare beneficiaries may enroll in prescription drug plans offered by private entities that provide coverage of outpatient prescription drugs. Unlike Medicare Part A and B, Part D coverage is not standardized. While all Medicare drug plans must give at least a standard level of coverage set by Medicare, Part D prescription drug plan sponsors are not required to pay for all covered Part D drugs, and each drug plan can develop its own drug formulary that identifies which drugs it will cover and at what tier or level. However, Part D prescription drug formularies must include drugs within each therapeutic category and class of covered Part D drugs, though not necessarily all the drugs in each category or class. Any formulary used by a Part D prescription drug plan must be developed and reviewed by a pharmacy and therapeutic committee. Government payment for some of the costs of prescription drugs may increase demand for products for which we receive marketing approval. However, any negotiated prices for our products covered by a Part D prescription drug plan likely will be lower than the prices we might otherwise obtain. Moreover, while the MMA applies only to drug benefits for Medicare beneficiaries, private payors often follow Medicare coverage policy and payment limitations in setting their own payment rates. Any reduction in payment that results from the MMA may result in a similar reduction in payments from non-governmental payors.</w:t>
      </w:r>
    </w:p>
    <w:p>
      <w:pPr>
        <w:spacing w:after="0" w:line="218" w:lineRule="exact"/>
        <w:rPr>
          <w:sz w:val="20"/>
          <w:szCs w:val="20"/>
          <w:color w:val="auto"/>
        </w:rPr>
      </w:pPr>
    </w:p>
    <w:p>
      <w:pPr>
        <w:jc w:val="both"/>
        <w:ind w:right="20" w:firstLine="720"/>
        <w:spacing w:after="0" w:line="254" w:lineRule="auto"/>
        <w:rPr>
          <w:sz w:val="20"/>
          <w:szCs w:val="20"/>
          <w:color w:val="auto"/>
        </w:rPr>
      </w:pPr>
      <w:r>
        <w:rPr>
          <w:rFonts w:ascii="Times New Roman" w:cs="Times New Roman" w:eastAsia="Times New Roman" w:hAnsi="Times New Roman"/>
          <w:sz w:val="20"/>
          <w:szCs w:val="20"/>
          <w:color w:val="auto"/>
        </w:rPr>
        <w:t>For a drug product to receive federal reimbursement under the Medicaid or Medicare Part B programs or to be sold directly to U.S. government agencies, the manufacturer must extend discounts to entities eligible to participate in the 340B drug pricing program. The required 340B discount on a given product is calculated based on the AMP and Medicaid rebate amounts reported by the manufacturer. As of 2010, the ACA expanded the types of entities eligible to receive discounted 340B pricing, although, under the current state of the law, with the exception of children’s hospitals, these newly eligible entities will not be eligible to receive discounted 340B pricing on orphan drugs. In addition, as 340B drug pricing is determined based on AMP and Medicaid rebate data, the revisions to the Medicaid rebate formula and AMP definition described above could cause the required 340B discount to increase.</w:t>
      </w:r>
    </w:p>
    <w:p>
      <w:pPr>
        <w:spacing w:after="0" w:line="213" w:lineRule="exact"/>
        <w:rPr>
          <w:sz w:val="20"/>
          <w:szCs w:val="20"/>
          <w:color w:val="auto"/>
        </w:rPr>
      </w:pPr>
    </w:p>
    <w:p>
      <w:pPr>
        <w:jc w:val="both"/>
        <w:ind w:firstLine="720"/>
        <w:spacing w:after="0" w:line="253" w:lineRule="auto"/>
        <w:rPr>
          <w:sz w:val="20"/>
          <w:szCs w:val="20"/>
          <w:color w:val="auto"/>
        </w:rPr>
      </w:pPr>
      <w:r>
        <w:rPr>
          <w:rFonts w:ascii="Times New Roman" w:cs="Times New Roman" w:eastAsia="Times New Roman" w:hAnsi="Times New Roman"/>
          <w:sz w:val="20"/>
          <w:szCs w:val="20"/>
          <w:color w:val="auto"/>
        </w:rPr>
        <w:t>As noted above, the marketability of any products for which we receive regulatory approval for commercial sale may suffer if the government and third-party payors fail to provide coverage and reimbursement. Obtaining coverage and reimbursement for newly approved drugs and biologics is a time-consuming and costly process, and coverage may be more limited than the purposes for which a drug is approved by the FDA or comparable foreign regulatory authorities. Assuming coverage is obtained for a given product by a third-party payor, the resulting reimbursement payment rates may not be adequate or may require co-payments that patients find unacceptably high. Additionally, coverage policies and third-party reimbursement rates may change at any time. Patients who are prescribed medications for the treatment of their conditions, and their prescribing physicians, generally rely on third-party payors to reimburse all or part of the costs associated with their prescription drugs. Patients are unlikely to use products unless coverage is provided and reimbursement is adequate to cover all or a significant portion of the cost of prescribed products.</w:t>
      </w:r>
    </w:p>
    <w:p>
      <w:pPr>
        <w:spacing w:after="0" w:line="216" w:lineRule="exact"/>
        <w:rPr>
          <w:sz w:val="20"/>
          <w:szCs w:val="20"/>
          <w:color w:val="auto"/>
        </w:rPr>
      </w:pPr>
    </w:p>
    <w:p>
      <w:pPr>
        <w:jc w:val="both"/>
        <w:ind w:right="20" w:firstLine="720"/>
        <w:spacing w:after="0" w:line="254" w:lineRule="auto"/>
        <w:rPr>
          <w:sz w:val="20"/>
          <w:szCs w:val="20"/>
          <w:color w:val="auto"/>
        </w:rPr>
      </w:pPr>
      <w:r>
        <w:rPr>
          <w:rFonts w:ascii="Times New Roman" w:cs="Times New Roman" w:eastAsia="Times New Roman" w:hAnsi="Times New Roman"/>
          <w:sz w:val="20"/>
          <w:szCs w:val="20"/>
          <w:color w:val="auto"/>
        </w:rPr>
        <w:t>In addition, in most foreign countries, the proposed pricing for a drug must be approved before it may be lawfully marketed. The requirements governing drug pricing and reimbursement vary widely from country to country. For example, the EU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There can be no assurance that any country that has price controls or reimbursement limitations for pharmaceutical products will allow favorable reimbursement and pricing arrangements for any of our products. Historically, products launched in the EU do not follow price structures of the United States and generally prices tend to be significantly lower.</w:t>
      </w:r>
    </w:p>
    <w:p>
      <w:pPr>
        <w:sectPr>
          <w:pgSz w:w="12240" w:h="15840" w:orient="portrait"/>
          <w:cols w:equalWidth="0" w:num="1">
            <w:col w:w="9900"/>
          </w:cols>
          <w:pgMar w:left="1180" w:top="20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32</w:t>
      </w:r>
    </w:p>
    <w:p>
      <w:pPr>
        <w:sectPr>
          <w:pgSz w:w="12240" w:h="15840" w:orient="portrait"/>
          <w:cols w:equalWidth="0" w:num="1">
            <w:col w:w="9900"/>
          </w:cols>
          <w:pgMar w:left="1180" w:top="208" w:right="1160" w:bottom="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European Drug Development</w:t>
      </w:r>
    </w:p>
    <w:p>
      <w:pPr>
        <w:spacing w:after="0" w:line="139" w:lineRule="exact"/>
        <w:rPr>
          <w:sz w:val="20"/>
          <w:szCs w:val="20"/>
          <w:color w:val="auto"/>
        </w:rPr>
      </w:pPr>
    </w:p>
    <w:p>
      <w:pPr>
        <w:jc w:val="both"/>
        <w:ind w:right="20" w:firstLine="720"/>
        <w:spacing w:after="0" w:line="266" w:lineRule="auto"/>
        <w:rPr>
          <w:sz w:val="20"/>
          <w:szCs w:val="20"/>
          <w:color w:val="auto"/>
        </w:rPr>
      </w:pPr>
      <w:r>
        <w:rPr>
          <w:rFonts w:ascii="Times New Roman" w:cs="Times New Roman" w:eastAsia="Times New Roman" w:hAnsi="Times New Roman"/>
          <w:sz w:val="20"/>
          <w:szCs w:val="20"/>
          <w:color w:val="auto"/>
        </w:rPr>
        <w:t>In the EU, our future products also may be subject to extensive regulatory requirements. As in the United States, medicinal products can be marketed only if a marketing authorization from the competent regulatory agencies has been obtained.</w:t>
      </w:r>
    </w:p>
    <w:p>
      <w:pPr>
        <w:spacing w:after="0" w:line="195" w:lineRule="exact"/>
        <w:rPr>
          <w:sz w:val="20"/>
          <w:szCs w:val="20"/>
          <w:color w:val="auto"/>
        </w:rPr>
      </w:pPr>
    </w:p>
    <w:p>
      <w:pPr>
        <w:jc w:val="both"/>
        <w:ind w:right="20" w:firstLine="720"/>
        <w:spacing w:after="0" w:line="252" w:lineRule="auto"/>
        <w:rPr>
          <w:sz w:val="20"/>
          <w:szCs w:val="20"/>
          <w:color w:val="auto"/>
        </w:rPr>
      </w:pPr>
      <w:r>
        <w:rPr>
          <w:rFonts w:ascii="Times New Roman" w:cs="Times New Roman" w:eastAsia="Times New Roman" w:hAnsi="Times New Roman"/>
          <w:sz w:val="20"/>
          <w:szCs w:val="20"/>
          <w:color w:val="auto"/>
        </w:rPr>
        <w:t>Similar to the United States, the various phases of preclinical and clinical research in the EU are subject to significant regulatory controls. In April 2014, the EU adopted the Clinical Trials Regulation (EU) No 536/2014, which replaced the Clinical Trials Directive 2001/20/EC on January 31, 2022. The transitory provisions of the Regulation provide that, by January 31, 2025, all ongoing clinical trials must have transitioned to the Regulation. The Regulation is directly applicable in all Member States (and so does not require national implementing legislation in each Member State) and aims at simplifying and streamlining the approval of clinical studies in the EU. The main characteristics of the Regulation include: a streamlined application procedure via a single-entry point through the Clinical Trials Information System, or CTIS; a single set of documents to be prepared and submitted for the application as well as simplified reporting procedures for clinical trial sponsors; and a harmonized procedure for the assessment of applications for clinical trials, which is divided in two parts (Part I contains scientific and medicinal product documentation and Part II contains the national and patient-level documentation). Part I is assessed by a coordinated review by the competent authorities of all EU Member States in which an application for authorization of a clinical trial has been submitted (“Member States concerned”) of a draft report prepared by a Reference Member State. Part II is assessed separately by each Member State concerned. Strict deadlines have also been established for the assessment of clinical trial applications.</w:t>
      </w:r>
    </w:p>
    <w:p>
      <w:pPr>
        <w:spacing w:after="0" w:line="219" w:lineRule="exact"/>
        <w:rPr>
          <w:sz w:val="20"/>
          <w:szCs w:val="20"/>
          <w:color w:val="auto"/>
        </w:rPr>
      </w:pPr>
    </w:p>
    <w:p>
      <w:pPr>
        <w:jc w:val="both"/>
        <w:ind w:right="20" w:firstLine="720"/>
        <w:spacing w:after="0" w:line="266" w:lineRule="auto"/>
        <w:rPr>
          <w:sz w:val="20"/>
          <w:szCs w:val="20"/>
          <w:color w:val="auto"/>
        </w:rPr>
      </w:pPr>
      <w:r>
        <w:rPr>
          <w:rFonts w:ascii="Times New Roman" w:cs="Times New Roman" w:eastAsia="Times New Roman" w:hAnsi="Times New Roman"/>
          <w:sz w:val="20"/>
          <w:szCs w:val="20"/>
          <w:color w:val="auto"/>
        </w:rPr>
        <w:t>We plan to apply for renewal of SME status with the EMA as a small and medium-sized enterprise (“SME”). If we obtain renewal of our SME status with the EMA, it will provide access to administrative, regulatory and financial support, including fee reductions for scientific advice and regulatory procedures.</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European Union Drug Review and Approval</w:t>
      </w:r>
    </w:p>
    <w:p>
      <w:pPr>
        <w:spacing w:after="0" w:line="13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In the EU, medicinal products can only be commercialized after obtaining a marketing authorization (“MA”).</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There are two main types of MAs:</w:t>
      </w:r>
    </w:p>
    <w:p>
      <w:pPr>
        <w:spacing w:after="0" w:line="110" w:lineRule="exact"/>
        <w:rPr>
          <w:sz w:val="20"/>
          <w:szCs w:val="20"/>
          <w:color w:val="auto"/>
        </w:rPr>
      </w:pPr>
    </w:p>
    <w:p>
      <w:pPr>
        <w:jc w:val="both"/>
        <w:ind w:left="1080" w:hanging="370"/>
        <w:spacing w:after="0" w:line="251" w:lineRule="auto"/>
        <w:tabs>
          <w:tab w:leader="none" w:pos="108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centralized MA is issued by the European Commission through the centralized procedure, based on the opinion of the Committee for Medicinal Products for Human Use (“CHMP”), of the EMA, and is valid throughout the entire territory of EU and the additional countries of the European Economic Area (Iceland, Liechtenstein and Norway) (“EEA”). The centralized procedure is mandatory for certain types of products, such as products produced by biotechnological processes, orphan medicinal products, advanced-therapy medicinal products (gene-therapy, somatic cell-therapy or tissue-engineered medicines) and medicinal products containing a new active substance indicated for the treatment of HIV, AIDS, cancer, neurodegenerative disorders, diabetes, auto-immune and other immune dysfunctions and viral diseases. The centralized procedure is optional for products containing a new active substance not yet authorized in the EU, or for products that constitute a significant therapeutic, scientific or technical innovation or which are in the interest of public health in the EU. Under the centralized procedure the maximum timeframe for the evaluation of an MA application by the EMA is 210 days, excluding clock stops, when additional written or oral information is to be provided by the applicant in response to questions asked by the CHMP. Clock stops may extend the timeframe of evaluation of an MA application considerably beyond 210 days. Where the CHMP gives a positive opinion, the EMA provides the opinion together with supporting documentation to the European Commission, who makes the final decision to grant an MA, which is issued within 67 days of receipt of the EMA’s recommendation. Accelerated assessment might be granted by the CHMP in exceptional cases, when a medicinal product is expected to be of a major public health interest, particularly from the point of view of therapeutic innovation. The timeframe for the evaluation of an MA application under the accelerated assessment procedure is 150 days, excluding stop-clocks, but it is possible that the CHMP may revert to the standard time limit for the centralized procedure if it determines that the application is no longer appropriate to conduct an accelerated assessment.</w:t>
      </w:r>
    </w:p>
    <w:p>
      <w:pPr>
        <w:spacing w:after="0" w:line="228" w:lineRule="exact"/>
        <w:rPr>
          <w:rFonts w:ascii="Times New Roman" w:cs="Times New Roman" w:eastAsia="Times New Roman" w:hAnsi="Times New Roman"/>
          <w:sz w:val="20"/>
          <w:szCs w:val="20"/>
          <w:color w:val="auto"/>
        </w:rPr>
      </w:pPr>
    </w:p>
    <w:p>
      <w:pPr>
        <w:jc w:val="both"/>
        <w:ind w:left="1080" w:right="20" w:hanging="370"/>
        <w:spacing w:after="0" w:line="256" w:lineRule="auto"/>
        <w:tabs>
          <w:tab w:leader="none" w:pos="108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National MAs, which are issued by the competent authorities of the Member States of the EU and only cover their respective territory, are available for products not falling within the mandatory scope of the centralized procedure. Where a product has already been authorized for marketing in a Member State of the EU, this national MA can be recognized in other Member States through the mutual recognition procedure. If the product has not received a national MA in any Member State at the time of application, it can be approved simultaneously in various Member States through the decentralized procedure. Under the decentralized</w:t>
      </w:r>
    </w:p>
    <w:p>
      <w:pPr>
        <w:sectPr>
          <w:pgSz w:w="12240" w:h="15840" w:orient="portrait"/>
          <w:cols w:equalWidth="0" w:num="1">
            <w:col w:w="9900"/>
          </w:cols>
          <w:pgMar w:left="1180" w:top="208" w:right="1160" w:bottom="0" w:gutter="0" w:footer="0" w:header="0"/>
        </w:sectPr>
      </w:pPr>
    </w:p>
    <w:p>
      <w:pPr>
        <w:spacing w:after="0" w:line="200" w:lineRule="exact"/>
        <w:rPr>
          <w:sz w:val="20"/>
          <w:szCs w:val="20"/>
          <w:color w:val="auto"/>
        </w:rPr>
      </w:pPr>
    </w:p>
    <w:p>
      <w:pPr>
        <w:spacing w:after="0" w:line="3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33</w:t>
      </w:r>
    </w:p>
    <w:p>
      <w:pPr>
        <w:sectPr>
          <w:pgSz w:w="12240" w:h="15840" w:orient="portrait"/>
          <w:cols w:equalWidth="0" w:num="1">
            <w:col w:w="9900"/>
          </w:cols>
          <w:pgMar w:left="1180" w:top="208" w:right="1160" w:bottom="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400" w:lineRule="exact"/>
        <w:rPr>
          <w:sz w:val="20"/>
          <w:szCs w:val="20"/>
          <w:color w:val="auto"/>
        </w:rPr>
      </w:pPr>
    </w:p>
    <w:p>
      <w:pPr>
        <w:jc w:val="both"/>
        <w:ind w:left="1080" w:right="20"/>
        <w:spacing w:after="0" w:line="254" w:lineRule="auto"/>
        <w:rPr>
          <w:sz w:val="20"/>
          <w:szCs w:val="20"/>
          <w:color w:val="auto"/>
        </w:rPr>
      </w:pPr>
      <w:r>
        <w:rPr>
          <w:rFonts w:ascii="Times New Roman" w:cs="Times New Roman" w:eastAsia="Times New Roman" w:hAnsi="Times New Roman"/>
          <w:sz w:val="20"/>
          <w:szCs w:val="20"/>
          <w:color w:val="auto"/>
        </w:rPr>
        <w:t>procedure an identical dossier is submitted to the competent authorities of each of the Member States in which the MA is sought, one of which is selected by the applicant as the Reference Member State (“RMS”). The competent authority of the RMS prepares a draft assessment report, a draft summary of the product characteristics, or SmPC, and a draft of the labeling and package leaflet, which are sent to the other Member States (referred to as the Concerned Member States) for their approval. If the Concerned Member States raise no objections, on the basis of a potential serious risk to public health, to the assessment, SmPC, labeling, or package leaflet proposed by the RMS, the product is subsequently granted a national MA in all the Member States (i.e., in the RMS and the Concerned Member States).</w:t>
      </w:r>
    </w:p>
    <w:p>
      <w:pPr>
        <w:spacing w:after="0" w:line="213" w:lineRule="exact"/>
        <w:rPr>
          <w:sz w:val="20"/>
          <w:szCs w:val="20"/>
          <w:color w:val="auto"/>
        </w:rPr>
      </w:pPr>
    </w:p>
    <w:p>
      <w:pPr>
        <w:jc w:val="both"/>
        <w:ind w:right="20" w:firstLine="720"/>
        <w:spacing w:after="0" w:line="266" w:lineRule="auto"/>
        <w:rPr>
          <w:sz w:val="20"/>
          <w:szCs w:val="20"/>
          <w:color w:val="auto"/>
        </w:rPr>
      </w:pPr>
      <w:r>
        <w:rPr>
          <w:rFonts w:ascii="Times New Roman" w:cs="Times New Roman" w:eastAsia="Times New Roman" w:hAnsi="Times New Roman"/>
          <w:sz w:val="20"/>
          <w:szCs w:val="20"/>
          <w:color w:val="auto"/>
        </w:rPr>
        <w:t>Under the above-described procedures, before granting the MA, the EMA or the competent authorities of the Member States of the EU make an assessment of the risk-benefit balance of the product on the basis of scientific criteria concerning its quality, safety and efficacy.</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European Union Data and Market Exclusivity</w:t>
      </w:r>
    </w:p>
    <w:p>
      <w:pPr>
        <w:spacing w:after="0" w:line="139"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In the EU, innovative medicinal products (including both small molecules and biological medicinal products), sometimes referred to as new active substances, approved on the basis of a complete and independent data package, generally qualify for eight years of data exclusivity upon grant of an MA and an additional two years of market exclusivity. The data exclusivity, if granted, prevents generic or biosimilar applicants from referencing the innovator’s preclinical and clinical trial data contained in the dossier of the reference product when applying for a generic or biosimilar MA in the EU, for a period of eight years from the date on which the reference product was first authorized in the EU. During the additional two-year period of market exclusivity, a generic or biosimilar MA can be submitted, and the innovator’s data may be referenced, but no generic or biosimilar product can be marketed in the EU until the expiration of the market exclusivity period. The overall ten-year period will be extended to a maximum of eleven years if, during the first eight years of those ten years, the MA holder obtains an MA for one or more new therapeutic indications which, during the scientific evaluation prior to their authorization, are determined to bring a significant clinical benefit in comparison with currently approved therapies. There is no guarantee that a product will be considered by the EMA to be an innovative medicinal product, and products may not qualify for data exclusivity. Even if an innovative medicinal product gains the prescribed period of data exclusivity, another company could nevertheless also market another version of the product if such company obtained an MA based on an application with a complete and independent data package of pharmaceutical tests, preclinical tests and clinical trials.</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European Union orphan designation and exclusivity</w:t>
      </w:r>
    </w:p>
    <w:p>
      <w:pPr>
        <w:spacing w:after="0" w:line="139"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In the EU, on recommendation of the EMA’s Committee for Orphan Medicinal Products, the European Commission grants orphan designation to a product if its sponsor can establish that: (1) the product is intended for the diagnosis, prevention or treatment of a life-threatening or chronically debilitating condition; (2) either (a) such condition affects no more than 5 in 10,000 persons in the EU, when the application is made, or (b) it is unlikely that the product, without the benefits derived from orphan status, would generate sufficient return in the EU to justify the necessary investment in its development; and (3) there exists no satisfactory method of diagnosis, prevention or treatment of such condition authorized for marketing in the EU, or, if such a method exists, the product would be of a significant benefit to those affected by that condition.</w:t>
      </w:r>
    </w:p>
    <w:p>
      <w:pPr>
        <w:spacing w:after="0" w:line="213" w:lineRule="exact"/>
        <w:rPr>
          <w:sz w:val="20"/>
          <w:szCs w:val="20"/>
          <w:color w:val="auto"/>
        </w:rPr>
      </w:pPr>
    </w:p>
    <w:p>
      <w:pPr>
        <w:jc w:val="both"/>
        <w:ind w:right="20" w:firstLine="720"/>
        <w:spacing w:after="0" w:line="253" w:lineRule="auto"/>
        <w:rPr>
          <w:sz w:val="20"/>
          <w:szCs w:val="20"/>
          <w:color w:val="auto"/>
        </w:rPr>
      </w:pPr>
      <w:r>
        <w:rPr>
          <w:rFonts w:ascii="Times New Roman" w:cs="Times New Roman" w:eastAsia="Times New Roman" w:hAnsi="Times New Roman"/>
          <w:sz w:val="20"/>
          <w:szCs w:val="20"/>
          <w:color w:val="auto"/>
        </w:rPr>
        <w:t>In the EU, orphan designation entitles a party to financial incentives such as reduction of fees or fee waivers, and ten years of market exclusivity is granted following marketing approval for the orphan medicinal product. This period may be reduced to six years if, at the end of the fifth year, it is established that the orphan designation criteria are no longer met, including where it is shown that the product is sufficiently profitable not to justify maintenance of market exclusivity. During the period of market exclusivity, an MA may only be granted to a “similar medicinal product” for the same therapeutic indication if: (i) a second applicant can establish that its product, although similar to the authorized orphan product, is safer, more effective or otherwise clinically superior; (ii) the MA holder for the authorized orphan product consents to a second medicinal product application; or (iii) the MA holder for the authorized orphan product cannot supply enough orphan medicinal product. A “similar medicinal product” is defined as a medicinal product containing a similar active substance or substances as contained in an authorized orphan medicinal product, and which is intended for the same therapeutic indication. Orphan designation must be requested before submitting an application for marketing approval. Orphan designation does not convey any advantage in, or shorten the duration of, the regulatory review and approval process.</w:t>
      </w:r>
    </w:p>
    <w:p>
      <w:pPr>
        <w:sectPr>
          <w:pgSz w:w="12240" w:h="15840" w:orient="portrait"/>
          <w:cols w:equalWidth="0" w:num="1">
            <w:col w:w="9900"/>
          </w:cols>
          <w:pgMar w:left="1180" w:top="20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34</w:t>
      </w:r>
    </w:p>
    <w:p>
      <w:pPr>
        <w:sectPr>
          <w:pgSz w:w="12240" w:h="15840" w:orient="portrait"/>
          <w:cols w:equalWidth="0" w:num="1">
            <w:col w:w="9900"/>
          </w:cols>
          <w:pgMar w:left="1180" w:top="208" w:right="1160" w:bottom="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European Union pediatric investigation plan</w:t>
      </w:r>
    </w:p>
    <w:p>
      <w:pPr>
        <w:spacing w:after="0" w:line="139"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In the EU, companies developing a new medicinal product must agree upon a pediatric investigation plan (“PIP”), with the EMA’s Pediatric Committee (“PDCO”), and must conduct pediatric clinical trials in accordance with that PIP, unless the EMA has granted a product-specific waiver, a class waiver, or a deferral for one or more of the measures included in the PIP. This requirement also applies when a company wants to add a new indication, pharmaceutical form or route of administration for a medicine that is already authorized. The PIP sets out the timing and measures proposed to generate data to support a pediatric indication of the product for which MA is being sought. The PDCO can grant a deferral of the obligation to implement some or all of the measures of the PIP until there are sufficient data to demonstrate the efficacy and safety of the product in adults, in which case the pediatric clinical trials must be completed at a later date. Further, the obligation to provide pediatric clinical trial data can be waived by the PDCO when this data is not needed or appropriate because the product is likely to be ineffective or unsafe in children, the disease or condition for which the product is intended occurs only in adult populations, or when the product does not represent a significant therapeutic benefit over existing treatments for pediatric patients. Products that are granted an MA with the results of pediatric clinical trials conducted in accordance with the PIP (even where such results are negative) are eligible for six months’ supplementary protection certificate (“SPC”) extension, provided an application for such extension is made at the same time as filing the SPC application for the product, or at any point up to two years before the SPC expires. In the case of orphan medicinal products, a two year extension of the orphan market exclusivity may be available. This pediatric reward is subject to specific conditions and is not automatically available when data in compliance with the PIP are developed and submitted.</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PRIME Designation</w:t>
      </w:r>
    </w:p>
    <w:p>
      <w:pPr>
        <w:spacing w:after="0" w:line="139"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In March 2016, the EMA launched an initiative to facilitate development of product candidates in indications, often rare, for which few or no therapies currently exist. The PRIority Medicines (“PRIME”), scheme is intended to encourage product development in areas of unmet medical need and provides accelerated assessment of products representing substantial innovation, where the MA application will be made through the centralized procedure. Eligible products must target conditions for which there is an unmet medical need (there is no satisfactory method of diagnosis, prevention or treatment in the EU or, if there is, the new medicine will bring a major therapeutic advantage) and they must demonstrate the potential to address the unmet medical need by introducing new methods of therapy or improving existing ones. Applicants will typically be at the exploratory clinical trial phase of development and will have preliminary clinical evidence in patients to demonstrate the promising activity of the medicine and its potential to address to a significant extent an unmet medical need. In exceptional circumstances, products from small- and medium-sized enterprises may qualify for earlier entry into the PRIME scheme than larger companies, if compelling nonclinical data in a relevant model provide early evidence of promising activity, and first in man trials indicate adequate exposure for the desired pharmacotherapeutic effects and tolerability. Many benefits accrue to sponsors of product candidates with PRIME designation, including but not limited to, early and proactive regulatory dialogue with the EMA, frequent discussions on clinical trial designs and other development program elements, and accelerated MA application assessment once a dossier has been submitted. Importantly, a dedicated EMA contact and rapporteur from the EMA’s CHMP or Committee for Advanced Therapies are appointed early in the PRIME scheme facilitating increased understanding of the product at EMA’s Committee level. A kick-off meeting initiates these relationships and includes a team of multidisciplinary experts at the EMA to provide guidance on the overall development and regulatory strategies. Where, during the course of development, a medicine no longer meets the eligibility criteria, support under the PRIME scheme may be withdrawn.</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Regulatory Requirements After a Marketing Authorization has been Obtained</w:t>
      </w:r>
    </w:p>
    <w:p>
      <w:pPr>
        <w:spacing w:after="0" w:line="139" w:lineRule="exact"/>
        <w:rPr>
          <w:sz w:val="20"/>
          <w:szCs w:val="20"/>
          <w:color w:val="auto"/>
        </w:rPr>
      </w:pPr>
    </w:p>
    <w:p>
      <w:pPr>
        <w:jc w:val="both"/>
        <w:ind w:right="20" w:firstLine="720"/>
        <w:spacing w:after="0" w:line="281" w:lineRule="auto"/>
        <w:rPr>
          <w:sz w:val="20"/>
          <w:szCs w:val="20"/>
          <w:color w:val="auto"/>
        </w:rPr>
      </w:pPr>
      <w:r>
        <w:rPr>
          <w:rFonts w:ascii="Times New Roman" w:cs="Times New Roman" w:eastAsia="Times New Roman" w:hAnsi="Times New Roman"/>
          <w:sz w:val="20"/>
          <w:szCs w:val="20"/>
          <w:color w:val="auto"/>
        </w:rPr>
        <w:t>If an MA for a medicinal product in the EU is obtained, the holder of the MA is required to comply with a range of requirements applicable to the manufacturing, marketing, promotion and sale of medicinal products. These include:</w:t>
      </w:r>
    </w:p>
    <w:p>
      <w:pPr>
        <w:spacing w:after="0" w:line="61" w:lineRule="exact"/>
        <w:rPr>
          <w:sz w:val="20"/>
          <w:szCs w:val="20"/>
          <w:color w:val="auto"/>
        </w:rPr>
      </w:pPr>
    </w:p>
    <w:p>
      <w:pPr>
        <w:ind w:left="1080" w:right="20" w:hanging="370"/>
        <w:spacing w:after="0" w:line="281" w:lineRule="auto"/>
        <w:tabs>
          <w:tab w:leader="none" w:pos="108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Compliance with the EU’s stringent pharmacovigilance or safety reporting rules must be ensured. These rules can impose post-authorization studies and additional monitoring obligations.</w:t>
      </w:r>
    </w:p>
    <w:p>
      <w:pPr>
        <w:spacing w:after="0" w:line="181" w:lineRule="exact"/>
        <w:rPr>
          <w:rFonts w:ascii="Times New Roman" w:cs="Times New Roman" w:eastAsia="Times New Roman" w:hAnsi="Times New Roman"/>
          <w:sz w:val="20"/>
          <w:szCs w:val="20"/>
          <w:color w:val="auto"/>
        </w:rPr>
      </w:pPr>
    </w:p>
    <w:p>
      <w:pPr>
        <w:jc w:val="both"/>
        <w:ind w:left="1080" w:hanging="370"/>
        <w:spacing w:after="0" w:line="255" w:lineRule="auto"/>
        <w:tabs>
          <w:tab w:leader="none" w:pos="108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manufacturing of authorized medicinal products, for which a separate manufacturer’s license is mandatory, must also be conducted in strict compliance with the applicable EU laws, regulations and guidance, including Directive 2001/83/EC, Directive (EU) 2017/1572, Regulation (EC) No 726/2004 and the European Commission Guidelines for Good Manufacturing Practice. These requirements include compliance with EU cGMP standards when manufacturing medicinal products and active pharmaceutical ingredients, including the manufacture of active pharmaceutical ingredients outside of the EU with the intention to import the active pharmaceutical ingredients into the EU.</w:t>
      </w:r>
    </w:p>
    <w:p>
      <w:pPr>
        <w:sectPr>
          <w:pgSz w:w="12240" w:h="15840" w:orient="portrait"/>
          <w:cols w:equalWidth="0" w:num="1">
            <w:col w:w="9900"/>
          </w:cols>
          <w:pgMar w:left="1180" w:top="208" w:right="1160" w:bottom="0" w:gutter="0" w:footer="0" w:header="0"/>
        </w:sectPr>
      </w:pPr>
    </w:p>
    <w:p>
      <w:pPr>
        <w:spacing w:after="0" w:line="200" w:lineRule="exact"/>
        <w:rPr>
          <w:sz w:val="20"/>
          <w:szCs w:val="20"/>
          <w:color w:val="auto"/>
        </w:rPr>
      </w:pPr>
    </w:p>
    <w:p>
      <w:pPr>
        <w:spacing w:after="0" w:line="3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35</w:t>
      </w:r>
    </w:p>
    <w:p>
      <w:pPr>
        <w:sectPr>
          <w:pgSz w:w="12240" w:h="15840" w:orient="portrait"/>
          <w:cols w:equalWidth="0" w:num="1">
            <w:col w:w="9900"/>
          </w:cols>
          <w:pgMar w:left="1180" w:top="208" w:right="1160" w:bottom="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400" w:lineRule="exact"/>
        <w:rPr>
          <w:sz w:val="20"/>
          <w:szCs w:val="20"/>
          <w:color w:val="auto"/>
        </w:rPr>
      </w:pPr>
    </w:p>
    <w:p>
      <w:pPr>
        <w:jc w:val="both"/>
        <w:ind w:left="1080" w:right="20" w:hanging="370"/>
        <w:spacing w:after="0" w:line="266" w:lineRule="auto"/>
        <w:tabs>
          <w:tab w:leader="none" w:pos="108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marketing and promotion of authorized products, including industry-sponsored continuing medical education and advertising directed toward the prescribers of products and/or the general public, are strictly regulated in the EU. Direct-to-consumer advertising of prescription medicines is prohibited across the EU.</w:t>
      </w:r>
    </w:p>
    <w:p>
      <w:pPr>
        <w:spacing w:after="0" w:line="195" w:lineRule="exact"/>
        <w:rPr>
          <w:sz w:val="20"/>
          <w:szCs w:val="20"/>
          <w:color w:val="auto"/>
        </w:rPr>
      </w:pPr>
    </w:p>
    <w:p>
      <w:pPr>
        <w:jc w:val="both"/>
        <w:ind w:firstLine="720"/>
        <w:spacing w:after="0" w:line="253" w:lineRule="auto"/>
        <w:rPr>
          <w:sz w:val="20"/>
          <w:szCs w:val="20"/>
          <w:color w:val="auto"/>
        </w:rPr>
      </w:pPr>
      <w:r>
        <w:rPr>
          <w:rFonts w:ascii="Times New Roman" w:cs="Times New Roman" w:eastAsia="Times New Roman" w:hAnsi="Times New Roman"/>
          <w:sz w:val="20"/>
          <w:szCs w:val="20"/>
          <w:color w:val="auto"/>
        </w:rPr>
        <w:t>Much like the Anti-Kickback Statute prohibition in the United States, the provision of benefits or advantages to physicians or other health care professionals to induce or encourage the prescription, recommendation, endorsement, purchase, supply, order or use of medicinal products is also prohibited in the EU. The provision of benefits or advantages to induce or reward improper performance is generally governed by the national anti-bribery laws of EU Member States, and the Bribery Act 2010 in the UK. Infringement of these laws could result in substantial fines and imprisonment. EU Directive 2001/83/EC, which is the EU Directive governing medicinal products for human use, further provides that, where medicinal products are being promoted to persons qualified to prescribe or supply them, no gifts, pecuniary advantages or benefits in kind may be supplied, offered or promised to such persons unless they are inexpensive and relevant to the practice of medicine or pharmacy. This provision has been retained in the UK law by the Human Medicines Regulations 2012 and so remains applicable in the UK despite its departure from the EU.</w:t>
      </w:r>
    </w:p>
    <w:p>
      <w:pPr>
        <w:spacing w:after="0" w:line="216" w:lineRule="exact"/>
        <w:rPr>
          <w:sz w:val="20"/>
          <w:szCs w:val="20"/>
          <w:color w:val="auto"/>
        </w:rPr>
      </w:pPr>
    </w:p>
    <w:p>
      <w:pPr>
        <w:jc w:val="both"/>
        <w:ind w:right="20" w:firstLine="720"/>
        <w:spacing w:after="0" w:line="256" w:lineRule="auto"/>
        <w:rPr>
          <w:sz w:val="20"/>
          <w:szCs w:val="20"/>
          <w:color w:val="auto"/>
        </w:rPr>
      </w:pPr>
      <w:r>
        <w:rPr>
          <w:rFonts w:ascii="Times New Roman" w:cs="Times New Roman" w:eastAsia="Times New Roman" w:hAnsi="Times New Roman"/>
          <w:sz w:val="20"/>
          <w:szCs w:val="20"/>
          <w:color w:val="auto"/>
        </w:rPr>
        <w:t>Payments made to physicians or other healthcare professionals in certain EU Member States must be publicly disclosed. Moreover, agreements with physicians often must be the subject of prior notification and approval by the physician’s employer, his or her competent professional organization and/or the regulatory authorities of the individual EU Member States. These requirements are provided in the national laws, industry codes or professional codes of conduct, applicable in the EU Member States. Failure to comply with these requirements could result in reputational risk, public reprimands, administrative penalties, fines or imprisonment.</w:t>
      </w:r>
    </w:p>
    <w:p>
      <w:pPr>
        <w:spacing w:after="0" w:line="19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All aforementioned EU rules are generally applicable in the EEA.</w:t>
      </w: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Reform of the Regulatory Framework in the European Union</w:t>
      </w:r>
    </w:p>
    <w:p>
      <w:pPr>
        <w:spacing w:after="0" w:line="139" w:lineRule="exact"/>
        <w:rPr>
          <w:sz w:val="20"/>
          <w:szCs w:val="20"/>
          <w:color w:val="auto"/>
        </w:rPr>
      </w:pPr>
    </w:p>
    <w:p>
      <w:pPr>
        <w:jc w:val="both"/>
        <w:ind w:right="20" w:firstLine="720"/>
        <w:spacing w:after="0" w:line="256" w:lineRule="auto"/>
        <w:rPr>
          <w:sz w:val="20"/>
          <w:szCs w:val="20"/>
          <w:color w:val="auto"/>
        </w:rPr>
      </w:pPr>
      <w:r>
        <w:rPr>
          <w:rFonts w:ascii="Times New Roman" w:cs="Times New Roman" w:eastAsia="Times New Roman" w:hAnsi="Times New Roman"/>
          <w:sz w:val="20"/>
          <w:szCs w:val="20"/>
          <w:color w:val="auto"/>
        </w:rPr>
        <w:t>The European Commission introduced legislative proposals in April 2023 that, if implemented, will replace the current regulatory framework in the EU for all medicines (including those for rare diseases and for children). In April 2024, the European Parliament adopted its position on the legislative proposals and, in June 2025, the Council of the European Union adopted its position. A common position on the text has been agreed upon on December 11, 2025, in the context of subsequent inter-institutional trilogue negotiations. The proposed revisions remain to be adopted and are not expected to become applicable before 2028.</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Brexit and the Regulatory Framework in the United Kingdom</w:t>
      </w:r>
    </w:p>
    <w:p>
      <w:pPr>
        <w:spacing w:after="0" w:line="139" w:lineRule="exact"/>
        <w:rPr>
          <w:sz w:val="20"/>
          <w:szCs w:val="20"/>
          <w:color w:val="auto"/>
        </w:rPr>
      </w:pPr>
    </w:p>
    <w:p>
      <w:pPr>
        <w:jc w:val="both"/>
        <w:ind w:right="20" w:firstLine="720"/>
        <w:spacing w:after="0" w:line="260" w:lineRule="auto"/>
        <w:rPr>
          <w:sz w:val="20"/>
          <w:szCs w:val="20"/>
          <w:color w:val="auto"/>
        </w:rPr>
      </w:pPr>
      <w:r>
        <w:rPr>
          <w:rFonts w:ascii="Times New Roman" w:cs="Times New Roman" w:eastAsia="Times New Roman" w:hAnsi="Times New Roman"/>
          <w:sz w:val="20"/>
          <w:szCs w:val="20"/>
          <w:color w:val="auto"/>
        </w:rPr>
        <w:t>The UK officially withdrew from the EU on January 31, 2020 and the EU and the UK signed a trade and cooperation agreement, or TCA, which has been formally applicable since May 1, 2021. The TCA includes specific provisions concerning pharmaceuticals, which include the mutual recognition of GMP, inspections of manufacturing facilities for medicinal products and GMP documents issued, but does not provide for wholesale mutual recognition of UK and EU pharmaceutical regulations. At present, the UK has implemented EU legislation on the marketing, promotion and sale of medicinal products through the Human Medicines Regulations 2012. The regulatory regime in the UK therefore aligns in many ways with current EU regulations, however it is possible that these regimes will diverge more significantly in the future now that the UK’s regulatory system is independent from the EU and the TCA does not provide for mutual recognition of UK and EU pharmaceutical legislation.</w:t>
      </w:r>
    </w:p>
    <w:p>
      <w:pPr>
        <w:spacing w:after="0" w:line="206" w:lineRule="exact"/>
        <w:rPr>
          <w:sz w:val="20"/>
          <w:szCs w:val="20"/>
          <w:color w:val="auto"/>
        </w:rPr>
      </w:pPr>
    </w:p>
    <w:p>
      <w:pPr>
        <w:jc w:val="both"/>
        <w:ind w:right="20" w:firstLine="720"/>
        <w:spacing w:after="0" w:line="256" w:lineRule="auto"/>
        <w:rPr>
          <w:sz w:val="20"/>
          <w:szCs w:val="20"/>
          <w:color w:val="auto"/>
        </w:rPr>
      </w:pPr>
      <w:r>
        <w:rPr>
          <w:rFonts w:ascii="Times New Roman" w:cs="Times New Roman" w:eastAsia="Times New Roman" w:hAnsi="Times New Roman"/>
          <w:sz w:val="20"/>
          <w:szCs w:val="20"/>
          <w:color w:val="auto"/>
        </w:rPr>
        <w:t>For example, the UK regulatory framework in relation to clinical trials is governed by the Medicines for Human Use (Clinical Trials) Regulations 2004, as amended, which is derived from the now repealed Clinical Trials Directive 2001/20/EC, as implemented into UK national law through secondary legislation. In April 2025, the UK introduced the Medicines for Human Use (Clinical Trials) (Amendment) Regulations 2025. These changes, which will take full effect from April 2026, aim to create a streamlined, risk proportionate system that accelerates approvals while maintaining robust safety standards.</w:t>
      </w:r>
    </w:p>
    <w:p>
      <w:pPr>
        <w:spacing w:after="0" w:line="208"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As of January 1, 2021, the Medicines and Healthcare products Regulatory Agency is the UK's standalone medicines and medical devices regulator. As a result of the Ireland/Northern Ireland protocol, different rules previously applied in Northern Ireland than in England, Wales, and Scotland (together, "Great Britain", or GB) following Brexit, which continued to follow the EU regulatory regime. However, on January 1, 2025 a new arrangement called the "Windsor Framework" came into effect and reintegrated Northern Ireland under the regulatory authority of the MHRA with respect to medicinal products. The Windsor Framework removes EU licensing processes and EU labeling, and serialization requirements in relation to Northern Ireland and introduces a UK-wide licensing process for medicines. A single UK-wide</w:t>
      </w:r>
    </w:p>
    <w:p>
      <w:pPr>
        <w:sectPr>
          <w:pgSz w:w="12240" w:h="15840" w:orient="portrait"/>
          <w:cols w:equalWidth="0" w:num="1">
            <w:col w:w="9900"/>
          </w:cols>
          <w:pgMar w:left="1180" w:top="208" w:right="1160" w:bottom="0" w:gutter="0" w:footer="0" w:header="0"/>
        </w:sectPr>
      </w:pPr>
    </w:p>
    <w:p>
      <w:pPr>
        <w:spacing w:after="0" w:line="39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36</w:t>
      </w:r>
    </w:p>
    <w:p>
      <w:pPr>
        <w:sectPr>
          <w:pgSz w:w="12240" w:h="15840" w:orient="portrait"/>
          <w:cols w:equalWidth="0" w:num="1">
            <w:col w:w="9900"/>
          </w:cols>
          <w:pgMar w:left="1180" w:top="208" w:right="1160" w:bottom="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400"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marketing authorization will be granted by the MHRA for all novel medicinal products intended for the UK market, enabling products to be sold in a single pack and under a single authorization throughout the UK. In addition, the new arrangements require all medicines placed on the UK market to be labelled “UK Only”, indicating they are not for sale in the EU.</w:t>
      </w:r>
    </w:p>
    <w:p>
      <w:pPr>
        <w:spacing w:after="0" w:line="203" w:lineRule="exact"/>
        <w:rPr>
          <w:sz w:val="20"/>
          <w:szCs w:val="20"/>
          <w:color w:val="auto"/>
        </w:rPr>
      </w:pPr>
    </w:p>
    <w:p>
      <w:pPr>
        <w:jc w:val="both"/>
        <w:ind w:right="20" w:firstLine="720"/>
        <w:spacing w:after="0" w:line="255" w:lineRule="auto"/>
        <w:rPr>
          <w:sz w:val="20"/>
          <w:szCs w:val="20"/>
          <w:color w:val="auto"/>
        </w:rPr>
      </w:pPr>
      <w:r>
        <w:rPr>
          <w:rFonts w:ascii="Times New Roman" w:cs="Times New Roman" w:eastAsia="Times New Roman" w:hAnsi="Times New Roman"/>
          <w:sz w:val="20"/>
          <w:szCs w:val="20"/>
          <w:color w:val="auto"/>
        </w:rPr>
        <w:t>On January 1, 2024, a new international recognition framework was put in place by the MHRA, under which the MHRA may have regard to decisions on the approval of MAs made by the European Medicines Agency and certain other regulators. Various national procedures are now available to place a product on the market in the UK. The MHRA offers a 150-day assessment timeline for all high quality applications for a UK MA. The 150 day timeline does not, however, include a “clock-off” period which may occur if issues arise or points require clarification following an initial assessment of the application. Such issues should be addressed within a 60-day period, although extensions may be granted in exceptional cases.</w:t>
      </w:r>
    </w:p>
    <w:p>
      <w:pPr>
        <w:spacing w:after="0" w:line="210"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There is no pre-MA orphan designation (as there is in the EU) in the UK and the application for orphan designation will be reviewed by the MHRA at the time of a UK MA application. The criteria for orphan designation are the same as in the EU, except they apply to the UK only (e.g., there must be no satisfactory method of diagnosis, prevention or treatment of the condition concerned in the UK, as opposed to the EU, and the prevalence of the condition must be no more than 5 in 10,000 persons in the UK).</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Personal Data Processing</w:t>
      </w:r>
    </w:p>
    <w:p>
      <w:pPr>
        <w:spacing w:after="0" w:line="139" w:lineRule="exact"/>
        <w:rPr>
          <w:sz w:val="20"/>
          <w:szCs w:val="20"/>
          <w:color w:val="auto"/>
        </w:rPr>
      </w:pPr>
    </w:p>
    <w:p>
      <w:pPr>
        <w:jc w:val="both"/>
        <w:ind w:firstLine="720"/>
        <w:spacing w:after="0" w:line="251" w:lineRule="auto"/>
        <w:rPr>
          <w:sz w:val="20"/>
          <w:szCs w:val="20"/>
          <w:color w:val="auto"/>
        </w:rPr>
      </w:pPr>
      <w:r>
        <w:rPr>
          <w:rFonts w:ascii="Times New Roman" w:cs="Times New Roman" w:eastAsia="Times New Roman" w:hAnsi="Times New Roman"/>
          <w:sz w:val="20"/>
          <w:szCs w:val="20"/>
          <w:color w:val="auto"/>
        </w:rPr>
        <w:t>The collection, use, transfer, disclosure, retention, security and other processing of personal data (including, without limitation, clinical trial data and other personal health data) (collectively, “Process” or “Processing”) may be subject to independent and overlapping data security and privacy regulatory frameworks in the various jurisdictions in which we operate. These frameworks are evolving and may impose potentially conflicting obligations. For example, in Europe, the collection and use of personal data, including health related data, is governed by the European Union’s General Data Protection Regulation (EU) 2016/679 (“EU GDPR”) which is applicable across the European Economic Area (“EEA”), and by related applicable data protection and privacy laws of the Member States of the EEA. Switzerland has passed similar laws, and, following Brexit, the United Kingdom (“UK”) has transposed the EU GDPR into UK domestic law (“UK GDPR”), along with applicable UK data protection and privacy laws which supplement the UK GDPR (including the UK Data Protection Act 2018 and UK (Data Use and Access) Act 2025). In this Annual Report on Form 10-K, “GDPR” refers to both the UK GDPR and the EU GDPR, unless specified otherwise. The GDPR applies to any company established in the EEA/UK and to companies established outside the EEA/UK that process personal data in connection with the offering of goods or services to data subjects in the EEA/UK or the monitoring of the behavior of data subjects in the EEA. The GDPR enhances data protection obligations for data controllers (such as clinical trial sponsors) of personal data, including stringent requirements relating to the consent of data subjects, expanded disclosures about how personal data is used, requirements to conduct data protection impact assessments for “high risk” Processing, expanded the scope of rights data subjects can exercise, limitations on retention of personal data, special provisions for “sensitive information” including health and genetic information of data subjects, mandatory data breach notification and “privacy by design” requirements, and direct obligations on service providers acting as data processors. The GDPR also imposes strict rules on the transfer of personal data outside of the EEA to countries that do not ensure an adequate level of protection for personal data, like the U.S., in certain circumstances. Such transfers of personal data outside of the EEA require the use of a valid “transfer mechanism”, the carrying out of a transfer impact assessment and, in many cases, the implementation of supplementary technical, organizational and/or contractual measures. Failure to comply with the requirements of the GDPR and the related national data protection laws of the EEA Member States and the UK may result in fines up to 20 million euros (£17.5 million for the UK GDPR) or 4% of a company’s global annual revenues for the preceding financial year, whichever is higher. Moreover, the GDPR grants data subjects the right to request deletion of personal data in certain circumstances and confers a private right of action on both data subjects and non-profit associations to lodge complaints with supervisory authorities, seek judicial remedies, and claim material and non-material damages resulting from infringement of the GDPR.</w:t>
      </w:r>
    </w:p>
    <w:p>
      <w:pPr>
        <w:spacing w:after="0" w:line="225"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In the United States, there are a broad variety of data protection laws and regulations that may apply to our activities such as state data breach notification laws, state personal data privacy laws (for example, the California Consumer Privacy Act (“CCPA”)), state health information privacy laws, and federal and state consumer protection laws. In California, the CCPA became effective on January 1, 2020, and was modified by the California Privacy Rights Act, which became effective on January 1, 2023. The CCPA defined personal information broadly, and created individual privacy rights and protections for California consumers (as defined in the law), placed increased privacy and security obligations on entities handling personal data of consumers or households, and provided civil penalties for violations and a</w:t>
      </w:r>
    </w:p>
    <w:p>
      <w:pPr>
        <w:sectPr>
          <w:pgSz w:w="12240" w:h="15840" w:orient="portrait"/>
          <w:cols w:equalWidth="0" w:num="1">
            <w:col w:w="9900"/>
          </w:cols>
          <w:pgMar w:left="1180" w:top="208" w:right="1160" w:bottom="0" w:gutter="0" w:footer="0" w:header="0"/>
        </w:sectPr>
      </w:pPr>
    </w:p>
    <w:p>
      <w:pPr>
        <w:spacing w:after="0" w:line="200" w:lineRule="exact"/>
        <w:rPr>
          <w:sz w:val="20"/>
          <w:szCs w:val="20"/>
          <w:color w:val="auto"/>
        </w:rPr>
      </w:pPr>
    </w:p>
    <w:p>
      <w:pPr>
        <w:spacing w:after="0" w:line="3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37</w:t>
      </w:r>
    </w:p>
    <w:p>
      <w:pPr>
        <w:sectPr>
          <w:pgSz w:w="12240" w:h="15840" w:orient="portrait"/>
          <w:cols w:equalWidth="0" w:num="1">
            <w:col w:w="9900"/>
          </w:cols>
          <w:pgMar w:left="1180" w:top="208" w:right="1160" w:bottom="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400"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private right of action for data breaches. The CCPA requires a covered business to provide certain disclosures to consumers about its data collection, use and sharing practices, and to provide affected California residents with ways to opt-out of certain sales or transfers of personal information. While there is a broad exception for protected health information that is subject to HIPAA, as well as clinical trial information, the CCPA may impact certain of our personal information processing activities if we become a "Business" regulated by the scope of the CCPA.</w:t>
      </w:r>
    </w:p>
    <w:p>
      <w:pPr>
        <w:spacing w:after="0" w:line="204"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Nineteen other U.S. states have introduced comprehensive privacy and data security laws similar to the CCPA, reflecting a trend toward more stringent privacy legislation in the U.S. Further, certain states, such as Washington, have introduced laws which specifically regulate health data. Other U.S. states have introduced laws regulating special categories of personal information, such as biometric data, genetic data, and neural data. At the federal level, regulators and legislators are also increasingly scrutinizing and restricting certain personal data transfers and transactions involving foreign countries. The effects of the CCPA, as well as other U.S. state and federal laws privacy and data security laws, are significant and may require us to modify our data processing practices and policies and to incur substantial costs and potential liability in an effort to comply with such legislation.</w:t>
      </w:r>
    </w:p>
    <w:p>
      <w:pPr>
        <w:spacing w:after="0" w:line="213" w:lineRule="exact"/>
        <w:rPr>
          <w:sz w:val="20"/>
          <w:szCs w:val="20"/>
          <w:color w:val="auto"/>
        </w:rPr>
      </w:pPr>
    </w:p>
    <w:p>
      <w:pPr>
        <w:jc w:val="both"/>
        <w:ind w:right="20" w:firstLine="720"/>
        <w:spacing w:after="0" w:line="258" w:lineRule="auto"/>
        <w:rPr>
          <w:sz w:val="20"/>
          <w:szCs w:val="20"/>
          <w:color w:val="auto"/>
        </w:rPr>
      </w:pPr>
      <w:r>
        <w:rPr>
          <w:rFonts w:ascii="Times New Roman" w:cs="Times New Roman" w:eastAsia="Times New Roman" w:hAnsi="Times New Roman"/>
          <w:sz w:val="20"/>
          <w:szCs w:val="20"/>
          <w:color w:val="auto"/>
        </w:rPr>
        <w:t>Given the breadth and depth of changes in data protection obligations, achieving and maintaining compliance with applicable data protection laws and regulations such as the EU/UK GDPR and CCPA will require significant time, resources and expense, and we may be required to put in place new or additional mechanisms to ensure compliance with current, evolving and new data protection requirements. This may be an onerous undertaking and adversely affect our business, financial condition, results of operations and prospects.</w:t>
      </w:r>
    </w:p>
    <w:p>
      <w:pPr>
        <w:spacing w:after="0" w:line="204" w:lineRule="exact"/>
        <w:rPr>
          <w:sz w:val="20"/>
          <w:szCs w:val="20"/>
          <w:color w:val="auto"/>
        </w:rPr>
      </w:pPr>
    </w:p>
    <w:p>
      <w:pPr>
        <w:jc w:val="both"/>
        <w:ind w:right="20" w:firstLine="720"/>
        <w:spacing w:after="0" w:line="254" w:lineRule="auto"/>
        <w:rPr>
          <w:sz w:val="20"/>
          <w:szCs w:val="20"/>
          <w:color w:val="auto"/>
        </w:rPr>
      </w:pPr>
      <w:r>
        <w:rPr>
          <w:rFonts w:ascii="Times New Roman" w:cs="Times New Roman" w:eastAsia="Times New Roman" w:hAnsi="Times New Roman"/>
          <w:sz w:val="20"/>
          <w:szCs w:val="20"/>
          <w:color w:val="auto"/>
        </w:rPr>
        <w:t>All of these evolving compliance and operational requirements impose significant costs, such as costs related to organizational changes, implementing additional protection technologies, training employees and engaging consultants and legal advisors, which are likely to increase over time. In addition, such requirements may require us to modify our data processing practices and policies, utilize management’s time and/or divert resources from other initiatives and projects. Any failure or perceived failure by us to comply with any applicable federal, state or foreign laws and regulations relating to data privacy and security could result in damage to our reputation, as well as proceedings or litigation by governmental agencies or other third parties, including class action privacy litigation in certain jurisdictions, which would subject us to significant fines, sanctions, awards, injunctions, penalties or judgments. Any of the foregoing could have a material adverse effect on our business, financial condition, results of operations and prospects.</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Rest of the World Regulation</w:t>
      </w:r>
    </w:p>
    <w:p>
      <w:pPr>
        <w:spacing w:after="0" w:line="139"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For other countries outside of the EEA, the UK and the United States, such as countries in Eastern Europe, Latin America or Asia, the requirements governing the conduct of clinical trials, privacy, information security, product licensing, pricing and reimbursement vary from country to country. Additionally, the clinical trials must be conducted in accordance with GCP requirements and the applicable regulatory requirements and the ethical principles that have their origin in the Declaration of Helsinki.</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Employees and Human Capital</w:t>
      </w:r>
    </w:p>
    <w:p>
      <w:pPr>
        <w:spacing w:after="0" w:line="137" w:lineRule="exact"/>
        <w:rPr>
          <w:sz w:val="20"/>
          <w:szCs w:val="20"/>
          <w:color w:val="auto"/>
        </w:rPr>
      </w:pPr>
    </w:p>
    <w:p>
      <w:pPr>
        <w:jc w:val="both"/>
        <w:ind w:right="20" w:firstLine="720"/>
        <w:spacing w:after="0" w:line="258" w:lineRule="auto"/>
        <w:rPr>
          <w:sz w:val="20"/>
          <w:szCs w:val="20"/>
          <w:color w:val="auto"/>
        </w:rPr>
      </w:pPr>
      <w:r>
        <w:rPr>
          <w:rFonts w:ascii="Times New Roman" w:cs="Times New Roman" w:eastAsia="Times New Roman" w:hAnsi="Times New Roman"/>
          <w:sz w:val="20"/>
          <w:szCs w:val="20"/>
          <w:color w:val="auto"/>
        </w:rPr>
        <w:t>As of December 31, 2025, we had an aggregate of 118 full-time employees. 36% of our employees have M.D. or Ph.D. degrees. Within our workforce, 86 employees are engaged in research and development and 32 are engaged in business development, finance, legal, and general management and administration. None of our employees are represented by labor unions or covered by collective bargaining agreements. We consider our relationship with our employees to be strong.</w:t>
      </w:r>
    </w:p>
    <w:p>
      <w:pPr>
        <w:spacing w:after="0" w:line="204" w:lineRule="exact"/>
        <w:rPr>
          <w:sz w:val="20"/>
          <w:szCs w:val="20"/>
          <w:color w:val="auto"/>
        </w:rPr>
      </w:pPr>
    </w:p>
    <w:p>
      <w:pPr>
        <w:jc w:val="both"/>
        <w:ind w:firstLine="720"/>
        <w:spacing w:after="0" w:line="253" w:lineRule="auto"/>
        <w:rPr>
          <w:sz w:val="20"/>
          <w:szCs w:val="20"/>
          <w:color w:val="auto"/>
        </w:rPr>
      </w:pPr>
      <w:r>
        <w:rPr>
          <w:rFonts w:ascii="Times New Roman" w:cs="Times New Roman" w:eastAsia="Times New Roman" w:hAnsi="Times New Roman"/>
          <w:sz w:val="20"/>
          <w:szCs w:val="20"/>
          <w:color w:val="auto"/>
        </w:rPr>
        <w:t>Our Human Capital resource objectives include assessing our work-plan needs based on our goals and selectively sourcing the market for talent based on capabilities, experiences and fit with the Centessa culture. As a company, we have identified four key values to support our company culture and objectives: Innovation, Integrity, Accountability and Collaboration. These values are part of the identification, recruitment, and onboarding of employees. Our total compensation strategy is grounded in our goal-setting process, and we believe in a performance-based system with differentiation based on outcomes. In addition to our cash compensation, which includes annual bonuses, we have an equity program which enables our Compensation Committee to allocate, at its discretion, equity to all new hires and provides the opportunity, at the discretion of the Compensation Committee, for all employees to receive equity annually. Allocation of equity is based upon performance but also considers long-term talent retention. We believe that the granting of stock-based and cash-based compensation awards drives shareholder value and the success of our company by motivating our employees to perform to the best of their abilities and achieve our objectives.</w:t>
      </w:r>
    </w:p>
    <w:p>
      <w:pPr>
        <w:sectPr>
          <w:pgSz w:w="12240" w:h="15840" w:orient="portrait"/>
          <w:cols w:equalWidth="0" w:num="1">
            <w:col w:w="9900"/>
          </w:cols>
          <w:pgMar w:left="1180" w:top="208" w:right="1160" w:bottom="0" w:gutter="0" w:footer="0" w:header="0"/>
        </w:sectPr>
      </w:pPr>
    </w:p>
    <w:p>
      <w:pPr>
        <w:spacing w:after="0" w:line="200" w:lineRule="exact"/>
        <w:rPr>
          <w:sz w:val="20"/>
          <w:szCs w:val="20"/>
          <w:color w:val="auto"/>
        </w:rPr>
      </w:pPr>
    </w:p>
    <w:p>
      <w:pPr>
        <w:spacing w:after="0" w:line="34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38</w:t>
      </w:r>
    </w:p>
    <w:p>
      <w:pPr>
        <w:sectPr>
          <w:pgSz w:w="12240" w:h="15840" w:orient="portrait"/>
          <w:cols w:equalWidth="0" w:num="1">
            <w:col w:w="9900"/>
          </w:cols>
          <w:pgMar w:left="1180" w:top="208" w:right="1160" w:bottom="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400" w:lineRule="exact"/>
        <w:rPr>
          <w:sz w:val="20"/>
          <w:szCs w:val="20"/>
          <w:color w:val="auto"/>
        </w:rPr>
      </w:pPr>
    </w:p>
    <w:p>
      <w:pPr>
        <w:jc w:val="both"/>
        <w:ind w:right="20" w:firstLine="720"/>
        <w:spacing w:after="0" w:line="254" w:lineRule="auto"/>
        <w:rPr>
          <w:sz w:val="20"/>
          <w:szCs w:val="20"/>
          <w:color w:val="auto"/>
        </w:rPr>
      </w:pPr>
      <w:r>
        <w:rPr>
          <w:rFonts w:ascii="Times New Roman" w:cs="Times New Roman" w:eastAsia="Times New Roman" w:hAnsi="Times New Roman"/>
          <w:sz w:val="20"/>
          <w:szCs w:val="20"/>
          <w:color w:val="auto"/>
        </w:rPr>
        <w:t>As a global company, we believe that much of our success is rooted in the diversity of our teams and our commitment to inclusion. Our employee population is currently 47% female and 53% male. Inclusion is supported through the frequency of town hall meetings, access to Executive “coffee chats” and purposeful team meeting designs. In addition, we support our senior leadership with ongoing training and feedback, and help them understand diversity of style and communication techniques. Employee development is supported through access to virtual and in-person learning workshops focused on goal setting, managing work/life balance, and communication techniques as well as training on core compliance models. In addition to our existing values-focused recognition platform, we have a Spot Awards program to further reinforce the values we believe make our company great.</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1A. Risk Factors</w:t>
      </w:r>
    </w:p>
    <w:p>
      <w:pPr>
        <w:spacing w:after="0" w:line="13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b w:val="1"/>
          <w:bCs w:val="1"/>
          <w:i w:val="1"/>
          <w:iCs w:val="1"/>
          <w:color w:val="auto"/>
        </w:rPr>
        <w:t>Our business involves significant risks, some of which are described below. You should carefully consider the risks described below, as well as the other information in this Annual Report on Form 10-K and in other documents we file with the SEC, including our financial statements and the related notes and “Management’s Discussion and Analysis of Financial Condition and Results of Operations.” The occurrence of any of the events or developments described below could have a material adverse effect on our business, financial condition, results of operations, growth prospects and stock price. In such an event, the market price of our ADSs could decline, and you may lose all or part of your investment. Additional risks and uncertainties not presently known to us or that we currently deem immaterial may also impair our business operations and the market price of our ADSs.</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the Transaction with Lilly</w:t>
      </w:r>
    </w:p>
    <w:p>
      <w:pPr>
        <w:spacing w:after="0" w:line="128"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The Transaction may not be completed within the expected timeframe, or at all, and significant delay or the failure to complete the Transaction could adversely affect our business and the market price of our ADSs.</w:t>
      </w:r>
    </w:p>
    <w:p>
      <w:pPr>
        <w:spacing w:after="0" w:line="57" w:lineRule="exact"/>
        <w:rPr>
          <w:sz w:val="20"/>
          <w:szCs w:val="20"/>
          <w:color w:val="auto"/>
        </w:rPr>
      </w:pPr>
    </w:p>
    <w:p>
      <w:pPr>
        <w:jc w:val="both"/>
        <w:ind w:right="20" w:firstLine="720"/>
        <w:spacing w:after="0" w:line="253" w:lineRule="auto"/>
        <w:rPr>
          <w:sz w:val="20"/>
          <w:szCs w:val="20"/>
          <w:color w:val="auto"/>
        </w:rPr>
      </w:pPr>
      <w:r>
        <w:rPr>
          <w:rFonts w:ascii="Times New Roman" w:cs="Times New Roman" w:eastAsia="Times New Roman" w:hAnsi="Times New Roman"/>
          <w:sz w:val="20"/>
          <w:szCs w:val="20"/>
          <w:color w:val="auto"/>
        </w:rPr>
        <w:t xml:space="preserve">On March 31, 2026, we entered into a Transaction Agreement with Lilly, and Purchaser, pursuant to which Purchaser (and/or at Parent’s election its nominee(s)) has agreed to acquire the entire issued and to be issued share capital of the Company (including shares represented by our ADSs) by means of the Scheme of Arrangement, subject to the conditions described therein. Under the Transaction Agreement, at the effective time of the Scheme of Arrangement (the “Effective Time”), all ordinary shares subject to the Scheme of Arrangement, nominal value £0.002 per share (the “Company Shares”), issued and outstanding as of the Effective Time will be acquired by Purchaser (and/or at Parent’s election its nominee(s)), and the holders of such ordinary shares as of the record time for the Scheme of Arrangement, on the terms set out in the Scheme of Arrangement, will have the right to receive, for each such share, </w:t>
      </w:r>
      <w:r>
        <w:rPr>
          <w:rFonts w:ascii="Times New Roman" w:cs="Times New Roman" w:eastAsia="Times New Roman" w:hAnsi="Times New Roman"/>
          <w:sz w:val="24"/>
          <w:szCs w:val="24"/>
          <w:color w:val="auto"/>
        </w:rPr>
        <w:t>$</w:t>
      </w:r>
      <w:r>
        <w:rPr>
          <w:rFonts w:ascii="Times New Roman" w:cs="Times New Roman" w:eastAsia="Times New Roman" w:hAnsi="Times New Roman"/>
          <w:sz w:val="20"/>
          <w:szCs w:val="20"/>
          <w:color w:val="auto"/>
        </w:rPr>
        <w:t>38.00 in cash, without interest, plus one non-transferable contingent value right entitling the holders to receive up to three contingent cash payments of up to an aggregate of $9.00 per Company Share, contingent upon the achievement of specified milestones set forth in the CVR Agreement.</w:t>
      </w:r>
    </w:p>
    <w:p>
      <w:pPr>
        <w:spacing w:after="0" w:line="93" w:lineRule="exact"/>
        <w:rPr>
          <w:sz w:val="20"/>
          <w:szCs w:val="20"/>
          <w:color w:val="auto"/>
        </w:rPr>
      </w:pPr>
    </w:p>
    <w:p>
      <w:pPr>
        <w:ind w:right="80" w:firstLine="720"/>
        <w:spacing w:after="0" w:line="254" w:lineRule="auto"/>
        <w:rPr>
          <w:sz w:val="20"/>
          <w:szCs w:val="20"/>
          <w:color w:val="auto"/>
        </w:rPr>
      </w:pPr>
      <w:r>
        <w:rPr>
          <w:rFonts w:ascii="Times New Roman" w:cs="Times New Roman" w:eastAsia="Times New Roman" w:hAnsi="Times New Roman"/>
          <w:sz w:val="20"/>
          <w:szCs w:val="20"/>
          <w:color w:val="auto"/>
        </w:rPr>
        <w:t>The consummation of the Transaction is subject to certain customary closing conditions, including, among other things, (i) the expiration or termination of the required waiting period applicable to the consummation of the Transaction under the Hart-Scott-Rodino Antitrust Improvements Act of 1976, as amended, as well as all other required waivers, approvals and waiting periods under certain other specified antitrust laws having been obtained, terminated or expired, (ii) approval by the Company’s shareholders of the Scheme of Arrangement and the passing of the special resolution to amend the Company’s articles of association and other related matters, (iii) sanction of the Scheme of Arrangement by the High Court of Justice of England and Wales, and (iv) the absence of any order, decree or ruling that remains in effect and enjoins, prevents, prohibits, or makes illegal the consummation of the Transaction.</w:t>
      </w:r>
    </w:p>
    <w:p>
      <w:pPr>
        <w:spacing w:after="0" w:line="93" w:lineRule="exact"/>
        <w:rPr>
          <w:sz w:val="20"/>
          <w:szCs w:val="20"/>
          <w:color w:val="auto"/>
        </w:rPr>
      </w:pPr>
    </w:p>
    <w:p>
      <w:pPr>
        <w:jc w:val="both"/>
        <w:ind w:right="20" w:firstLine="720"/>
        <w:spacing w:after="0" w:line="256" w:lineRule="auto"/>
        <w:rPr>
          <w:sz w:val="20"/>
          <w:szCs w:val="20"/>
          <w:color w:val="auto"/>
        </w:rPr>
      </w:pPr>
      <w:r>
        <w:rPr>
          <w:rFonts w:ascii="Times New Roman" w:cs="Times New Roman" w:eastAsia="Times New Roman" w:hAnsi="Times New Roman"/>
          <w:sz w:val="20"/>
          <w:szCs w:val="20"/>
          <w:color w:val="auto"/>
        </w:rPr>
        <w:t>Many of the conditions to consummation of the Transaction are not within our control or the control of Lilly or Purchaser, and we cannot predict when or if these conditions will be satisfied. There can be no assurance that our business, our relationships or our financial condition will not be adversely affected, as compared to the condition prior to the announcement of the Transaction, if the Transaction is not consummated within the expected timeframe, or at all. Failure to complete the Transaction within the expected timeframe, or at all, could adversely affect our business and the market price of our ADSs in a number of ways, including the following:</w:t>
      </w:r>
    </w:p>
    <w:p>
      <w:pPr>
        <w:spacing w:after="0" w:line="95" w:lineRule="exact"/>
        <w:rPr>
          <w:sz w:val="20"/>
          <w:szCs w:val="20"/>
          <w:color w:val="auto"/>
        </w:rPr>
      </w:pPr>
    </w:p>
    <w:p>
      <w:pPr>
        <w:jc w:val="both"/>
        <w:ind w:left="720" w:right="20" w:hanging="370"/>
        <w:spacing w:after="0" w:line="265" w:lineRule="auto"/>
        <w:tabs>
          <w:tab w:leader="none" w:pos="720" w:val="left"/>
        </w:tabs>
        <w:numPr>
          <w:ilvl w:val="0"/>
          <w:numId w:val="22"/>
        </w:numPr>
        <w:rPr>
          <w:rFonts w:ascii="Arial" w:cs="Arial" w:eastAsia="Arial" w:hAnsi="Arial"/>
          <w:sz w:val="20"/>
          <w:szCs w:val="20"/>
          <w:b w:val="1"/>
          <w:bCs w:val="1"/>
          <w:color w:val="auto"/>
        </w:rPr>
      </w:pPr>
      <w:r>
        <w:rPr>
          <w:rFonts w:ascii="Times New Roman" w:cs="Times New Roman" w:eastAsia="Times New Roman" w:hAnsi="Times New Roman"/>
          <w:sz w:val="20"/>
          <w:szCs w:val="20"/>
          <w:color w:val="auto"/>
        </w:rPr>
        <w:t>if the Transaction is not completed within the expected timeframe, or at all, the market price of our ADSs may change to the extent that the current market price of our ADSs reflects assumptions regarding the completion of the Transaction;</w:t>
      </w:r>
    </w:p>
    <w:p>
      <w:pPr>
        <w:spacing w:after="0" w:line="70" w:lineRule="exact"/>
        <w:rPr>
          <w:rFonts w:ascii="Arial" w:cs="Arial" w:eastAsia="Arial" w:hAnsi="Arial"/>
          <w:sz w:val="20"/>
          <w:szCs w:val="20"/>
          <w:b w:val="1"/>
          <w:bCs w:val="1"/>
          <w:color w:val="auto"/>
        </w:rPr>
      </w:pPr>
    </w:p>
    <w:p>
      <w:pPr>
        <w:jc w:val="both"/>
        <w:ind w:left="720" w:right="20" w:hanging="370"/>
        <w:spacing w:after="0" w:line="260" w:lineRule="auto"/>
        <w:tabs>
          <w:tab w:leader="none" w:pos="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have incurred, and will continue to incur, significant costs, expenses and fees for professional services and other costs in connection with the Transaction, for which we may receive little or no benefit if the Transaction is not completed. Many of these fees and costs will be payable by us even if the Transaction is not completed and may relate to activities that we would not have undertaken other than to complete the Transaction;</w:t>
      </w:r>
    </w:p>
    <w:p>
      <w:pPr>
        <w:sectPr>
          <w:pgSz w:w="12240" w:h="15840" w:orient="portrait"/>
          <w:cols w:equalWidth="0" w:num="1">
            <w:col w:w="9900"/>
          </w:cols>
          <w:pgMar w:left="1180" w:top="208" w:right="1160" w:bottom="0" w:gutter="0" w:footer="0" w:header="0"/>
        </w:sectPr>
      </w:pPr>
    </w:p>
    <w:p>
      <w:pPr>
        <w:spacing w:after="0" w:line="3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39</w:t>
      </w:r>
    </w:p>
    <w:p>
      <w:pPr>
        <w:sectPr>
          <w:pgSz w:w="12240" w:h="15840" w:orient="portrait"/>
          <w:cols w:equalWidth="0" w:num="1">
            <w:col w:w="9900"/>
          </w:cols>
          <w:pgMar w:left="1180" w:top="208" w:right="1160" w:bottom="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400" w:lineRule="exact"/>
        <w:rPr>
          <w:sz w:val="20"/>
          <w:szCs w:val="20"/>
          <w:color w:val="auto"/>
        </w:rPr>
      </w:pPr>
    </w:p>
    <w:p>
      <w:pPr>
        <w:jc w:val="both"/>
        <w:ind w:left="720" w:right="20" w:hanging="370"/>
        <w:spacing w:after="0" w:line="260" w:lineRule="auto"/>
        <w:tabs>
          <w:tab w:leader="none" w:pos="72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failure to complete the Transaction within the expected timeframe, or at all, may result in negative publicity and a negative impression of us in the investment community and may lead to subsequent offers to acquire our company at a lower price or otherwise on less favorable terms to us and our stockholders than contemplated by the Transaction Agreement.</w:t>
      </w:r>
    </w:p>
    <w:p>
      <w:pPr>
        <w:spacing w:after="0" w:line="83"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impairment of our ability to attract, retain and motivate personnel, including our senior management;</w:t>
      </w:r>
    </w:p>
    <w:p>
      <w:pPr>
        <w:spacing w:after="0" w:line="130" w:lineRule="exact"/>
        <w:rPr>
          <w:rFonts w:ascii="Times New Roman" w:cs="Times New Roman" w:eastAsia="Times New Roman" w:hAnsi="Times New Roman"/>
          <w:sz w:val="20"/>
          <w:szCs w:val="20"/>
          <w:color w:val="auto"/>
        </w:rPr>
      </w:pPr>
    </w:p>
    <w:p>
      <w:pPr>
        <w:ind w:left="720" w:hanging="370"/>
        <w:spacing w:after="0" w:line="281" w:lineRule="auto"/>
        <w:tabs>
          <w:tab w:leader="none" w:pos="72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difficulties maintaining relationships with third-party manufacturers, contract research organizations, collaborators and other business partners;</w:t>
      </w:r>
    </w:p>
    <w:p>
      <w:pPr>
        <w:spacing w:after="0" w:line="61" w:lineRule="exact"/>
        <w:rPr>
          <w:rFonts w:ascii="Times New Roman" w:cs="Times New Roman" w:eastAsia="Times New Roman" w:hAnsi="Times New Roman"/>
          <w:sz w:val="20"/>
          <w:szCs w:val="20"/>
          <w:color w:val="auto"/>
        </w:rPr>
      </w:pPr>
    </w:p>
    <w:p>
      <w:pPr>
        <w:ind w:left="720" w:right="20" w:hanging="370"/>
        <w:spacing w:after="0" w:line="281" w:lineRule="auto"/>
        <w:tabs>
          <w:tab w:leader="none" w:pos="72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termination of the Transaction Agreement by us or Lilly under specified circumstances, we would be required to pay a termination fee of approximately $63 million; and</w:t>
      </w:r>
    </w:p>
    <w:p>
      <w:pPr>
        <w:spacing w:after="0" w:line="61"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could be subject to litigation related to any failure to complete the Transaction.</w:t>
      </w:r>
    </w:p>
    <w:p>
      <w:pPr>
        <w:spacing w:after="0" w:line="121"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The announcement and pendency of our acquisition by Lilly could adversely affect our business, prospects, financial condition, and results of operations.</w:t>
      </w:r>
    </w:p>
    <w:p>
      <w:pPr>
        <w:spacing w:after="0" w:line="57" w:lineRule="exact"/>
        <w:rPr>
          <w:sz w:val="20"/>
          <w:szCs w:val="20"/>
          <w:color w:val="auto"/>
        </w:rPr>
      </w:pPr>
    </w:p>
    <w:p>
      <w:pPr>
        <w:jc w:val="both"/>
        <w:ind w:right="20" w:firstLine="720"/>
        <w:spacing w:after="0" w:line="260" w:lineRule="auto"/>
        <w:rPr>
          <w:sz w:val="20"/>
          <w:szCs w:val="20"/>
          <w:color w:val="auto"/>
        </w:rPr>
      </w:pPr>
      <w:r>
        <w:rPr>
          <w:rFonts w:ascii="Times New Roman" w:cs="Times New Roman" w:eastAsia="Times New Roman" w:hAnsi="Times New Roman"/>
          <w:sz w:val="20"/>
          <w:szCs w:val="20"/>
          <w:color w:val="auto"/>
        </w:rPr>
        <w:t>The announcement and pendency of the Transaction could cause disruptions in and create uncertainty surrounding our business, which could have an adverse effect on our business, prospects, financial condition, and results of operations, regardless of whether the Transaction is completed. These risks to our business include the following, all of which could be exacerbated by a delay in the completion of the Transaction:</w:t>
      </w:r>
    </w:p>
    <w:p>
      <w:pPr>
        <w:spacing w:after="0" w:line="104" w:lineRule="exact"/>
        <w:rPr>
          <w:sz w:val="20"/>
          <w:szCs w:val="20"/>
          <w:color w:val="auto"/>
        </w:rPr>
      </w:pPr>
    </w:p>
    <w:p>
      <w:pPr>
        <w:ind w:left="720" w:hanging="370"/>
        <w:spacing w:after="0"/>
        <w:tabs>
          <w:tab w:leader="none" w:pos="720" w:val="left"/>
        </w:tabs>
        <w:numPr>
          <w:ilvl w:val="0"/>
          <w:numId w:val="24"/>
        </w:numPr>
        <w:rPr>
          <w:rFonts w:ascii="Arial" w:cs="Arial" w:eastAsia="Arial" w:hAnsi="Arial"/>
          <w:sz w:val="24"/>
          <w:szCs w:val="24"/>
          <w:b w:val="1"/>
          <w:bCs w:val="1"/>
          <w:color w:val="auto"/>
        </w:rPr>
      </w:pPr>
      <w:r>
        <w:rPr>
          <w:rFonts w:ascii="Times New Roman" w:cs="Times New Roman" w:eastAsia="Times New Roman" w:hAnsi="Times New Roman"/>
          <w:sz w:val="20"/>
          <w:szCs w:val="20"/>
          <w:color w:val="auto"/>
        </w:rPr>
        <w:t>the diversion of significant management time and resources towards the completion of the Transaction;</w:t>
      </w:r>
    </w:p>
    <w:p>
      <w:pPr>
        <w:spacing w:after="0" w:line="123" w:lineRule="exact"/>
        <w:rPr>
          <w:rFonts w:ascii="Arial" w:cs="Arial" w:eastAsia="Arial" w:hAnsi="Arial"/>
          <w:sz w:val="24"/>
          <w:szCs w:val="24"/>
          <w:b w:val="1"/>
          <w:bCs w:val="1"/>
          <w:color w:val="auto"/>
        </w:rPr>
      </w:pPr>
    </w:p>
    <w:p>
      <w:pPr>
        <w:ind w:left="720" w:hanging="370"/>
        <w:spacing w:after="0"/>
        <w:tabs>
          <w:tab w:leader="none" w:pos="720" w:val="left"/>
        </w:tabs>
        <w:numPr>
          <w:ilvl w:val="0"/>
          <w:numId w:val="24"/>
        </w:numPr>
        <w:rPr>
          <w:rFonts w:ascii="Times New Roman" w:cs="Times New Roman" w:eastAsia="Times New Roman" w:hAnsi="Times New Roman"/>
          <w:sz w:val="24"/>
          <w:szCs w:val="24"/>
          <w:color w:val="auto"/>
        </w:rPr>
      </w:pPr>
      <w:r>
        <w:rPr>
          <w:rFonts w:ascii="Times New Roman" w:cs="Times New Roman" w:eastAsia="Times New Roman" w:hAnsi="Times New Roman"/>
          <w:sz w:val="20"/>
          <w:szCs w:val="20"/>
          <w:color w:val="auto"/>
        </w:rPr>
        <w:t>the impairment of our ability to attract, retain and motivate key personnel, including our senior management;</w:t>
      </w:r>
    </w:p>
    <w:p>
      <w:pPr>
        <w:spacing w:after="0" w:line="147" w:lineRule="exact"/>
        <w:rPr>
          <w:rFonts w:ascii="Times New Roman" w:cs="Times New Roman" w:eastAsia="Times New Roman" w:hAnsi="Times New Roman"/>
          <w:sz w:val="24"/>
          <w:szCs w:val="24"/>
          <w:color w:val="auto"/>
        </w:rPr>
      </w:pPr>
    </w:p>
    <w:p>
      <w:pPr>
        <w:jc w:val="both"/>
        <w:ind w:left="720" w:hanging="370"/>
        <w:spacing w:after="0" w:line="287" w:lineRule="auto"/>
        <w:tabs>
          <w:tab w:leader="none" w:pos="720" w:val="left"/>
        </w:tabs>
        <w:numPr>
          <w:ilvl w:val="0"/>
          <w:numId w:val="24"/>
        </w:numPr>
        <w:rPr>
          <w:rFonts w:ascii="Times New Roman" w:cs="Times New Roman" w:eastAsia="Times New Roman" w:hAnsi="Times New Roman"/>
          <w:sz w:val="24"/>
          <w:szCs w:val="24"/>
          <w:color w:val="auto"/>
        </w:rPr>
      </w:pPr>
      <w:r>
        <w:rPr>
          <w:rFonts w:ascii="Times New Roman" w:cs="Times New Roman" w:eastAsia="Times New Roman" w:hAnsi="Times New Roman"/>
          <w:sz w:val="20"/>
          <w:szCs w:val="20"/>
          <w:color w:val="auto"/>
        </w:rPr>
        <w:t>difficulties maintaining relationships with investigators, healthcare professionals, consultants, third-party payors, customers and other business partners, who may defer decisions about working with us or seek to change existing business relationships with us;</w:t>
      </w:r>
    </w:p>
    <w:p>
      <w:pPr>
        <w:spacing w:after="0" w:line="103" w:lineRule="exact"/>
        <w:rPr>
          <w:rFonts w:ascii="Times New Roman" w:cs="Times New Roman" w:eastAsia="Times New Roman" w:hAnsi="Times New Roman"/>
          <w:sz w:val="24"/>
          <w:szCs w:val="24"/>
          <w:color w:val="auto"/>
        </w:rPr>
      </w:pPr>
    </w:p>
    <w:p>
      <w:pPr>
        <w:jc w:val="both"/>
        <w:ind w:left="720" w:right="20" w:hanging="370"/>
        <w:spacing w:after="0" w:line="287" w:lineRule="auto"/>
        <w:tabs>
          <w:tab w:leader="none" w:pos="720" w:val="left"/>
        </w:tabs>
        <w:numPr>
          <w:ilvl w:val="0"/>
          <w:numId w:val="24"/>
        </w:numPr>
        <w:rPr>
          <w:rFonts w:ascii="Times New Roman" w:cs="Times New Roman" w:eastAsia="Times New Roman" w:hAnsi="Times New Roman"/>
          <w:sz w:val="24"/>
          <w:szCs w:val="24"/>
          <w:color w:val="auto"/>
        </w:rPr>
      </w:pPr>
      <w:r>
        <w:rPr>
          <w:rFonts w:ascii="Times New Roman" w:cs="Times New Roman" w:eastAsia="Times New Roman" w:hAnsi="Times New Roman"/>
          <w:sz w:val="20"/>
          <w:szCs w:val="20"/>
          <w:color w:val="auto"/>
        </w:rPr>
        <w:t>the inability to pursue alternative business opportunities or make appropriate changes to our business because of requirements in the Transaction Agreement that we conduct our business in the ordinary course and not engage in certain kinds of transactions or business activities prior to the completion of the Transaction; and</w:t>
      </w:r>
    </w:p>
    <w:p>
      <w:pPr>
        <w:spacing w:after="0" w:line="88" w:lineRule="exact"/>
        <w:rPr>
          <w:rFonts w:ascii="Times New Roman" w:cs="Times New Roman" w:eastAsia="Times New Roman" w:hAnsi="Times New Roman"/>
          <w:sz w:val="24"/>
          <w:szCs w:val="24"/>
          <w:color w:val="auto"/>
        </w:rPr>
      </w:pPr>
    </w:p>
    <w:p>
      <w:pPr>
        <w:ind w:left="720" w:hanging="370"/>
        <w:spacing w:after="0"/>
        <w:tabs>
          <w:tab w:leader="none" w:pos="720" w:val="left"/>
        </w:tabs>
        <w:numPr>
          <w:ilvl w:val="0"/>
          <w:numId w:val="24"/>
        </w:numPr>
        <w:rPr>
          <w:rFonts w:ascii="Times New Roman" w:cs="Times New Roman" w:eastAsia="Times New Roman" w:hAnsi="Times New Roman"/>
          <w:sz w:val="24"/>
          <w:szCs w:val="24"/>
          <w:color w:val="auto"/>
        </w:rPr>
      </w:pPr>
      <w:r>
        <w:rPr>
          <w:rFonts w:ascii="Times New Roman" w:cs="Times New Roman" w:eastAsia="Times New Roman" w:hAnsi="Times New Roman"/>
          <w:sz w:val="20"/>
          <w:szCs w:val="20"/>
          <w:color w:val="auto"/>
        </w:rPr>
        <w:t>litigation relating to the Transaction and the costs and distractions related thereto.</w:t>
      </w:r>
    </w:p>
    <w:p>
      <w:pPr>
        <w:spacing w:after="0" w:line="111"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The Transaction Agreement contains provisions that could discourage a potential competing acquirer of our Company or could result in any competing proposal being at a lower price than it might otherwise be.</w:t>
      </w:r>
    </w:p>
    <w:p>
      <w:pPr>
        <w:spacing w:after="0" w:line="57"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We are subject to certain restrictions on our ability to solicit alternative acquisition proposals from third parties, to provide information to third parties and to enter into or continue discussions or negotiations with third parties regarding alternative acquisition proposals, subject to customary exceptions. In addition, we may be required to pay Lilly a termination fee of approximately $63 million in specified circumstances, including due to the entry by the Company into a definitive agreement with respect to a Superior Proposal (as defined in the Transaction Agreement), or certain other triggering events, such as if the High Court of Justice of England and Wales declines or refuses to sanction the Scheme of Arrangement and the Company shall have communicated to the Court at the hearing to sanction the Scheme of Arrangement that the Board no longer supports the consummation of the Transaction or no longer wishes the Court to sanction the Scheme of Arrangement. These provisions could discourage a potential competing acquirer that might have an interest in acquiring all or a significant part of our company from considering or proposing such an acquisition, including, if the Transaction Agreement is terminated prior to the consummation of the Transaction, after such termination of the Transaction Agreement, even if it were prepared to pay a purchase price per share higher than the purchase price per share proposed to be paid in the Transaction, or might result in a potential competing acquirer proposing to pay a lower price than it might otherwise have proposed to pay because of the added expense of the termination fee that may become payable in specified circumstances under the Transaction Agreement, including, in certain circumstances, after a valid termination of the Transaction Agreement in accordance with the terms thereof.</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While the Transaction Agreement is in effect, we are subject to restrictions on our business activities.</w:t>
      </w:r>
    </w:p>
    <w:p>
      <w:pPr>
        <w:spacing w:after="0" w:line="139"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The Transaction Agreement includes restrictions on the conduct of our business prior to the completion of the Transaction, generally requiring us to use commercially reasonable efforts to conduct our business and operations in all material respects in the ordinary course and to preserve intact our business organization and significant business relationships. In addition, we are subject to a variety of specified restrictions. Unless we obtain Lilly’s prior written consent (which consent may not be unreasonably withheld, conditioned or delayed), except as specifically required by the</w:t>
      </w:r>
    </w:p>
    <w:p>
      <w:pPr>
        <w:sectPr>
          <w:pgSz w:w="12240" w:h="15840" w:orient="portrait"/>
          <w:cols w:equalWidth="0" w:num="1">
            <w:col w:w="9900"/>
          </w:cols>
          <w:pgMar w:left="1180" w:top="208" w:right="1160" w:bottom="0" w:gutter="0" w:footer="0" w:header="0"/>
        </w:sectPr>
      </w:pPr>
    </w:p>
    <w:p>
      <w:pPr>
        <w:spacing w:after="0" w:line="200" w:lineRule="exact"/>
        <w:rPr>
          <w:sz w:val="20"/>
          <w:szCs w:val="20"/>
          <w:color w:val="auto"/>
        </w:rPr>
      </w:pPr>
    </w:p>
    <w:p>
      <w:pPr>
        <w:spacing w:after="0" w:line="26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40</w:t>
      </w:r>
    </w:p>
    <w:p>
      <w:pPr>
        <w:sectPr>
          <w:pgSz w:w="12240" w:h="15840" w:orient="portrait"/>
          <w:cols w:equalWidth="0" w:num="1">
            <w:col w:w="9900"/>
          </w:cols>
          <w:pgMar w:left="1180" w:top="208" w:right="1160" w:bottom="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400"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Transaction Agreement or required by applicable law, we may not, among other things and subject to certain exceptions, limitations and qualifications, incur additional indebtedness, issue additional shares of our ADSs outside of our equity incentive plans, repurchase our ADSs, pay dividends, acquire certain assets or securities, sell or dispose of intellectual property, or enter into material contracts or make certain capital expenditures. We may find that these and other contractual restrictions in the Transaction Agreement delay or prevent us from responding, or limit our ability to respond, effectively to competitive pressures, industry developments and future business opportunities that may arise during such period, even if our management believes they may be advisable. If any of these effects were to occur, it could materially and adversely impact our operating results, financial position, cash flows or the price of our ADSs.</w:t>
      </w:r>
    </w:p>
    <w:p>
      <w:pPr>
        <w:spacing w:after="0" w:line="84"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Litigation against us, Lilly, or the members of the respective boards, could prevent or delay the completion of the Transaction or result in the payment of damages following completion of the Transaction.</w:t>
      </w:r>
    </w:p>
    <w:p>
      <w:pPr>
        <w:spacing w:after="0" w:line="57" w:lineRule="exact"/>
        <w:rPr>
          <w:sz w:val="20"/>
          <w:szCs w:val="20"/>
          <w:color w:val="auto"/>
        </w:rPr>
      </w:pPr>
    </w:p>
    <w:p>
      <w:pPr>
        <w:jc w:val="both"/>
        <w:ind w:right="20" w:firstLine="720"/>
        <w:spacing w:after="0" w:line="253" w:lineRule="auto"/>
        <w:rPr>
          <w:sz w:val="20"/>
          <w:szCs w:val="20"/>
          <w:color w:val="auto"/>
        </w:rPr>
      </w:pPr>
      <w:r>
        <w:rPr>
          <w:rFonts w:ascii="Times New Roman" w:cs="Times New Roman" w:eastAsia="Times New Roman" w:hAnsi="Times New Roman"/>
          <w:sz w:val="20"/>
          <w:szCs w:val="20"/>
          <w:color w:val="auto"/>
        </w:rPr>
        <w:t>It is a condition to the Transaction that no injunction or other order preventing the consummation of the Transaction shall have been issued by any court of competent jurisdiction or other governmental authority of competent jurisdiction and remain in effect. It is possible that lawsuits may be filed by our shareholders and/or Lilly’s stockholders challenging the Transaction. The outcome of such lawsuits cannot be assured, including the amount of costs associated with defending these claims or any other liabilities that may be incurred in connection with the litigation of these claims. If plaintiffs are successful in obtaining an injunction prohibiting the parties from completing the Transaction on the agreed-upon terms, such an injunction may delay the consummation of the Transaction in the expected timeframe, or may prevent the Transaction from being consummated at all. Whether or not any plaintiff’s claim is successful, this type of litigation can result in significant costs and divert management’s attention and resources from the closing of the Transaction and ongoing business activities, which could adversely affect our operations.</w:t>
      </w:r>
    </w:p>
    <w:p>
      <w:pPr>
        <w:spacing w:after="0" w:line="86"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Our shareholders may not receive any payment on the CVR and the CVR may expire valueless and our shareholders will otherwise not be able to participate in any further upside to our business if the Transaction is consummated.</w:t>
      </w:r>
    </w:p>
    <w:p>
      <w:pPr>
        <w:spacing w:after="0" w:line="57" w:lineRule="exact"/>
        <w:rPr>
          <w:sz w:val="20"/>
          <w:szCs w:val="20"/>
          <w:color w:val="auto"/>
        </w:rPr>
      </w:pPr>
    </w:p>
    <w:p>
      <w:pPr>
        <w:jc w:val="both"/>
        <w:ind w:right="20" w:firstLine="720"/>
        <w:spacing w:after="0" w:line="253" w:lineRule="auto"/>
        <w:rPr>
          <w:sz w:val="20"/>
          <w:szCs w:val="20"/>
          <w:color w:val="auto"/>
        </w:rPr>
      </w:pPr>
      <w:r>
        <w:rPr>
          <w:rFonts w:ascii="Times New Roman" w:cs="Times New Roman" w:eastAsia="Times New Roman" w:hAnsi="Times New Roman"/>
          <w:sz w:val="20"/>
          <w:szCs w:val="20"/>
          <w:color w:val="auto"/>
        </w:rPr>
        <w:t>If the Transaction is completed, the holders of our ordinary shares and ADSs will be entitled to receive CVRs, subject to the terms and conditions of the CVR Agreement. Each CVR will represent a contractual right to receive contingent cash payments upon the occurrence of certain milestones. There can be no assurance that the Milestones will be achieved prior to their expiration or termination of the CVR Agreement, or that payment will be required of Parent with respect to the milestones. The CVRs will not be transferable, except in the limited circumstances specified in the CVR Agreement, will not have any voting or dividend rights, and will not represent any equity or ownership interest in Lilly or any constituent party to the Transaction Agreement. Accordingly, the right of any of our shareholders to receive any future payment on or derive any value from the CVRs will be contingent solely upon the occurrence of certain events, as outlined in the CVR Agreement, and if no such events are achieved for any reason within the time periods specified in the CVR Agreement, no payments will be made under the CVRs, and the CVRs will expire valueless. Other than pursuant to the CVRs, our current shareholders will not receive any additional consideration if our business performs well after the closing of the Transaction and will therefore not receive any other benefit from any such future performance of our business.</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Business Model and Structure</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may not be successful in our efforts to build a pipeline of product candidates with commercial value.</w:t>
      </w:r>
    </w:p>
    <w:p>
      <w:pPr>
        <w:spacing w:after="0" w:line="139"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A key element of Centessa’s strategy is to develop high conviction programs, product candidates, technologies or intellectual property to ultimately deliver transformational medicines to patients. We face significant competition in sourcing high conviction programs, product candidates, technologies or intellectual property, strategic partnerships and licensing and acquisition opportunities, and the negotiation process is time-consuming, costly and complex. We may not be successful in our efforts in building a pipeline of high conviction product candidates for the treatment of various diseases and disorders through acquisitions, licensing or through internal development or in progressing these product candidates through clinical development. Although our research and development efforts to date have resulted in our identification, discovery and preclinical and clinical development of certain of our product candidates, these product candidates may not be safe or effective treatments or therapies in humans, and we may not be able to develop any other product candidates. Although we analyze whether we can replicate scientific results observed prior to our acquisition or investment in a product candidate, we may not be successful in doing so after our investment. Our approach to drug discovery and development is evolving and may not succeed in building a pipeline of product candidates. Even if we are successful in building our pipeline of product candidates, the potential product candidates that we identify may not be suitable for clinical development or generate acceptable clinical data in humans, including as a result of unacceptable toxicity or other characteristics that indicate that they are unlikely to receive marketing approval from the FDA, or other regulatory authorities or achieve market acceptance. If we do not successfully develop and commercialize product candidates, we will not be able to generate product revenue in the future, which likely would result in significant harm to our financial position and adversely affect the price of our ADSs.</w:t>
      </w:r>
    </w:p>
    <w:p>
      <w:pPr>
        <w:sectPr>
          <w:pgSz w:w="12240" w:h="15840" w:orient="portrait"/>
          <w:cols w:equalWidth="0" w:num="1">
            <w:col w:w="9900"/>
          </w:cols>
          <w:pgMar w:left="1180" w:top="208" w:right="1160" w:bottom="0" w:gutter="0" w:footer="0" w:header="0"/>
        </w:sectPr>
      </w:pPr>
    </w:p>
    <w:p>
      <w:pPr>
        <w:spacing w:after="0" w:line="200" w:lineRule="exact"/>
        <w:rPr>
          <w:sz w:val="20"/>
          <w:szCs w:val="20"/>
          <w:color w:val="auto"/>
        </w:rPr>
      </w:pPr>
    </w:p>
    <w:p>
      <w:pPr>
        <w:spacing w:after="0" w:line="22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41</w:t>
      </w:r>
    </w:p>
    <w:p>
      <w:pPr>
        <w:sectPr>
          <w:pgSz w:w="12240" w:h="15840" w:orient="portrait"/>
          <w:cols w:equalWidth="0" w:num="1">
            <w:col w:w="9900"/>
          </w:cols>
          <w:pgMar w:left="1180" w:top="208" w:right="1160" w:bottom="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400" w:lineRule="exact"/>
        <w:rPr>
          <w:sz w:val="20"/>
          <w:szCs w:val="20"/>
          <w:color w:val="auto"/>
        </w:rPr>
      </w:pPr>
    </w:p>
    <w:p>
      <w:pPr>
        <w:jc w:val="both"/>
        <w:ind w:right="20" w:firstLine="720"/>
        <w:spacing w:after="0" w:line="253" w:lineRule="auto"/>
        <w:rPr>
          <w:sz w:val="20"/>
          <w:szCs w:val="20"/>
          <w:color w:val="auto"/>
        </w:rPr>
      </w:pPr>
      <w:r>
        <w:rPr>
          <w:rFonts w:ascii="Times New Roman" w:cs="Times New Roman" w:eastAsia="Times New Roman" w:hAnsi="Times New Roman"/>
          <w:sz w:val="20"/>
          <w:szCs w:val="20"/>
          <w:color w:val="auto"/>
        </w:rPr>
        <w:t>As part of our business strategy, we may expand our product candidate pipeline through in-licenses or acquisitions of discovery or development-stage assets or programs, which entails additional risk to us. While we believe our approach offers an attractive platform for these transactions and for founder subject-matter experts and potential partners, our approach is unique and we may not be able to attract or execute transactions with founder-subject matter experts, sellers, licensors or collaborators who may choose to divest to or grant license to companies that employ more traditional licensing and collaboration approaches. Identifying, selecting, and acquiring promising product candidates requires substantial technical, financial and human resources expertise. Efforts to do so may not result in the actual acquisition or license of a successful product candidate, potentially resulting in a diversion of our management’s time and the expenditure of our resources with no resulting benefit. For example, if we are unable to identify programs that ultimately result in approved products, we may spend material amounts of our capital and other resources evaluating, acquiring, and developing product candidates that ultimately do not provide a return on our investment. We may terminate programs in the future if they do not meet our criteria for advancement.</w:t>
      </w:r>
    </w:p>
    <w:p>
      <w:pPr>
        <w:spacing w:after="0" w:line="322"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A single or limited number of programs, developmental assets or product candidates may comprise a large proportion of our value.</w:t>
      </w:r>
    </w:p>
    <w:p>
      <w:pPr>
        <w:spacing w:after="0" w:line="57" w:lineRule="exact"/>
        <w:rPr>
          <w:sz w:val="20"/>
          <w:szCs w:val="20"/>
          <w:color w:val="auto"/>
        </w:rPr>
      </w:pPr>
    </w:p>
    <w:p>
      <w:pPr>
        <w:jc w:val="both"/>
        <w:ind w:right="20" w:firstLine="720"/>
        <w:spacing w:after="0" w:line="254" w:lineRule="auto"/>
        <w:rPr>
          <w:sz w:val="20"/>
          <w:szCs w:val="20"/>
          <w:color w:val="auto"/>
        </w:rPr>
      </w:pPr>
      <w:r>
        <w:rPr>
          <w:rFonts w:ascii="Times New Roman" w:cs="Times New Roman" w:eastAsia="Times New Roman" w:hAnsi="Times New Roman"/>
          <w:sz w:val="20"/>
          <w:szCs w:val="20"/>
          <w:color w:val="auto"/>
        </w:rPr>
        <w:t>A large proportion of our value may at any time reside in a limited number of our programs and/or developmental assets or product candidates, as we believe is currently the case in light of our focus on our orexin program. Our consolidated financial condition and prospects may be materially diminished if the clinical development or potential commercialization prospects of one of our product candidates or programs or one or more of the intellectual property rights held by us become impaired. Furthermore, a large proportion of our consolidated revenue may at any time be derived from one, or a small number of, licensed technologies, and termination or expiration of licenses to these technologies would likely have a material adverse effect on our consolidated revenue. Any material adverse impact on the value of intellectual property rights or the clinical development of product candidates or programs, could have a material adverse effect on our consolidated business, financial condition, results of operations or prospects.</w:t>
      </w:r>
    </w:p>
    <w:p>
      <w:pPr>
        <w:spacing w:after="0" w:line="320"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57"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Because we have limited financial and managerial resources, we must focus on a limited number of research programs and product candidates and on specific indications. As a result, we may forego or delay pursuit of opportunities with other product candidates or for other indications that later prove to have greater commercial potential, or we may fail to recognize or acquire assets that may be more promising than those we acquire. Our resource allocation decisions may cause us to fail to capitalize on viable commercial products or profitable market opportunities. Our spending on current and future identification, discovery, and preclinical development programs and product candidates for specific indications may not yield any commercially viable products.</w:t>
      </w:r>
    </w:p>
    <w:p>
      <w:pPr>
        <w:spacing w:after="0" w:line="320"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face challenges, risks and expenses related to our operations as well as the management of the expected growth in the scale and complexity of our operations.</w:t>
      </w:r>
    </w:p>
    <w:p>
      <w:pPr>
        <w:spacing w:after="0" w:line="177" w:lineRule="exact"/>
        <w:rPr>
          <w:sz w:val="20"/>
          <w:szCs w:val="20"/>
          <w:color w:val="auto"/>
        </w:rPr>
      </w:pPr>
    </w:p>
    <w:p>
      <w:pPr>
        <w:jc w:val="both"/>
        <w:ind w:right="20" w:firstLine="720"/>
        <w:spacing w:after="0" w:line="256" w:lineRule="auto"/>
        <w:rPr>
          <w:sz w:val="20"/>
          <w:szCs w:val="20"/>
          <w:color w:val="auto"/>
        </w:rPr>
      </w:pPr>
      <w:r>
        <w:rPr>
          <w:rFonts w:ascii="Times New Roman" w:cs="Times New Roman" w:eastAsia="Times New Roman" w:hAnsi="Times New Roman"/>
          <w:sz w:val="20"/>
          <w:szCs w:val="20"/>
          <w:color w:val="auto"/>
        </w:rPr>
        <w:t>As of December 31, 2025, we had 118 full-time equivalent employees. We may not be successful in retaining employees or finding replacements which could have a material adverse effect on our ability to develop and commercialize our programs and product candidates. As our development and commercialization plans and strategies develop, and as we refine our operations as a public company, we expect to need additional managerial, operational, sales, marketing, legal, financial and other personnel. Future growth would impose significant added responsibilities on members of management, including:</w:t>
      </w:r>
    </w:p>
    <w:p>
      <w:pPr>
        <w:spacing w:after="0" w:line="88" w:lineRule="exact"/>
        <w:rPr>
          <w:sz w:val="20"/>
          <w:szCs w:val="20"/>
          <w:color w:val="auto"/>
        </w:rPr>
      </w:pPr>
    </w:p>
    <w:p>
      <w:pPr>
        <w:ind w:left="1080" w:hanging="370"/>
        <w:spacing w:after="0"/>
        <w:tabs>
          <w:tab w:leader="none" w:pos="108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identifying, recruiting, integrating, maintaining and motivating additional employees;</w:t>
      </w:r>
    </w:p>
    <w:p>
      <w:pPr>
        <w:spacing w:after="0" w:line="130" w:lineRule="exact"/>
        <w:rPr>
          <w:rFonts w:ascii="Times New Roman" w:cs="Times New Roman" w:eastAsia="Times New Roman" w:hAnsi="Times New Roman"/>
          <w:sz w:val="20"/>
          <w:szCs w:val="20"/>
          <w:color w:val="auto"/>
        </w:rPr>
      </w:pPr>
    </w:p>
    <w:p>
      <w:pPr>
        <w:jc w:val="both"/>
        <w:ind w:left="1080" w:right="20" w:hanging="370"/>
        <w:spacing w:after="0" w:line="266" w:lineRule="auto"/>
        <w:tabs>
          <w:tab w:leader="none" w:pos="108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managing our internal development efforts effectively, including the clinical and FDA review process for our product candidates, while complying with our contractual obligations to contractors and other third parties; and</w:t>
      </w:r>
    </w:p>
    <w:p>
      <w:pPr>
        <w:spacing w:after="0" w:line="75" w:lineRule="exact"/>
        <w:rPr>
          <w:rFonts w:ascii="Times New Roman" w:cs="Times New Roman" w:eastAsia="Times New Roman" w:hAnsi="Times New Roman"/>
          <w:sz w:val="20"/>
          <w:szCs w:val="20"/>
          <w:color w:val="auto"/>
        </w:rPr>
      </w:pPr>
    </w:p>
    <w:p>
      <w:pPr>
        <w:ind w:left="1080" w:hanging="370"/>
        <w:spacing w:after="0"/>
        <w:tabs>
          <w:tab w:leader="none" w:pos="108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improving our operational, legal, financial and management controls, reporting systems and procedures.</w:t>
      </w:r>
    </w:p>
    <w:p>
      <w:pPr>
        <w:spacing w:after="0" w:line="250" w:lineRule="exact"/>
        <w:rPr>
          <w:sz w:val="20"/>
          <w:szCs w:val="20"/>
          <w:color w:val="auto"/>
        </w:rPr>
      </w:pPr>
    </w:p>
    <w:p>
      <w:pPr>
        <w:jc w:val="both"/>
        <w:ind w:firstLine="720"/>
        <w:spacing w:after="0" w:line="260" w:lineRule="auto"/>
        <w:rPr>
          <w:sz w:val="20"/>
          <w:szCs w:val="20"/>
          <w:color w:val="auto"/>
        </w:rPr>
      </w:pPr>
      <w:r>
        <w:rPr>
          <w:rFonts w:ascii="Times New Roman" w:cs="Times New Roman" w:eastAsia="Times New Roman" w:hAnsi="Times New Roman"/>
          <w:sz w:val="20"/>
          <w:szCs w:val="20"/>
          <w:color w:val="auto"/>
        </w:rPr>
        <w:t>Our future financial performance and our ability to commercialize any product candidates if approved for marketing will depend, in part, on our ability to effectively manage any future growth, and our management may also have to divert a disproportionate amount of its attention away from day-to-day activities in order to devote a substantial amount of time to managing these growth activities.</w:t>
      </w:r>
    </w:p>
    <w:p>
      <w:pPr>
        <w:sectPr>
          <w:pgSz w:w="12240" w:h="15840" w:orient="portrait"/>
          <w:cols w:equalWidth="0" w:num="1">
            <w:col w:w="9900"/>
          </w:cols>
          <w:pgMar w:left="1180" w:top="208" w:right="1160" w:bottom="0" w:gutter="0" w:footer="0" w:header="0"/>
        </w:sectPr>
      </w:pPr>
    </w:p>
    <w:p>
      <w:pPr>
        <w:spacing w:after="0" w:line="200" w:lineRule="exact"/>
        <w:rPr>
          <w:sz w:val="20"/>
          <w:szCs w:val="20"/>
          <w:color w:val="auto"/>
        </w:rPr>
      </w:pPr>
    </w:p>
    <w:p>
      <w:pPr>
        <w:spacing w:after="0" w:line="3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42</w:t>
      </w:r>
    </w:p>
    <w:p>
      <w:pPr>
        <w:sectPr>
          <w:pgSz w:w="12240" w:h="15840" w:orient="portrait"/>
          <w:cols w:equalWidth="0" w:num="1">
            <w:col w:w="9900"/>
          </w:cols>
          <w:pgMar w:left="1180" w:top="208" w:right="1160" w:bottom="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400"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We currently rely, and for the foreseeable future will continue to rely, in substantial part on certain independent organizations, advisors and consultants to provide certain services, including substantially all aspects of regulatory approval, clinical trial management and manufacturing. There can be no assurance that the services of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consultants is compromised for any reason, our clinical trials may be extended, delayed or terminated, and we may not be able to obtain regulatory approval of our product candidates or otherwise advance our business. There can be no assurance that we will be able to manage our existing consultants or find other competent outside contractors and consultants on economically reasonable terms, or at all.</w:t>
      </w:r>
    </w:p>
    <w:p>
      <w:pPr>
        <w:spacing w:after="0" w:line="209" w:lineRule="exact"/>
        <w:rPr>
          <w:sz w:val="20"/>
          <w:szCs w:val="20"/>
          <w:color w:val="auto"/>
        </w:rPr>
      </w:pPr>
    </w:p>
    <w:p>
      <w:pPr>
        <w:jc w:val="both"/>
        <w:ind w:right="20" w:firstLine="720"/>
        <w:spacing w:after="0" w:line="260" w:lineRule="auto"/>
        <w:rPr>
          <w:sz w:val="20"/>
          <w:szCs w:val="20"/>
          <w:color w:val="auto"/>
        </w:rPr>
      </w:pPr>
      <w:r>
        <w:rPr>
          <w:rFonts w:ascii="Times New Roman" w:cs="Times New Roman" w:eastAsia="Times New Roman" w:hAnsi="Times New Roman"/>
          <w:sz w:val="20"/>
          <w:szCs w:val="20"/>
          <w:color w:val="auto"/>
        </w:rPr>
        <w:t>If we are not able to effectively expand our organization by hiring new employees and expanding our groups of consultants and contractors, we may not be able to successfully implement the tasks necessary to further develop and potentially commercialize our product candidates and, accordingly, may not achieve our research, development and commercialization goals. We may not have sufficient funding to support our expansion.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Achieving our business strategy depends in large part on the success of our recent CEO transition.</w:t>
      </w:r>
    </w:p>
    <w:p>
      <w:pPr>
        <w:spacing w:after="0" w:line="259" w:lineRule="exact"/>
        <w:rPr>
          <w:sz w:val="20"/>
          <w:szCs w:val="20"/>
          <w:color w:val="auto"/>
        </w:rPr>
      </w:pPr>
    </w:p>
    <w:p>
      <w:pPr>
        <w:jc w:val="both"/>
        <w:ind w:right="20" w:firstLine="720"/>
        <w:spacing w:after="0" w:line="254" w:lineRule="auto"/>
        <w:rPr>
          <w:sz w:val="20"/>
          <w:szCs w:val="20"/>
          <w:color w:val="auto"/>
        </w:rPr>
      </w:pPr>
      <w:r>
        <w:rPr>
          <w:rFonts w:ascii="Times New Roman" w:cs="Times New Roman" w:eastAsia="Times New Roman" w:hAnsi="Times New Roman"/>
          <w:sz w:val="20"/>
          <w:szCs w:val="20"/>
          <w:color w:val="auto"/>
        </w:rPr>
        <w:t>On December 11, 2025, the Company announced that Saurabh Saha, M.D. Ph.D., was stepping down from his position as CEO and a member of the board of directors, and our board of directors had appointed the Company’s President and founder of Centessa’s Orexin Program, Mario Alberto Accardi, Ph.D, as CEO, both effective January 1, 2026. Any significant leadership change involves inherent risk and can be difficult to manage. Our new CEO is critical to executing on and achieving our business strategy, and our success depends, in large part, on the effectiveness of this transition. If our new CEO is unsuccessful at leading the Company and our management team, or is unable to successfully execute the Company’s strategy, our business may be harmed and our financial condition and results of operations may be adversely affected.</w:t>
      </w:r>
    </w:p>
    <w:p>
      <w:pPr>
        <w:spacing w:after="0" w:line="32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Our reliance on a small team of employees located in different geographies who provide services (including administrative, research and development, and other services) across our organization presents operational challenges that may adversely affect our business.</w:t>
      </w:r>
    </w:p>
    <w:p>
      <w:pPr>
        <w:spacing w:after="0" w:line="76" w:lineRule="exact"/>
        <w:rPr>
          <w:sz w:val="20"/>
          <w:szCs w:val="20"/>
          <w:color w:val="auto"/>
        </w:rPr>
      </w:pPr>
    </w:p>
    <w:p>
      <w:pPr>
        <w:jc w:val="both"/>
        <w:ind w:right="20" w:firstLine="720"/>
        <w:spacing w:after="0" w:line="254" w:lineRule="auto"/>
        <w:rPr>
          <w:sz w:val="20"/>
          <w:szCs w:val="20"/>
          <w:color w:val="auto"/>
        </w:rPr>
      </w:pPr>
      <w:r>
        <w:rPr>
          <w:rFonts w:ascii="Times New Roman" w:cs="Times New Roman" w:eastAsia="Times New Roman" w:hAnsi="Times New Roman"/>
          <w:sz w:val="20"/>
          <w:szCs w:val="20"/>
          <w:color w:val="auto"/>
        </w:rPr>
        <w:t>As of December 31, 2025, we had 118 full-time equivalent employees who are located in different geographies across the U.S., UK, UAE and the European Union who provide services across our organization (including operational, administrative, research and development, and other support services). We also have consultants who we rely on for research and development, business development, and other services. While we believe this structure enables us to reduce certain infrastructure costs, the small size of our team may limit our ability to devote adequate personnel, time, and resources to support our operational, research and development activities, and the management of compliance, financial, accounting, and reporting matters. If our team fails to provide adequate operational, administrative, research and development, or other services across our entire organization, our business, financial condition, and results of operations could be harmed.</w:t>
      </w:r>
    </w:p>
    <w:p>
      <w:pPr>
        <w:spacing w:after="0" w:line="320"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Some of our officers currently serve, and in the future may serve, as directors or officers of our Centessa Subsidiaries, and, as a result, have and may continue to have, statutory, fiduciary and other duties to our subsidiaries causing conflicts of interest with respect to their duties to us and their duties to our subsidiaries and in determining how to devote themselves to our affairs and the affairs of our subsidiaries. Our subsidiaries’ partners may also disagree with the sufficiency of resources that we provide to each Centessa Subsidiary.</w:t>
      </w:r>
    </w:p>
    <w:p>
      <w:pPr>
        <w:spacing w:after="0" w:line="88" w:lineRule="exact"/>
        <w:rPr>
          <w:sz w:val="20"/>
          <w:szCs w:val="20"/>
          <w:color w:val="auto"/>
        </w:rPr>
      </w:pPr>
    </w:p>
    <w:p>
      <w:pPr>
        <w:jc w:val="both"/>
        <w:ind w:right="20" w:firstLine="720"/>
        <w:spacing w:after="0" w:line="267" w:lineRule="auto"/>
        <w:rPr>
          <w:sz w:val="20"/>
          <w:szCs w:val="20"/>
          <w:color w:val="auto"/>
        </w:rPr>
      </w:pPr>
      <w:r>
        <w:rPr>
          <w:rFonts w:ascii="Times New Roman" w:cs="Times New Roman" w:eastAsia="Times New Roman" w:hAnsi="Times New Roman"/>
          <w:sz w:val="19"/>
          <w:szCs w:val="19"/>
          <w:color w:val="auto"/>
        </w:rPr>
        <w:t>Certain of our officers, including Iqbal Hussain, our Chief Legal Officer and Gregory Weinhoff, our Chief Business Officer, are directors and/or officers of certain Centessa Subsidiaries and, as a result, have fiduciary or other duties both to us and our subsidiaries. Dr. Weinhoff and Mr. Hussain do not receive any additional compensation for their service as directors of our Centessa Subsidiaries. The conflicts of interest that arise from such duties could interfere with the management of our subsidiaries and their programs and product candidates, or result in disagreements with our subsidiaries’ partners. For example, an individual who is both a director of one of our subsidiaries and an officer of Centessa owes statutory and fiduciary duties to the Centessa Subsidiary and to us, and such individual may encounter circumstances in which his or her decision or action may benefit the Centessa Subsidiary while having a detrimental impact on Centessa, or vice versa, or on another Centessa Subsidiary, including one for which he or she also serves as a director. Further, in the future, certain of our officers may serve as officers and directors of our Centessa Subsidiaries. Any such individual would need to allocate his or her time to responsibilities owed to Centessa and each of the Centessa Subsidiaries for which he or she serves as an officer or director, and would make decisions on behalf of one entity that may negatively</w:t>
      </w:r>
    </w:p>
    <w:p>
      <w:pPr>
        <w:sectPr>
          <w:pgSz w:w="12240" w:h="15840" w:orient="portrait"/>
          <w:cols w:equalWidth="0" w:num="1">
            <w:col w:w="9900"/>
          </w:cols>
          <w:pgMar w:left="1180" w:top="208" w:right="1160" w:bottom="0" w:gutter="0" w:footer="0" w:header="0"/>
        </w:sectPr>
      </w:pPr>
    </w:p>
    <w:p>
      <w:pPr>
        <w:spacing w:after="0" w:line="200" w:lineRule="exact"/>
        <w:rPr>
          <w:sz w:val="20"/>
          <w:szCs w:val="20"/>
          <w:color w:val="auto"/>
        </w:rPr>
      </w:pPr>
    </w:p>
    <w:p>
      <w:pPr>
        <w:spacing w:after="0" w:line="3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43</w:t>
      </w:r>
    </w:p>
    <w:p>
      <w:pPr>
        <w:sectPr>
          <w:pgSz w:w="12240" w:h="15840" w:orient="portrait"/>
          <w:cols w:equalWidth="0" w:num="1">
            <w:col w:w="9900"/>
          </w:cols>
          <w:pgMar w:left="1180" w:top="208" w:right="1160" w:bottom="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400"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impact others. In addition, disputes could arise between us and our Centessa Subsidiary’s partners regarding a conflict of interest or perceived conflict of interest arising from the overlap between the officers and directors of the Centessa Subsidiary and those of Centessa. These partners also may disagree with the amount and quality of resources that are devoted to the Centessa Subsidiary they are invested in. Any such disputes or disagreements could distract our management, interfere with our relations with our partners, and take significant time to resolve, which could disrupt the development of our product candidates, delay our potential commercialization efforts, result in increased costs or make it less likely that other third parties will choose to partner with us in the future.</w:t>
      </w:r>
    </w:p>
    <w:p>
      <w:pPr>
        <w:spacing w:after="0" w:line="320"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Certain of our programs are subject to certain agreements that provide our licensors and/or collaborators with rights that could delay or impact our ability to sell assets, or enter into strategic alliances, collaborations or licensing arrangements with other third parties or the potential sale of our Centessa Subsidiaries.</w:t>
      </w:r>
    </w:p>
    <w:p>
      <w:pPr>
        <w:spacing w:after="0" w:line="76"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Certain of our programs are subject to licenses of intellectual property from third parties and we expect such practice to continue in the future. These third parties have certain rights that could delay collaboration, licensing or other arrangements with another third party, and the existence of these rights may adversely impact our ability to attract an acquirer or partner. These rights include rights of negotiation and fees payable upon a sale of assets or change of control of the Company or a Centessa Subsidiary that are contained in license agreements, payments upon satisfaction of milestones, royalty payments, diligence obligations and other customary terms contained in agreements for the in-license of programs and their intellectual property.</w:t>
      </w:r>
    </w:p>
    <w:p>
      <w:pPr>
        <w:spacing w:after="0" w:line="210" w:lineRule="exact"/>
        <w:rPr>
          <w:sz w:val="20"/>
          <w:szCs w:val="20"/>
          <w:color w:val="auto"/>
        </w:rPr>
      </w:pPr>
    </w:p>
    <w:p>
      <w:pPr>
        <w:jc w:val="both"/>
        <w:ind w:right="20" w:firstLine="720"/>
        <w:spacing w:after="0" w:line="266" w:lineRule="auto"/>
        <w:rPr>
          <w:sz w:val="20"/>
          <w:szCs w:val="20"/>
          <w:color w:val="auto"/>
        </w:rPr>
      </w:pPr>
      <w:r>
        <w:rPr>
          <w:rFonts w:ascii="Times New Roman" w:cs="Times New Roman" w:eastAsia="Times New Roman" w:hAnsi="Times New Roman"/>
          <w:sz w:val="20"/>
          <w:szCs w:val="20"/>
          <w:color w:val="auto"/>
        </w:rPr>
        <w:t>We may incorporate, form or otherwise acquire additional subsidiaries and enter into similar agreements with future counterparties, or our Centessa Subsidiaries may enter into further agreements, that in each case may contain similar provisions or other terms that are not favorable to us.</w:t>
      </w:r>
    </w:p>
    <w:p>
      <w:pPr>
        <w:spacing w:after="0" w:line="186"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Preclinical and clinical development is a long and expensive process and the outcomes are uncertain, and we may terminate one or more of our current preclinical and/or clinical development programs.</w:t>
      </w:r>
    </w:p>
    <w:p>
      <w:pPr>
        <w:spacing w:after="0" w:line="57" w:lineRule="exact"/>
        <w:rPr>
          <w:sz w:val="20"/>
          <w:szCs w:val="20"/>
          <w:color w:val="auto"/>
        </w:rPr>
      </w:pPr>
    </w:p>
    <w:p>
      <w:pPr>
        <w:jc w:val="both"/>
        <w:ind w:right="20" w:firstLine="720"/>
        <w:spacing w:after="0" w:line="253" w:lineRule="auto"/>
        <w:rPr>
          <w:sz w:val="20"/>
          <w:szCs w:val="20"/>
          <w:color w:val="auto"/>
        </w:rPr>
      </w:pPr>
      <w:r>
        <w:rPr>
          <w:rFonts w:ascii="Times New Roman" w:cs="Times New Roman" w:eastAsia="Times New Roman" w:hAnsi="Times New Roman"/>
          <w:sz w:val="20"/>
          <w:szCs w:val="20"/>
          <w:color w:val="auto"/>
        </w:rPr>
        <w:t>We may determine that certain product candidates or programs (preclinical and/or clinical) do not have sufficient potential to warrant the continued allocation of resources toward them. Accordingly, we may elect to terminate our programs for and, in certain cases, our licenses to, such product candidates or programs. If we terminate programs in which we have invested significant resources, we will have expended resources on a program that will not provide a full return on our investment and missed the opportunity to have allocated those resources to potentially more productive uses. In addition, program termination may result in significant additional wind-down related costs being incurred including penalties, redundancy and severance and professional fees and may expose us to additional risks including contractual breach and employment termination claims and may divert a disproportionate amount of management time. For example, in the first quarter of 2025, we discontinued the clinical development of LB101, a conditionally tetravalent PD-L1xCD47 bispecific monoclonal antibody, and first-generation LockBody candidate. We may not be able to terminate a clinical program with an ongoing clinical trial on medical and other grounds and, to the extent we are able to terminate, such termination may expose us to additional risks including regulatory risk.</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Financial Position, Need for Additional Capital and Growth Strategy</w:t>
      </w:r>
    </w:p>
    <w:p>
      <w:pPr>
        <w:spacing w:after="0" w:line="128"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have incurred net losses since inception, and we expect to continue to incur losses for the foreseeable future and may never achieve or maintain profitability.</w:t>
      </w:r>
    </w:p>
    <w:p>
      <w:pPr>
        <w:spacing w:after="0" w:line="57"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We have incurred significant net losses since inception, have not generated any revenue from product sales to date, and financed operations primarily through equity and debt financing. Centessa Pharmaceuticals plc has a limited operating history, and we expect to incur significant losses for the foreseeable future. As an organization, we have devoted substantially all of our efforts to research and development, including clinical and preclinical development of our product candidates, as well as to building out our team. We expect that it could be several years, if ever, before we have a commercialized product candidate. We expect to continue to incur significant expenses and operating losses for the foreseeable future. The net losses we incur may fluctuate significantly from quarter to quarter each financial year. In addition, inflation could adversely impact our financial results. We anticipate that our expenses will increase substantially if, and as, we:</w:t>
      </w:r>
    </w:p>
    <w:p>
      <w:pPr>
        <w:spacing w:after="0" w:line="89" w:lineRule="exact"/>
        <w:rPr>
          <w:sz w:val="20"/>
          <w:szCs w:val="20"/>
          <w:color w:val="auto"/>
        </w:rPr>
      </w:pPr>
    </w:p>
    <w:p>
      <w:pPr>
        <w:ind w:left="1080" w:right="20" w:hanging="370"/>
        <w:spacing w:after="0" w:line="281" w:lineRule="auto"/>
        <w:tabs>
          <w:tab w:leader="none" w:pos="108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continue our research and the preclinical and clinical development of our product candidates, including our ongoing and planned clinical trials;</w:t>
      </w:r>
    </w:p>
    <w:p>
      <w:pPr>
        <w:spacing w:after="0" w:line="61" w:lineRule="exact"/>
        <w:rPr>
          <w:rFonts w:ascii="Times New Roman" w:cs="Times New Roman" w:eastAsia="Times New Roman" w:hAnsi="Times New Roman"/>
          <w:sz w:val="20"/>
          <w:szCs w:val="20"/>
          <w:color w:val="auto"/>
        </w:rPr>
      </w:pPr>
    </w:p>
    <w:p>
      <w:pPr>
        <w:jc w:val="both"/>
        <w:ind w:left="1080" w:right="20" w:hanging="370"/>
        <w:spacing w:after="0" w:line="281" w:lineRule="auto"/>
        <w:tabs>
          <w:tab w:leader="none" w:pos="108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initiate additional clinical trials and preclinical studies for our other product candidates, including those in our pipeline that are expected to advance into the clinic in the near future; if any of our product candidates</w:t>
      </w:r>
    </w:p>
    <w:p>
      <w:pPr>
        <w:sectPr>
          <w:pgSz w:w="12240" w:h="15840" w:orient="portrait"/>
          <w:cols w:equalWidth="0" w:num="1">
            <w:col w:w="9900"/>
          </w:cols>
          <w:pgMar w:left="1180" w:top="208" w:right="1160" w:bottom="0" w:gutter="0" w:footer="0" w:header="0"/>
        </w:sectPr>
      </w:pPr>
    </w:p>
    <w:p>
      <w:pPr>
        <w:spacing w:after="0" w:line="200" w:lineRule="exact"/>
        <w:rPr>
          <w:sz w:val="20"/>
          <w:szCs w:val="20"/>
          <w:color w:val="auto"/>
        </w:rPr>
      </w:pPr>
    </w:p>
    <w:p>
      <w:pPr>
        <w:spacing w:after="0" w:line="3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44</w:t>
      </w:r>
    </w:p>
    <w:p>
      <w:pPr>
        <w:sectPr>
          <w:pgSz w:w="12240" w:h="15840" w:orient="portrait"/>
          <w:cols w:equalWidth="0" w:num="1">
            <w:col w:w="9900"/>
          </w:cols>
          <w:pgMar w:left="1180" w:top="208" w:right="1160" w:bottom="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400" w:lineRule="exact"/>
        <w:rPr>
          <w:sz w:val="20"/>
          <w:szCs w:val="20"/>
          <w:color w:val="auto"/>
        </w:rPr>
      </w:pPr>
    </w:p>
    <w:p>
      <w:pPr>
        <w:ind w:left="1080" w:right="20"/>
        <w:spacing w:after="0" w:line="281" w:lineRule="auto"/>
        <w:rPr>
          <w:sz w:val="20"/>
          <w:szCs w:val="20"/>
          <w:color w:val="auto"/>
        </w:rPr>
      </w:pPr>
      <w:r>
        <w:rPr>
          <w:rFonts w:ascii="Times New Roman" w:cs="Times New Roman" w:eastAsia="Times New Roman" w:hAnsi="Times New Roman"/>
          <w:sz w:val="20"/>
          <w:szCs w:val="20"/>
          <w:color w:val="auto"/>
        </w:rPr>
        <w:t>advance through and complete late-stage development, prepare and submit marketing applications with the FDA and comparable regulatory authorities;</w:t>
      </w:r>
    </w:p>
    <w:p>
      <w:pPr>
        <w:spacing w:after="0" w:line="61" w:lineRule="exact"/>
        <w:rPr>
          <w:sz w:val="20"/>
          <w:szCs w:val="20"/>
          <w:color w:val="auto"/>
        </w:rPr>
      </w:pPr>
    </w:p>
    <w:p>
      <w:pPr>
        <w:ind w:left="1080" w:right="20" w:hanging="370"/>
        <w:spacing w:after="0" w:line="281" w:lineRule="auto"/>
        <w:tabs>
          <w:tab w:leader="none" w:pos="108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experience any delays or encounter any issues with any of the above, including but not limited to failed studies, complex results, safety issues or other regulatory challenges;</w:t>
      </w:r>
    </w:p>
    <w:p>
      <w:pPr>
        <w:spacing w:after="0" w:line="61" w:lineRule="exact"/>
        <w:rPr>
          <w:rFonts w:ascii="Times New Roman" w:cs="Times New Roman" w:eastAsia="Times New Roman" w:hAnsi="Times New Roman"/>
          <w:sz w:val="20"/>
          <w:szCs w:val="20"/>
          <w:color w:val="auto"/>
        </w:rPr>
      </w:pPr>
    </w:p>
    <w:p>
      <w:pPr>
        <w:ind w:left="1080" w:hanging="370"/>
        <w:spacing w:after="0"/>
        <w:tabs>
          <w:tab w:leader="none" w:pos="108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seek to discover and develop additional product candidates;</w:t>
      </w:r>
    </w:p>
    <w:p>
      <w:pPr>
        <w:spacing w:after="0" w:line="130" w:lineRule="exact"/>
        <w:rPr>
          <w:rFonts w:ascii="Times New Roman" w:cs="Times New Roman" w:eastAsia="Times New Roman" w:hAnsi="Times New Roman"/>
          <w:sz w:val="20"/>
          <w:szCs w:val="20"/>
          <w:color w:val="auto"/>
        </w:rPr>
      </w:pPr>
    </w:p>
    <w:p>
      <w:pPr>
        <w:ind w:left="1080" w:right="20" w:hanging="370"/>
        <w:spacing w:after="0" w:line="281" w:lineRule="auto"/>
        <w:tabs>
          <w:tab w:leader="none" w:pos="108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establish a sales, marketing and distribution infrastructure to commercialize any product candidates for which we may obtain marketing approval;</w:t>
      </w:r>
    </w:p>
    <w:p>
      <w:pPr>
        <w:spacing w:after="0" w:line="61" w:lineRule="exact"/>
        <w:rPr>
          <w:rFonts w:ascii="Times New Roman" w:cs="Times New Roman" w:eastAsia="Times New Roman" w:hAnsi="Times New Roman"/>
          <w:sz w:val="20"/>
          <w:szCs w:val="20"/>
          <w:color w:val="auto"/>
        </w:rPr>
      </w:pPr>
    </w:p>
    <w:p>
      <w:pPr>
        <w:ind w:left="1080" w:hanging="370"/>
        <w:spacing w:after="0"/>
        <w:tabs>
          <w:tab w:leader="none" w:pos="108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maintain, expand and protect our intellectual property portfolio;</w:t>
      </w:r>
    </w:p>
    <w:p>
      <w:pPr>
        <w:spacing w:after="0" w:line="130" w:lineRule="exact"/>
        <w:rPr>
          <w:rFonts w:ascii="Times New Roman" w:cs="Times New Roman" w:eastAsia="Times New Roman" w:hAnsi="Times New Roman"/>
          <w:sz w:val="20"/>
          <w:szCs w:val="20"/>
          <w:color w:val="auto"/>
        </w:rPr>
      </w:pPr>
    </w:p>
    <w:p>
      <w:pPr>
        <w:ind w:left="1080" w:right="120" w:hanging="370"/>
        <w:spacing w:after="0" w:line="266" w:lineRule="auto"/>
        <w:tabs>
          <w:tab w:leader="none" w:pos="108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fulfill future potential payment obligations under our incentivization agreements with each Centessa Subsidiary or program, including as a result of meeting program milestones, program divestments, Company change of control, asset sale or out-licensing; and</w:t>
      </w:r>
    </w:p>
    <w:p>
      <w:pPr>
        <w:spacing w:after="0" w:line="75" w:lineRule="exact"/>
        <w:rPr>
          <w:rFonts w:ascii="Times New Roman" w:cs="Times New Roman" w:eastAsia="Times New Roman" w:hAnsi="Times New Roman"/>
          <w:sz w:val="20"/>
          <w:szCs w:val="20"/>
          <w:color w:val="auto"/>
        </w:rPr>
      </w:pPr>
    </w:p>
    <w:p>
      <w:pPr>
        <w:ind w:left="1080" w:hanging="370"/>
        <w:spacing w:after="0"/>
        <w:tabs>
          <w:tab w:leader="none" w:pos="108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acquire or in-license other product candidates and technologies.</w:t>
      </w:r>
    </w:p>
    <w:p>
      <w:pPr>
        <w:spacing w:after="0" w:line="250" w:lineRule="exact"/>
        <w:rPr>
          <w:sz w:val="20"/>
          <w:szCs w:val="20"/>
          <w:color w:val="auto"/>
        </w:rPr>
      </w:pPr>
    </w:p>
    <w:p>
      <w:pPr>
        <w:jc w:val="both"/>
        <w:ind w:right="20" w:firstLine="720"/>
        <w:spacing w:after="0" w:line="253" w:lineRule="auto"/>
        <w:rPr>
          <w:sz w:val="20"/>
          <w:szCs w:val="20"/>
          <w:color w:val="auto"/>
        </w:rPr>
      </w:pPr>
      <w:r>
        <w:rPr>
          <w:rFonts w:ascii="Times New Roman" w:cs="Times New Roman" w:eastAsia="Times New Roman" w:hAnsi="Times New Roman"/>
          <w:sz w:val="20"/>
          <w:szCs w:val="20"/>
          <w:color w:val="auto"/>
        </w:rPr>
        <w:t>To become and remain profitable, we must develop and eventually commercialize product candidates with significant market potential. This will require us to be successful in a range of challenging activities, including completing preclinical testing and clinical trials of our product candidates, obtaining marketing approval for these product candidates, manufacturing, marketing and selling those products for which we may obtain marketing approval and satisfying any post-marketing requirements. We may never succeed in any or all of these activities and, even if we do, we may never generate revenues that are significant or large enough to achieve profitability. If we do achieve profitability, we may not be able to sustain or increase profitability on a quarterly or annual basis. Our failure to become and remain profitable would decrease the value of our company and could impair our ability to raise capital, maintain our research and development efforts and expand our business or continue our operations. A decline in the value of our company could cause you to lose all or part of your investment.</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limited operating history may make it difficult for investors to evaluate our business, operations and prospects.</w:t>
      </w:r>
    </w:p>
    <w:p>
      <w:pPr>
        <w:spacing w:after="0" w:line="139"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Our business commenced operations in 2021. Our operations to date have been limited to organizing and staffing our company, business planning, developing our operating model, raising capital, acquiring our technology, identifying potential product candidates, establishing collaborations and undertaking preclinical studies and clinical trials of our most advanced product candidates. As an organization, we have not yet demonstrated a track record of completing pivotal and/or Phase 3 trials of our product candidates, obtaining marketing approvals, manufacturing a commercial-scale product or conducting sales and marketing activities necessary for successful commercialization. Consequently, any predictions made about our future success or viability may not be as accurate as they could be if we had a longer operating history.</w:t>
      </w:r>
    </w:p>
    <w:p>
      <w:pPr>
        <w:spacing w:after="0" w:line="210" w:lineRule="exact"/>
        <w:rPr>
          <w:sz w:val="20"/>
          <w:szCs w:val="20"/>
          <w:color w:val="auto"/>
        </w:rPr>
      </w:pPr>
    </w:p>
    <w:p>
      <w:pPr>
        <w:jc w:val="both"/>
        <w:ind w:right="20" w:firstLine="720"/>
        <w:spacing w:after="0" w:line="266" w:lineRule="auto"/>
        <w:rPr>
          <w:sz w:val="20"/>
          <w:szCs w:val="20"/>
          <w:color w:val="auto"/>
        </w:rPr>
      </w:pPr>
      <w:r>
        <w:rPr>
          <w:rFonts w:ascii="Times New Roman" w:cs="Times New Roman" w:eastAsia="Times New Roman" w:hAnsi="Times New Roman"/>
          <w:sz w:val="20"/>
          <w:szCs w:val="20"/>
          <w:color w:val="auto"/>
        </w:rPr>
        <w:t>In addition, we may encounter unforeseen expenses, difficulties, complications, delays and other known and unknown factors. We will need to transition from a company with a research focus to a company that is also capable of supporting commercial activities. We may not be successful in such a transition.</w:t>
      </w:r>
    </w:p>
    <w:p>
      <w:pPr>
        <w:spacing w:after="0" w:line="195" w:lineRule="exact"/>
        <w:rPr>
          <w:sz w:val="20"/>
          <w:szCs w:val="20"/>
          <w:color w:val="auto"/>
        </w:rPr>
      </w:pPr>
    </w:p>
    <w:p>
      <w:pPr>
        <w:jc w:val="both"/>
        <w:ind w:right="20" w:firstLine="720"/>
        <w:spacing w:after="0" w:line="266" w:lineRule="auto"/>
        <w:rPr>
          <w:sz w:val="20"/>
          <w:szCs w:val="20"/>
          <w:color w:val="auto"/>
        </w:rPr>
      </w:pPr>
      <w:r>
        <w:rPr>
          <w:rFonts w:ascii="Times New Roman" w:cs="Times New Roman" w:eastAsia="Times New Roman" w:hAnsi="Times New Roman"/>
          <w:sz w:val="20"/>
          <w:szCs w:val="20"/>
          <w:color w:val="auto"/>
        </w:rPr>
        <w:t>We expect our financial condition and operating results to continue to fluctuate significantly from quarter to quarter and year to year due to a variety of factors, many of which are beyond our control and reliance should not be made upon the results of any quarterly or annual periods as indications of future operating performance.</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have never generated revenue from product sales and may never be profitable.</w:t>
      </w:r>
    </w:p>
    <w:p>
      <w:pPr>
        <w:spacing w:after="0" w:line="139" w:lineRule="exact"/>
        <w:rPr>
          <w:sz w:val="20"/>
          <w:szCs w:val="20"/>
          <w:color w:val="auto"/>
        </w:rPr>
      </w:pPr>
    </w:p>
    <w:p>
      <w:pPr>
        <w:jc w:val="both"/>
        <w:ind w:right="20" w:firstLine="720"/>
        <w:spacing w:after="0" w:line="258" w:lineRule="auto"/>
        <w:rPr>
          <w:sz w:val="20"/>
          <w:szCs w:val="20"/>
          <w:color w:val="auto"/>
        </w:rPr>
      </w:pPr>
      <w:r>
        <w:rPr>
          <w:rFonts w:ascii="Times New Roman" w:cs="Times New Roman" w:eastAsia="Times New Roman" w:hAnsi="Times New Roman"/>
          <w:sz w:val="20"/>
          <w:szCs w:val="20"/>
          <w:color w:val="auto"/>
        </w:rPr>
        <w:t>Our ability to generate revenue from product sales and achieve profitability depends on our ability, alone or with collaborative partners, to successfully complete the development of, and obtain the regulatory approvals necessary to commercialize, our product candidates. We do not anticipate generating revenues from product sales for the next several years, if ever. Our ability to generate future revenues from product sales depends heavily on our, or our collaborators’, success in:</w:t>
      </w:r>
    </w:p>
    <w:p>
      <w:pPr>
        <w:spacing w:after="0" w:line="84" w:lineRule="exact"/>
        <w:rPr>
          <w:sz w:val="20"/>
          <w:szCs w:val="20"/>
          <w:color w:val="auto"/>
        </w:rPr>
      </w:pPr>
    </w:p>
    <w:p>
      <w:pPr>
        <w:ind w:left="1080" w:hanging="370"/>
        <w:spacing w:after="0"/>
        <w:tabs>
          <w:tab w:leader="none" w:pos="108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completing research and preclinical and clinical development of our product candidates;</w:t>
      </w:r>
    </w:p>
    <w:p>
      <w:pPr>
        <w:spacing w:after="0" w:line="130" w:lineRule="exact"/>
        <w:rPr>
          <w:rFonts w:ascii="Times New Roman" w:cs="Times New Roman" w:eastAsia="Times New Roman" w:hAnsi="Times New Roman"/>
          <w:sz w:val="20"/>
          <w:szCs w:val="20"/>
          <w:color w:val="auto"/>
        </w:rPr>
      </w:pPr>
    </w:p>
    <w:p>
      <w:pPr>
        <w:ind w:left="1080" w:right="20" w:hanging="370"/>
        <w:spacing w:after="0" w:line="281" w:lineRule="auto"/>
        <w:tabs>
          <w:tab w:leader="none" w:pos="108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seeking and obtaining regulatory and marketing approvals for product candidates for which we complete clinical trials;</w:t>
      </w:r>
    </w:p>
    <w:p>
      <w:pPr>
        <w:spacing w:after="0" w:line="61" w:lineRule="exact"/>
        <w:rPr>
          <w:rFonts w:ascii="Times New Roman" w:cs="Times New Roman" w:eastAsia="Times New Roman" w:hAnsi="Times New Roman"/>
          <w:sz w:val="20"/>
          <w:szCs w:val="20"/>
          <w:color w:val="auto"/>
        </w:rPr>
      </w:pPr>
    </w:p>
    <w:p>
      <w:pPr>
        <w:ind w:left="1080" w:right="20" w:hanging="370"/>
        <w:spacing w:after="0" w:line="281" w:lineRule="auto"/>
        <w:tabs>
          <w:tab w:leader="none" w:pos="108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in-licensing, acquiring, discovering or otherwise expanding our pipeline of product candidates for clinical development;</w:t>
      </w:r>
    </w:p>
    <w:p>
      <w:pPr>
        <w:sectPr>
          <w:pgSz w:w="12240" w:h="15840" w:orient="portrait"/>
          <w:cols w:equalWidth="0" w:num="1">
            <w:col w:w="9900"/>
          </w:cols>
          <w:pgMar w:left="1180" w:top="208" w:right="1160" w:bottom="0" w:gutter="0" w:footer="0" w:header="0"/>
        </w:sectPr>
      </w:pPr>
    </w:p>
    <w:p>
      <w:pPr>
        <w:spacing w:after="0" w:line="3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45</w:t>
      </w:r>
    </w:p>
    <w:p>
      <w:pPr>
        <w:sectPr>
          <w:pgSz w:w="12240" w:h="15840" w:orient="portrait"/>
          <w:cols w:equalWidth="0" w:num="1">
            <w:col w:w="9900"/>
          </w:cols>
          <w:pgMar w:left="1180" w:top="208" w:right="1160" w:bottom="0"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400" w:lineRule="exact"/>
        <w:rPr>
          <w:sz w:val="20"/>
          <w:szCs w:val="20"/>
          <w:color w:val="auto"/>
        </w:rPr>
      </w:pPr>
    </w:p>
    <w:p>
      <w:pPr>
        <w:jc w:val="both"/>
        <w:ind w:left="1080" w:right="20" w:hanging="370"/>
        <w:spacing w:after="0" w:line="266" w:lineRule="auto"/>
        <w:tabs>
          <w:tab w:leader="none" w:pos="108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launching and commercializing product candidates for which we obtain regulatory and marketing approval by establishing a sales force, marketing and distribution infrastructure or, alternatively, collaborating with a commercialization partner;</w:t>
      </w:r>
    </w:p>
    <w:p>
      <w:pPr>
        <w:spacing w:after="0" w:line="75" w:lineRule="exact"/>
        <w:rPr>
          <w:rFonts w:ascii="Times New Roman" w:cs="Times New Roman" w:eastAsia="Times New Roman" w:hAnsi="Times New Roman"/>
          <w:sz w:val="20"/>
          <w:szCs w:val="20"/>
          <w:color w:val="auto"/>
        </w:rPr>
      </w:pPr>
    </w:p>
    <w:p>
      <w:pPr>
        <w:ind w:left="1080" w:right="20" w:hanging="370"/>
        <w:spacing w:after="0" w:line="281" w:lineRule="auto"/>
        <w:tabs>
          <w:tab w:leader="none" w:pos="108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qualifying for adequate coverage and reimbursement by government and third-party payors for our product candidates;</w:t>
      </w:r>
    </w:p>
    <w:p>
      <w:pPr>
        <w:spacing w:after="0" w:line="61" w:lineRule="exact"/>
        <w:rPr>
          <w:rFonts w:ascii="Times New Roman" w:cs="Times New Roman" w:eastAsia="Times New Roman" w:hAnsi="Times New Roman"/>
          <w:sz w:val="20"/>
          <w:szCs w:val="20"/>
          <w:color w:val="auto"/>
        </w:rPr>
      </w:pPr>
    </w:p>
    <w:p>
      <w:pPr>
        <w:ind w:left="1080" w:right="20" w:hanging="370"/>
        <w:spacing w:after="0" w:line="281" w:lineRule="auto"/>
        <w:tabs>
          <w:tab w:leader="none" w:pos="108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maintaining and enhancing a sustainable, scalable, reproducible and transferable manufacturing process for our product candidates;</w:t>
      </w:r>
    </w:p>
    <w:p>
      <w:pPr>
        <w:spacing w:after="0" w:line="61" w:lineRule="exact"/>
        <w:rPr>
          <w:rFonts w:ascii="Times New Roman" w:cs="Times New Roman" w:eastAsia="Times New Roman" w:hAnsi="Times New Roman"/>
          <w:sz w:val="20"/>
          <w:szCs w:val="20"/>
          <w:color w:val="auto"/>
        </w:rPr>
      </w:pPr>
    </w:p>
    <w:p>
      <w:pPr>
        <w:jc w:val="both"/>
        <w:ind w:left="1080" w:right="20" w:hanging="370"/>
        <w:spacing w:after="0" w:line="266" w:lineRule="auto"/>
        <w:tabs>
          <w:tab w:leader="none" w:pos="108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establishing and maintaining supply and manufacturing relationships with third parties that can provide adequate, in both amount and quality, products and services to support clinical development and the market demand for our product candidates, if approved;</w:t>
      </w:r>
    </w:p>
    <w:p>
      <w:pPr>
        <w:spacing w:after="0" w:line="75" w:lineRule="exact"/>
        <w:rPr>
          <w:rFonts w:ascii="Times New Roman" w:cs="Times New Roman" w:eastAsia="Times New Roman" w:hAnsi="Times New Roman"/>
          <w:sz w:val="20"/>
          <w:szCs w:val="20"/>
          <w:color w:val="auto"/>
        </w:rPr>
      </w:pPr>
    </w:p>
    <w:p>
      <w:pPr>
        <w:ind w:left="1080" w:hanging="370"/>
        <w:spacing w:after="0"/>
        <w:tabs>
          <w:tab w:leader="none" w:pos="108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obtaining market acceptance of our product candidates as a viable treatment option;</w:t>
      </w:r>
    </w:p>
    <w:p>
      <w:pPr>
        <w:spacing w:after="0" w:line="130" w:lineRule="exact"/>
        <w:rPr>
          <w:rFonts w:ascii="Times New Roman" w:cs="Times New Roman" w:eastAsia="Times New Roman" w:hAnsi="Times New Roman"/>
          <w:sz w:val="20"/>
          <w:szCs w:val="20"/>
          <w:color w:val="auto"/>
        </w:rPr>
      </w:pPr>
    </w:p>
    <w:p>
      <w:pPr>
        <w:ind w:left="1080" w:hanging="370"/>
        <w:spacing w:after="0"/>
        <w:tabs>
          <w:tab w:leader="none" w:pos="108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addressing any competing technological and market developments;</w:t>
      </w:r>
    </w:p>
    <w:p>
      <w:pPr>
        <w:spacing w:after="0" w:line="130" w:lineRule="exact"/>
        <w:rPr>
          <w:rFonts w:ascii="Times New Roman" w:cs="Times New Roman" w:eastAsia="Times New Roman" w:hAnsi="Times New Roman"/>
          <w:sz w:val="20"/>
          <w:szCs w:val="20"/>
          <w:color w:val="auto"/>
        </w:rPr>
      </w:pPr>
    </w:p>
    <w:p>
      <w:pPr>
        <w:ind w:left="1080" w:hanging="370"/>
        <w:spacing w:after="0"/>
        <w:tabs>
          <w:tab w:leader="none" w:pos="108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implementing additional internal systems and infrastructure, as needed;</w:t>
      </w:r>
    </w:p>
    <w:p>
      <w:pPr>
        <w:spacing w:after="0" w:line="130" w:lineRule="exact"/>
        <w:rPr>
          <w:rFonts w:ascii="Times New Roman" w:cs="Times New Roman" w:eastAsia="Times New Roman" w:hAnsi="Times New Roman"/>
          <w:sz w:val="20"/>
          <w:szCs w:val="20"/>
          <w:color w:val="auto"/>
        </w:rPr>
      </w:pPr>
    </w:p>
    <w:p>
      <w:pPr>
        <w:ind w:left="1080" w:right="20" w:hanging="370"/>
        <w:spacing w:after="0" w:line="281" w:lineRule="auto"/>
        <w:tabs>
          <w:tab w:leader="none" w:pos="108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negotiating favorable terms in any collaboration, licensing or other arrangements into which we may enter and performing our obligations in such collaborations;</w:t>
      </w:r>
    </w:p>
    <w:p>
      <w:pPr>
        <w:spacing w:after="0" w:line="61" w:lineRule="exact"/>
        <w:rPr>
          <w:rFonts w:ascii="Times New Roman" w:cs="Times New Roman" w:eastAsia="Times New Roman" w:hAnsi="Times New Roman"/>
          <w:sz w:val="20"/>
          <w:szCs w:val="20"/>
          <w:color w:val="auto"/>
        </w:rPr>
      </w:pPr>
    </w:p>
    <w:p>
      <w:pPr>
        <w:ind w:left="1080" w:right="20" w:hanging="370"/>
        <w:spacing w:after="0" w:line="281" w:lineRule="auto"/>
        <w:tabs>
          <w:tab w:leader="none" w:pos="108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maintaining, protecting and expanding our portfolio of intellectual property rights, including patents, trade secrets and know-how;</w:t>
      </w:r>
    </w:p>
    <w:p>
      <w:pPr>
        <w:spacing w:after="0" w:line="61" w:lineRule="exact"/>
        <w:rPr>
          <w:rFonts w:ascii="Times New Roman" w:cs="Times New Roman" w:eastAsia="Times New Roman" w:hAnsi="Times New Roman"/>
          <w:sz w:val="20"/>
          <w:szCs w:val="20"/>
          <w:color w:val="auto"/>
        </w:rPr>
      </w:pPr>
    </w:p>
    <w:p>
      <w:pPr>
        <w:ind w:left="1080" w:hanging="370"/>
        <w:spacing w:after="0"/>
        <w:tabs>
          <w:tab w:leader="none" w:pos="108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avoiding and defending against third-party interference or infringement claims; and</w:t>
      </w:r>
    </w:p>
    <w:p>
      <w:pPr>
        <w:spacing w:after="0" w:line="130" w:lineRule="exact"/>
        <w:rPr>
          <w:rFonts w:ascii="Times New Roman" w:cs="Times New Roman" w:eastAsia="Times New Roman" w:hAnsi="Times New Roman"/>
          <w:sz w:val="20"/>
          <w:szCs w:val="20"/>
          <w:color w:val="auto"/>
        </w:rPr>
      </w:pPr>
    </w:p>
    <w:p>
      <w:pPr>
        <w:ind w:left="1080" w:hanging="370"/>
        <w:spacing w:after="0"/>
        <w:tabs>
          <w:tab w:leader="none" w:pos="108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attracting, hiring and retaining qualified personnel.</w:t>
      </w:r>
    </w:p>
    <w:p>
      <w:pPr>
        <w:spacing w:after="0" w:line="250"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Even if one or more of the product candidates that we develop is approved for commercial sale, we anticipate incurring significant costs associated with commercializing any approved product candidate. Our expenses could increase beyond expectations if we are required by the FDA, the EMA, the MHRA, or other regulatory authorities to perform clinical and other studies in addition to those that we currently anticipate. For example, the FDA may require us to perform additional clinical trials of cleminorexton, beyond those we are currently planning to conduct, in order to support an NDA submission in due course. Even if we are able to generate revenues from the sale of any approved products, we may not become profitable and may need to obtain additional funding to continue operations.</w:t>
      </w:r>
    </w:p>
    <w:p>
      <w:pPr>
        <w:spacing w:after="0" w:line="320"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If the Transaction is not completed, we will need substantial additional funds to advance development of our product candidates, and we cannot guarantee that we will have sufficient funds available in the future to develop and commercialize our current or future product candidates.</w:t>
      </w:r>
    </w:p>
    <w:p>
      <w:pPr>
        <w:spacing w:after="0" w:line="76" w:lineRule="exact"/>
        <w:rPr>
          <w:sz w:val="20"/>
          <w:szCs w:val="20"/>
          <w:color w:val="auto"/>
        </w:rPr>
      </w:pPr>
    </w:p>
    <w:p>
      <w:pPr>
        <w:jc w:val="both"/>
        <w:ind w:right="20" w:firstLine="720"/>
        <w:spacing w:after="0" w:line="253" w:lineRule="auto"/>
        <w:rPr>
          <w:sz w:val="20"/>
          <w:szCs w:val="20"/>
          <w:color w:val="auto"/>
        </w:rPr>
      </w:pPr>
      <w:r>
        <w:rPr>
          <w:rFonts w:ascii="Times New Roman" w:cs="Times New Roman" w:eastAsia="Times New Roman" w:hAnsi="Times New Roman"/>
          <w:sz w:val="20"/>
          <w:szCs w:val="20"/>
          <w:color w:val="auto"/>
        </w:rPr>
        <w:t xml:space="preserve">Developing pharmaceutical products, including conducting preclinical studies and clinical trials, is a very time-consuming, expensive and uncertain process that takes years to complete. If the Transaction is not completed, we will need substantial additional funds to expand our development, regulatory, manufacturing, marketing and sales capabilities or contract with other organizations in order to enter and advance our product candidates through preclinical studies and clinical trials. For example, in December 2024 we entered into the Oxford Finance Loan and Security Agreement (See </w:t>
      </w:r>
      <w:r>
        <w:rPr>
          <w:rFonts w:ascii="Times New Roman" w:cs="Times New Roman" w:eastAsia="Times New Roman" w:hAnsi="Times New Roman"/>
          <w:sz w:val="20"/>
          <w:szCs w:val="20"/>
          <w:u w:val="single" w:color="auto"/>
          <w:color w:val="0000FF"/>
        </w:rPr>
        <w:t>Note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6</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 “Debt” for more information). In November 2025, we entered into an amended and restated Open Market Sale</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Agreement (the “Sale Agreement”) with Leerink Partners LLC (“Leerink”), under which Leerink is able to offer and sell, from time to time in “at-the-market” (“ATM”) offerings, shares of the Company’s ADSs having aggregate gross proceeds of up to $250 million. In the event of a sale of Company shares under the ATM, the Company is obligated to pay to Leerink cash commissions of up to 3.0% of the gross proceeds of sales of ADSs under the Sale Agreement.</w:t>
      </w:r>
    </w:p>
    <w:p>
      <w:pPr>
        <w:spacing w:after="0" w:line="216"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As of December 31, 2025, we had cash, cash equivalents, and investments of $577.1 million. Based on our current operating model and development plans, which include certain assumptions, the Company expects cash, cash equivalents, and investments to fund its operations into mid-2028. Our future capital requirements and the period for which we project our existing resources to support our operations may vary significantly from what we currently expect, and changing circumstances, some of which may be beyond our control, could cause us to consume capital significantly faster than we currently anticipate, and we may need to seek additional funds sooner than planned. Our monthly spending levels vary based on new and ongoing development and corporate activities. Because the length of time and activities associated with successful development of our product candidates is highly uncertain, we are unable to estimate the actual funds we will require for development and any approved marketing and commercialization activities.</w:t>
      </w:r>
    </w:p>
    <w:p>
      <w:pPr>
        <w:sectPr>
          <w:pgSz w:w="12240" w:h="15840" w:orient="portrait"/>
          <w:cols w:equalWidth="0" w:num="1">
            <w:col w:w="9900"/>
          </w:cols>
          <w:pgMar w:left="1180" w:top="20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46</w:t>
      </w:r>
    </w:p>
    <w:p>
      <w:pPr>
        <w:sectPr>
          <w:pgSz w:w="12240" w:h="15840" w:orient="portrait"/>
          <w:cols w:equalWidth="0" w:num="1">
            <w:col w:w="9900"/>
          </w:cols>
          <w:pgMar w:left="1180" w:top="208" w:right="1160" w:bottom="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400"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We expect to use our cash resources to fund the continued development and pre-commercialization costs of our clinical-stage product candidates; to fund continued development of the other assets in our pipeline, including designing and conducting preclinical studies and clinical trials, as well as funding discovery, manufacturing, research and development; to fund the acquisition of any drug development activities related to new programs; although we have no material agreements, commitments or understandings with respect to any in-license or acquisition, we have and plan to continue to evaluate such opportunities and engage in related discussions with other business entities from time to time; and the remainder for working capital and other general corporate purposes.</w:t>
      </w:r>
    </w:p>
    <w:p>
      <w:pPr>
        <w:spacing w:after="0" w:line="21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To execute our business plan, we will need, among other things, to:</w:t>
      </w:r>
    </w:p>
    <w:p>
      <w:pPr>
        <w:spacing w:after="0" w:line="130" w:lineRule="exact"/>
        <w:rPr>
          <w:sz w:val="20"/>
          <w:szCs w:val="20"/>
          <w:color w:val="auto"/>
        </w:rPr>
      </w:pPr>
    </w:p>
    <w:p>
      <w:pPr>
        <w:ind w:left="1080" w:right="20" w:hanging="370"/>
        <w:spacing w:after="0" w:line="281" w:lineRule="auto"/>
        <w:tabs>
          <w:tab w:leader="none" w:pos="108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obtain the human and financial resources necessary to develop, test, obtain regulatory approval for, manufacture and market our product candidates;</w:t>
      </w:r>
    </w:p>
    <w:p>
      <w:pPr>
        <w:spacing w:after="0" w:line="61" w:lineRule="exact"/>
        <w:rPr>
          <w:rFonts w:ascii="Times New Roman" w:cs="Times New Roman" w:eastAsia="Times New Roman" w:hAnsi="Times New Roman"/>
          <w:sz w:val="20"/>
          <w:szCs w:val="20"/>
          <w:color w:val="auto"/>
        </w:rPr>
      </w:pPr>
    </w:p>
    <w:p>
      <w:pPr>
        <w:ind w:left="1080" w:right="20" w:hanging="370"/>
        <w:spacing w:after="0" w:line="281" w:lineRule="auto"/>
        <w:tabs>
          <w:tab w:leader="none" w:pos="108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build and maintain a strong intellectual property portfolio and avoid infringing intellectual property of third parties;</w:t>
      </w:r>
    </w:p>
    <w:p>
      <w:pPr>
        <w:spacing w:after="0" w:line="61" w:lineRule="exact"/>
        <w:rPr>
          <w:rFonts w:ascii="Times New Roman" w:cs="Times New Roman" w:eastAsia="Times New Roman" w:hAnsi="Times New Roman"/>
          <w:sz w:val="20"/>
          <w:szCs w:val="20"/>
          <w:color w:val="auto"/>
        </w:rPr>
      </w:pPr>
    </w:p>
    <w:p>
      <w:pPr>
        <w:ind w:left="1080" w:hanging="370"/>
        <w:spacing w:after="0"/>
        <w:tabs>
          <w:tab w:leader="none" w:pos="108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establish and maintain successful licenses, collaborations and alliances;</w:t>
      </w:r>
    </w:p>
    <w:p>
      <w:pPr>
        <w:spacing w:after="0" w:line="130" w:lineRule="exact"/>
        <w:rPr>
          <w:rFonts w:ascii="Times New Roman" w:cs="Times New Roman" w:eastAsia="Times New Roman" w:hAnsi="Times New Roman"/>
          <w:sz w:val="20"/>
          <w:szCs w:val="20"/>
          <w:color w:val="auto"/>
        </w:rPr>
      </w:pPr>
    </w:p>
    <w:p>
      <w:pPr>
        <w:ind w:left="1080" w:hanging="370"/>
        <w:spacing w:after="0"/>
        <w:tabs>
          <w:tab w:leader="none" w:pos="108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satisfy the requirements of clinical trial protocols, including patient enrollment;</w:t>
      </w:r>
    </w:p>
    <w:p>
      <w:pPr>
        <w:spacing w:after="0" w:line="130" w:lineRule="exact"/>
        <w:rPr>
          <w:rFonts w:ascii="Times New Roman" w:cs="Times New Roman" w:eastAsia="Times New Roman" w:hAnsi="Times New Roman"/>
          <w:sz w:val="20"/>
          <w:szCs w:val="20"/>
          <w:color w:val="auto"/>
        </w:rPr>
      </w:pPr>
    </w:p>
    <w:p>
      <w:pPr>
        <w:ind w:left="1080" w:hanging="370"/>
        <w:spacing w:after="0"/>
        <w:tabs>
          <w:tab w:leader="none" w:pos="108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establish and demonstrate the clinical efficacy and safety of our product candidates;</w:t>
      </w:r>
    </w:p>
    <w:p>
      <w:pPr>
        <w:spacing w:after="0" w:line="130" w:lineRule="exact"/>
        <w:rPr>
          <w:rFonts w:ascii="Times New Roman" w:cs="Times New Roman" w:eastAsia="Times New Roman" w:hAnsi="Times New Roman"/>
          <w:sz w:val="20"/>
          <w:szCs w:val="20"/>
          <w:color w:val="auto"/>
        </w:rPr>
      </w:pPr>
    </w:p>
    <w:p>
      <w:pPr>
        <w:ind w:left="1080" w:hanging="370"/>
        <w:spacing w:after="0"/>
        <w:tabs>
          <w:tab w:leader="none" w:pos="108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obtain regulatory approvals;</w:t>
      </w:r>
    </w:p>
    <w:p>
      <w:pPr>
        <w:spacing w:after="0" w:line="130" w:lineRule="exact"/>
        <w:rPr>
          <w:rFonts w:ascii="Times New Roman" w:cs="Times New Roman" w:eastAsia="Times New Roman" w:hAnsi="Times New Roman"/>
          <w:sz w:val="20"/>
          <w:szCs w:val="20"/>
          <w:color w:val="auto"/>
        </w:rPr>
      </w:pPr>
    </w:p>
    <w:p>
      <w:pPr>
        <w:ind w:left="1080" w:right="20" w:hanging="370"/>
        <w:spacing w:after="0" w:line="281" w:lineRule="auto"/>
        <w:tabs>
          <w:tab w:leader="none" w:pos="108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manage our spending as costs and expenses increase due to preclinical studies and clinical trials, regulatory approvals, commercialization, legal and regulatory compliance, and increased operations;</w:t>
      </w:r>
    </w:p>
    <w:p>
      <w:pPr>
        <w:spacing w:after="0" w:line="61" w:lineRule="exact"/>
        <w:rPr>
          <w:rFonts w:ascii="Times New Roman" w:cs="Times New Roman" w:eastAsia="Times New Roman" w:hAnsi="Times New Roman"/>
          <w:sz w:val="20"/>
          <w:szCs w:val="20"/>
          <w:color w:val="auto"/>
        </w:rPr>
      </w:pPr>
    </w:p>
    <w:p>
      <w:pPr>
        <w:ind w:left="1080" w:hanging="370"/>
        <w:spacing w:after="0"/>
        <w:tabs>
          <w:tab w:leader="none" w:pos="108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obtain additional capital to support and expand our operations; and</w:t>
      </w:r>
    </w:p>
    <w:p>
      <w:pPr>
        <w:spacing w:after="0" w:line="130" w:lineRule="exact"/>
        <w:rPr>
          <w:rFonts w:ascii="Times New Roman" w:cs="Times New Roman" w:eastAsia="Times New Roman" w:hAnsi="Times New Roman"/>
          <w:sz w:val="20"/>
          <w:szCs w:val="20"/>
          <w:color w:val="auto"/>
        </w:rPr>
      </w:pPr>
    </w:p>
    <w:p>
      <w:pPr>
        <w:ind w:left="1080" w:hanging="370"/>
        <w:spacing w:after="0"/>
        <w:tabs>
          <w:tab w:leader="none" w:pos="108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market our products to achieve acceptance and use by the medical community in general.</w:t>
      </w:r>
    </w:p>
    <w:p>
      <w:pPr>
        <w:spacing w:after="0" w:line="250" w:lineRule="exact"/>
        <w:rPr>
          <w:sz w:val="20"/>
          <w:szCs w:val="20"/>
          <w:color w:val="auto"/>
        </w:rPr>
      </w:pPr>
    </w:p>
    <w:p>
      <w:pPr>
        <w:jc w:val="both"/>
        <w:ind w:right="20" w:firstLine="720"/>
        <w:spacing w:after="0" w:line="260" w:lineRule="auto"/>
        <w:rPr>
          <w:sz w:val="20"/>
          <w:szCs w:val="20"/>
          <w:color w:val="auto"/>
        </w:rPr>
      </w:pPr>
      <w:r>
        <w:rPr>
          <w:rFonts w:ascii="Times New Roman" w:cs="Times New Roman" w:eastAsia="Times New Roman" w:hAnsi="Times New Roman"/>
          <w:sz w:val="20"/>
          <w:szCs w:val="20"/>
          <w:color w:val="auto"/>
        </w:rPr>
        <w:t>We do not expect to realize revenue from product sales, milestone payments or royalties in the foreseeable future, if at all. Our revenue sources are, and will remain, extremely limited unless and until our product candidates are clinically tested, approved for commercialization and successfully marketed and/or we sell, out-license or otherwise divest certain of our assets.</w:t>
      </w:r>
    </w:p>
    <w:p>
      <w:pPr>
        <w:spacing w:after="0" w:line="203" w:lineRule="exact"/>
        <w:rPr>
          <w:sz w:val="20"/>
          <w:szCs w:val="20"/>
          <w:color w:val="auto"/>
        </w:rPr>
      </w:pPr>
    </w:p>
    <w:p>
      <w:pPr>
        <w:jc w:val="both"/>
        <w:ind w:firstLine="720"/>
        <w:spacing w:after="0" w:line="253" w:lineRule="auto"/>
        <w:rPr>
          <w:sz w:val="20"/>
          <w:szCs w:val="20"/>
          <w:color w:val="auto"/>
        </w:rPr>
      </w:pPr>
      <w:r>
        <w:rPr>
          <w:rFonts w:ascii="Times New Roman" w:cs="Times New Roman" w:eastAsia="Times New Roman" w:hAnsi="Times New Roman"/>
          <w:sz w:val="20"/>
          <w:szCs w:val="20"/>
          <w:color w:val="auto"/>
        </w:rPr>
        <w:t>We will be required to seek additional funding in the future and intend to do so through either public or private equity offerings or debt financings, credit or loan facilities or a combination of one or more of these funding sources. Attempting to secure additional financing may divert management from day-to-day activities, which may adversely affect our ability to develop our product candidates. Our ability to raise additional funds will depend on financial, economic and other factors, many of which are beyond our control. Additional funds may not be available to us on acceptable terms or at all. If we raise additional funds by issuing equity securities, our shareholders will suffer dilution and the terms of any financing may adversely affect the rights of our shareholders. In addition, as a condition to providing additional funds to us, future investors may demand, and may be granted, rights superior to those of existing shareholders. Debt financing, if available, may involve restrictive covenants limiting our flexibility in conducting future business activities, and, in the event of insolvency, debt holders would be repaid before holders of equity securities received any distribution of corporate assets.</w:t>
      </w:r>
    </w:p>
    <w:p>
      <w:pPr>
        <w:spacing w:after="0" w:line="93" w:lineRule="exact"/>
        <w:rPr>
          <w:sz w:val="20"/>
          <w:szCs w:val="20"/>
          <w:color w:val="auto"/>
        </w:rPr>
      </w:pPr>
    </w:p>
    <w:p>
      <w:pPr>
        <w:jc w:val="both"/>
        <w:ind w:right="20" w:firstLine="720"/>
        <w:spacing w:after="0" w:line="254" w:lineRule="auto"/>
        <w:rPr>
          <w:sz w:val="20"/>
          <w:szCs w:val="20"/>
          <w:color w:val="auto"/>
        </w:rPr>
      </w:pPr>
      <w:r>
        <w:rPr>
          <w:rFonts w:ascii="Times New Roman" w:cs="Times New Roman" w:eastAsia="Times New Roman" w:hAnsi="Times New Roman"/>
          <w:sz w:val="20"/>
          <w:szCs w:val="20"/>
          <w:color w:val="auto"/>
        </w:rPr>
        <w:t>If we raise additional funds through collaborations, strategic alliances or licensing arrangements with third parties, we may have to relinquish valuable rights to our technologies, future revenue streams, research programs or product candidates or to grant licenses on terms that may not be favorable to us. Certain amounts of such additional funds raised may need to be used to pay third parties in respect of obligations we owe to them including to our licensors, to participants under subsisting Incentivization Agreements (see Contractual Obligations and Other Commitments) and Oxford Finance. If we are unable to raise additional funds through equity or debt financings when needed, we may be required to delay, reduce or terminate our product development or future commercialization efforts or grant rights to third parties to develop and market product candidates that we would otherwise prefer to develop and market ourselves.</w:t>
      </w:r>
    </w:p>
    <w:p>
      <w:pPr>
        <w:spacing w:after="0" w:line="324"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20"/>
          <w:szCs w:val="20"/>
          <w:b w:val="1"/>
          <w:bCs w:val="1"/>
          <w:i w:val="1"/>
          <w:iCs w:val="1"/>
          <w:color w:val="auto"/>
        </w:rPr>
        <w:t>Our loan facility and payment obligations under the Loan and Security Agreement (“LSA”), with Oxford Finance contain operating and financial covenants that restrict our business and financing activities, are subject to acceleration in specified circumstances and may adversely affect our financial position or results of operations and our ability to raise additional capital which in turn may increase our vulnerability to adverse regulatory developments or economic or</w:t>
      </w:r>
    </w:p>
    <w:p>
      <w:pPr>
        <w:sectPr>
          <w:pgSz w:w="12240" w:h="15840" w:orient="portrait"/>
          <w:cols w:equalWidth="0" w:num="1">
            <w:col w:w="9900"/>
          </w:cols>
          <w:pgMar w:left="1180" w:top="20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47</w:t>
      </w:r>
    </w:p>
    <w:p>
      <w:pPr>
        <w:sectPr>
          <w:pgSz w:w="12240" w:h="15840" w:orient="portrait"/>
          <w:cols w:equalWidth="0" w:num="1">
            <w:col w:w="9900"/>
          </w:cols>
          <w:pgMar w:left="1180" w:top="208" w:right="1160" w:bottom="0"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91"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business downturns or which may result in Oxford Finance taking possession of our assets and disposing of any collateral.</w:t>
      </w:r>
    </w:p>
    <w:p>
      <w:pPr>
        <w:spacing w:after="0" w:line="57" w:lineRule="exact"/>
        <w:rPr>
          <w:sz w:val="20"/>
          <w:szCs w:val="20"/>
          <w:color w:val="auto"/>
        </w:rPr>
      </w:pPr>
    </w:p>
    <w:p>
      <w:pPr>
        <w:jc w:val="both"/>
        <w:ind w:right="20" w:firstLine="720"/>
        <w:spacing w:after="0" w:line="260" w:lineRule="auto"/>
        <w:rPr>
          <w:sz w:val="20"/>
          <w:szCs w:val="20"/>
          <w:color w:val="auto"/>
        </w:rPr>
      </w:pPr>
      <w:r>
        <w:rPr>
          <w:rFonts w:ascii="Times New Roman" w:cs="Times New Roman" w:eastAsia="Times New Roman" w:hAnsi="Times New Roman"/>
          <w:sz w:val="20"/>
          <w:szCs w:val="20"/>
          <w:color w:val="auto"/>
        </w:rPr>
        <w:t>Our loan facility with Oxford Finance contains restrictions that limit our flexibility in operating our business. Under the terms of the LSA, we must maintain, and cause our subsidiaries to maintain, certain covenants, including with respect to limitations on new indebtedness, restrictions on the payment of dividends and maintenance of revenue levels. Our credit facility is collateralized by all of our assets including, among other things, our intellectual property.</w:t>
      </w:r>
    </w:p>
    <w:p>
      <w:pPr>
        <w:spacing w:after="0" w:line="203" w:lineRule="exact"/>
        <w:rPr>
          <w:sz w:val="20"/>
          <w:szCs w:val="20"/>
          <w:color w:val="auto"/>
        </w:rPr>
      </w:pPr>
    </w:p>
    <w:p>
      <w:pPr>
        <w:jc w:val="both"/>
        <w:ind w:right="20" w:firstLine="720"/>
        <w:spacing w:after="0" w:line="253" w:lineRule="auto"/>
        <w:rPr>
          <w:sz w:val="20"/>
          <w:szCs w:val="20"/>
          <w:color w:val="auto"/>
        </w:rPr>
      </w:pPr>
      <w:r>
        <w:rPr>
          <w:rFonts w:ascii="Times New Roman" w:cs="Times New Roman" w:eastAsia="Times New Roman" w:hAnsi="Times New Roman"/>
          <w:sz w:val="20"/>
          <w:szCs w:val="20"/>
          <w:color w:val="auto"/>
        </w:rPr>
        <w:t>On December 30, 2024 (the “Effective Date”), Centessa Pharmaceuticals Holdings, Inc., Centessa Biosciences, Inc. and Centessa Pharmaceuticals LLC (the “Borrowers,” together with the Company, the “Borrower Parties”) entered into a loan and security agreement (the “Loan and Security Agreement” or “LSA”) with Oxford Finance LLC (“Oxford”), as collateral agent and a lender, and the other lenders from time to time party thereto (collectively, the “Lenders”), pursuant to which the Lenders agreed to lend the Borrowers an aggregate principal amount of up to $200.0 million in a series of term loans (the “Term Loans”). Pursuant to the Loan and Security Agreement, the Borrowers received an initial Term Loan of $110.0 million on the Effective Date (the “Initial Term Loan”). The Borrowers have access to up to an additional $40.0 million of loan proceeds in an additional tranche which is available during the period commencing on the date of the occurrence of the Clinical Milestone (as defined in the Loan and Security Agreement) through the earlier of: (i) 90 days following the Clinical Milestone and (ii) June 30, 2028. An additional $50.0 million may be made available to the Borrowers at the Lenders’ sole discretion.</w:t>
      </w:r>
    </w:p>
    <w:p>
      <w:pPr>
        <w:spacing w:after="0" w:line="213" w:lineRule="exact"/>
        <w:rPr>
          <w:sz w:val="20"/>
          <w:szCs w:val="20"/>
          <w:color w:val="auto"/>
        </w:rPr>
      </w:pPr>
    </w:p>
    <w:p>
      <w:pPr>
        <w:jc w:val="both"/>
        <w:ind w:firstLine="720"/>
        <w:spacing w:after="0" w:line="253" w:lineRule="auto"/>
        <w:rPr>
          <w:sz w:val="20"/>
          <w:szCs w:val="20"/>
          <w:color w:val="auto"/>
        </w:rPr>
      </w:pPr>
      <w:r>
        <w:rPr>
          <w:rFonts w:ascii="Times New Roman" w:cs="Times New Roman" w:eastAsia="Times New Roman" w:hAnsi="Times New Roman"/>
          <w:sz w:val="20"/>
          <w:szCs w:val="20"/>
          <w:color w:val="auto"/>
        </w:rPr>
        <w:t>The term loans are set to mature on December 1, 2029 and, following an interest-only period, will begin to amortize in equal monthly installments beginning on February 1, 2029. However, if a specified milestone is achieved on or after the first anniversary of the Effective Date, then the term loans will begin to amortize in equal monthly installments beginning on February 1, 2030, and the maturity date may be extended to December 1, 2030. The term loans accrue interest at a floating rate equal to (i) secured overnight financing rate for a one-month tenor from the website of the CME Group Benchmark Administration Limited, subject to a floor of 3.28%, plus (ii) an applicable margin of 5.00%. The Loan and Security Agreement provides for a minimum interest rate of 8.28% and a maximum interest rate of 10.50%. Interest on the term loans is payable monthly in arrears. The term loans once repaid or prepaid may not be reborrowed. The term loans may be prepaid in full at the option of the Borrowers. The Borrowers are required to pay a prepayment fee of 3.00% for prepayments of term loans made in the first year after funding of such term loans, 2.00% for prepayments of term loans made in the second year after funding of such term loans and 1.00% for prepayments thereafter. The Borrowers are also obligated to pay other customary fees for a loan facility of this size and type.</w:t>
      </w:r>
    </w:p>
    <w:p>
      <w:pPr>
        <w:spacing w:after="0" w:line="211"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Substantially all of the proceeds from the Initial Term Loan were used to repay in full the approximately $110 million aggregate principal amount outstanding, accrued interest and fees related to the Company’s note purchase agreement with Three Peaks Capital Solutions Aggregator Fund and Cocoon SA LLC, an affiliate of Oberland Capital Management LLC, as well as certain fees and expenses payable to Oxford. The Borrowers’ obligations under the Loan and Security Agreement are guaranteed by the Company and certain subsidiaries of the Company and will be guaranteed by the Company’s future subsidiaries, subject to certain customary limitations pursuant to the terms of the English-law Guarantee and Indemnity (the “Guarantee”). In addition, pursuant to the terms of the LSA, the Borrowers granted Oxford, as collateral agent, a first priority security interest in substantially all of the Borrowers’ assets, including intellectual property. Furthermore, pursuant to the terms of the English law debenture entered into on the Effective Date (the “Debenture”), the Company and certain of its subsidiaries granted Oxford a first priority security interest in substantially all of the Company’s and its subsidiaries’ assets, including intellectual property. The LSA contains customary affirmative and negative covenants, including covenants limiting the ability of the Borrower Parties and their subsidiaries to, among other things, dispose of assets, incur debt, grant liens, pay dividends and distributions on their capital stock, make investments and acquisitions, and enter into transactions with affiliates, in each case subject to customary exceptions for a loan facility of this size and type. In addition, the LSA contains a minimum cash covenant commencing on October 1, 2026 and all times thereafter of: (1) 35% of the outstanding principal balance of the Term Loan; and (2) up to 80% of the outstanding principal balance of the Term Loan based on the Company’s orexin agonist program Phase 2 and Phase 3 clinical data and continued Active Development (as defined in the LSA) of its lead orexin asset programs; provided that such minimum cash covenants shall not be tested during periods when the Company’s market capitalization meets $1.0 billion.</w:t>
      </w:r>
    </w:p>
    <w:p>
      <w:pPr>
        <w:spacing w:after="0" w:line="212" w:lineRule="exact"/>
        <w:rPr>
          <w:sz w:val="20"/>
          <w:szCs w:val="20"/>
          <w:color w:val="auto"/>
        </w:rPr>
      </w:pPr>
    </w:p>
    <w:p>
      <w:pPr>
        <w:jc w:val="both"/>
        <w:ind w:firstLine="720"/>
        <w:spacing w:after="0" w:line="256" w:lineRule="auto"/>
        <w:rPr>
          <w:sz w:val="20"/>
          <w:szCs w:val="20"/>
          <w:color w:val="auto"/>
        </w:rPr>
      </w:pPr>
      <w:r>
        <w:rPr>
          <w:rFonts w:ascii="Times New Roman" w:cs="Times New Roman" w:eastAsia="Times New Roman" w:hAnsi="Times New Roman"/>
          <w:sz w:val="20"/>
          <w:szCs w:val="20"/>
          <w:color w:val="auto"/>
        </w:rPr>
        <w:t>The events of default under the LSA include, among others, payment defaults, material misrepresentations, breaches of covenants, cross defaults with certain other material indebtedness, bankruptcy and insolvency events, the occurrence of a Material Adverse Change (as defined in the LSA) and judgment defaults. The occurrence of an event of default could result in the acceleration of the Borrowers’ obligations under the LSA, the termination of the Lenders’ commitments, a 3% increase in the applicable rate of interest and the exercise by the Lender of other rights and remedies provided for under the LSA and the Debenture.</w:t>
      </w:r>
    </w:p>
    <w:p>
      <w:pPr>
        <w:sectPr>
          <w:pgSz w:w="12240" w:h="15840" w:orient="portrait"/>
          <w:cols w:equalWidth="0" w:num="1">
            <w:col w:w="9900"/>
          </w:cols>
          <w:pgMar w:left="1180" w:top="208" w:right="1160" w:bottom="0" w:gutter="0" w:footer="0" w:header="0"/>
        </w:sectPr>
      </w:pPr>
    </w:p>
    <w:p>
      <w:pPr>
        <w:spacing w:after="0" w:line="200" w:lineRule="exact"/>
        <w:rPr>
          <w:sz w:val="20"/>
          <w:szCs w:val="20"/>
          <w:color w:val="auto"/>
        </w:rPr>
      </w:pPr>
    </w:p>
    <w:p>
      <w:pPr>
        <w:spacing w:after="0" w:line="2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48</w:t>
      </w:r>
    </w:p>
    <w:p>
      <w:pPr>
        <w:sectPr>
          <w:pgSz w:w="12240" w:h="15840" w:orient="portrait"/>
          <w:cols w:equalWidth="0" w:num="1">
            <w:col w:w="9900"/>
          </w:cols>
          <w:pgMar w:left="1180" w:top="208" w:right="1160" w:bottom="0"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400" w:lineRule="exact"/>
        <w:rPr>
          <w:sz w:val="20"/>
          <w:szCs w:val="20"/>
          <w:color w:val="auto"/>
        </w:rPr>
      </w:pPr>
    </w:p>
    <w:p>
      <w:pPr>
        <w:jc w:val="both"/>
        <w:ind w:firstLine="720"/>
        <w:spacing w:after="0" w:line="245" w:lineRule="auto"/>
        <w:rPr>
          <w:sz w:val="20"/>
          <w:szCs w:val="20"/>
          <w:color w:val="auto"/>
        </w:rPr>
      </w:pPr>
      <w:r>
        <w:rPr>
          <w:rFonts w:ascii="Times New Roman" w:cs="Times New Roman" w:eastAsia="Times New Roman" w:hAnsi="Times New Roman"/>
          <w:sz w:val="20"/>
          <w:szCs w:val="20"/>
          <w:color w:val="auto"/>
        </w:rPr>
        <w:t>If we breach certain of our debt covenants and are unable to cure such breach within the prescribed period, or are not granted waivers in relation to such breach, it may constitute an event of default under the loan facility, giving Oxford Finance the right to require us to repay the then outstanding debt immediately, and Oxford Finance could, among other things, foreclose on the collateral granted to them to collateralize such indebtedness, if we are unable to pay the outstanding debt immediately. A breach of the covenants contained in the credit facility documents and the acceleration of its repayment obligations by Oxford Finance could have a material adverse effect on our business, financial condition, results of operations and prospects.</w:t>
      </w:r>
    </w:p>
    <w:p>
      <w:pPr>
        <w:spacing w:after="0" w:line="207"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The loan facility could have important negative consequences to the holders of our securities. For example, a portion of our cash flow from operations will be needed to make payments to Oxford Finance and will not be available to fund future operations. Additionally, we may have increased vulnerability to adverse general economic and industry conditions. Payment requirements under the credit facility will increase our cash outflows if and when the conditions for payment are triggered. Our future operating performance is subject to market conditions and business factors that are beyond our control. If our cash inflows and capital resources are insufficient to allow us to make required payments, we may have to reduce or delay capital expenditures, sell assets or seek additional capital. If we raise funds by selling additional equity, such sale would result in dilution to our stockholders. There is no assurance that if we are required to secure funding, we can do so on terms acceptable to us, or at all.</w:t>
      </w:r>
    </w:p>
    <w:p>
      <w:pPr>
        <w:spacing w:after="0" w:line="320"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If we engage in acquisitions or strategic partnerships, this may increase our capital requirements, dilute our shareholders, cause us to incur debt or assume contingent liabilities, and subject us to other risks.</w:t>
      </w:r>
    </w:p>
    <w:p>
      <w:pPr>
        <w:spacing w:after="0" w:line="57" w:lineRule="exact"/>
        <w:rPr>
          <w:sz w:val="20"/>
          <w:szCs w:val="20"/>
          <w:color w:val="auto"/>
        </w:rPr>
      </w:pPr>
    </w:p>
    <w:p>
      <w:pPr>
        <w:jc w:val="both"/>
        <w:ind w:firstLine="720"/>
        <w:spacing w:after="0" w:line="266" w:lineRule="auto"/>
        <w:rPr>
          <w:sz w:val="20"/>
          <w:szCs w:val="20"/>
          <w:color w:val="auto"/>
        </w:rPr>
      </w:pPr>
      <w:r>
        <w:rPr>
          <w:rFonts w:ascii="Times New Roman" w:cs="Times New Roman" w:eastAsia="Times New Roman" w:hAnsi="Times New Roman"/>
          <w:sz w:val="20"/>
          <w:szCs w:val="20"/>
          <w:color w:val="auto"/>
        </w:rPr>
        <w:t>We may engage in various acquisitions and strategic partnerships in the future, including licensing or acquiring new or complementary products, intellectual property rights, technologies, or businesses. Any acquisition or strategic partnership may entail numerous risks, including:</w:t>
      </w:r>
    </w:p>
    <w:p>
      <w:pPr>
        <w:spacing w:after="0" w:line="75" w:lineRule="exact"/>
        <w:rPr>
          <w:sz w:val="20"/>
          <w:szCs w:val="20"/>
          <w:color w:val="auto"/>
        </w:rPr>
      </w:pPr>
    </w:p>
    <w:p>
      <w:pPr>
        <w:ind w:left="1080" w:hanging="370"/>
        <w:spacing w:after="0"/>
        <w:tabs>
          <w:tab w:leader="none" w:pos="108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increased operating expenses and cash requirements;</w:t>
      </w:r>
    </w:p>
    <w:p>
      <w:pPr>
        <w:spacing w:after="0" w:line="130" w:lineRule="exact"/>
        <w:rPr>
          <w:rFonts w:ascii="Times New Roman" w:cs="Times New Roman" w:eastAsia="Times New Roman" w:hAnsi="Times New Roman"/>
          <w:sz w:val="20"/>
          <w:szCs w:val="20"/>
          <w:color w:val="auto"/>
        </w:rPr>
      </w:pPr>
    </w:p>
    <w:p>
      <w:pPr>
        <w:ind w:left="1080" w:hanging="370"/>
        <w:spacing w:after="0"/>
        <w:tabs>
          <w:tab w:leader="none" w:pos="108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assumption of indebtedness or contingent liabilities;</w:t>
      </w:r>
    </w:p>
    <w:p>
      <w:pPr>
        <w:spacing w:after="0" w:line="130" w:lineRule="exact"/>
        <w:rPr>
          <w:rFonts w:ascii="Times New Roman" w:cs="Times New Roman" w:eastAsia="Times New Roman" w:hAnsi="Times New Roman"/>
          <w:sz w:val="20"/>
          <w:szCs w:val="20"/>
          <w:color w:val="auto"/>
        </w:rPr>
      </w:pPr>
    </w:p>
    <w:p>
      <w:pPr>
        <w:ind w:left="1080" w:hanging="370"/>
        <w:spacing w:after="0"/>
        <w:tabs>
          <w:tab w:leader="none" w:pos="108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issuance of our equity securities which would result in dilution to our shareholders;</w:t>
      </w:r>
    </w:p>
    <w:p>
      <w:pPr>
        <w:spacing w:after="0" w:line="130" w:lineRule="exact"/>
        <w:rPr>
          <w:rFonts w:ascii="Times New Roman" w:cs="Times New Roman" w:eastAsia="Times New Roman" w:hAnsi="Times New Roman"/>
          <w:sz w:val="20"/>
          <w:szCs w:val="20"/>
          <w:color w:val="auto"/>
        </w:rPr>
      </w:pPr>
    </w:p>
    <w:p>
      <w:pPr>
        <w:ind w:left="1080" w:hanging="370"/>
        <w:spacing w:after="0" w:line="281" w:lineRule="auto"/>
        <w:tabs>
          <w:tab w:leader="none" w:pos="108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assimilation of operations, intellectual property, products and product candidates of an acquired company, including difficulties associated with integrating new personnel;</w:t>
      </w:r>
    </w:p>
    <w:p>
      <w:pPr>
        <w:spacing w:after="0" w:line="61" w:lineRule="exact"/>
        <w:rPr>
          <w:rFonts w:ascii="Times New Roman" w:cs="Times New Roman" w:eastAsia="Times New Roman" w:hAnsi="Times New Roman"/>
          <w:sz w:val="20"/>
          <w:szCs w:val="20"/>
          <w:color w:val="auto"/>
        </w:rPr>
      </w:pPr>
    </w:p>
    <w:p>
      <w:pPr>
        <w:ind w:left="1080" w:hanging="370"/>
        <w:spacing w:after="0" w:line="281" w:lineRule="auto"/>
        <w:tabs>
          <w:tab w:leader="none" w:pos="108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diversion of our management’s attention from our existing product programs and initiatives in pursuing such an acquisition or strategic partnership;</w:t>
      </w:r>
    </w:p>
    <w:p>
      <w:pPr>
        <w:spacing w:after="0" w:line="61" w:lineRule="exact"/>
        <w:rPr>
          <w:rFonts w:ascii="Times New Roman" w:cs="Times New Roman" w:eastAsia="Times New Roman" w:hAnsi="Times New Roman"/>
          <w:sz w:val="20"/>
          <w:szCs w:val="20"/>
          <w:color w:val="auto"/>
        </w:rPr>
      </w:pPr>
    </w:p>
    <w:p>
      <w:pPr>
        <w:ind w:left="1080" w:hanging="370"/>
        <w:spacing w:after="0" w:line="281" w:lineRule="auto"/>
        <w:tabs>
          <w:tab w:leader="none" w:pos="108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retention of key employees, the loss of key personnel, and uncertainties in our ability to maintain key business relationships;</w:t>
      </w:r>
    </w:p>
    <w:p>
      <w:pPr>
        <w:spacing w:after="0" w:line="61" w:lineRule="exact"/>
        <w:rPr>
          <w:rFonts w:ascii="Times New Roman" w:cs="Times New Roman" w:eastAsia="Times New Roman" w:hAnsi="Times New Roman"/>
          <w:sz w:val="20"/>
          <w:szCs w:val="20"/>
          <w:color w:val="auto"/>
        </w:rPr>
      </w:pPr>
    </w:p>
    <w:p>
      <w:pPr>
        <w:ind w:left="1080" w:hanging="370"/>
        <w:spacing w:after="0" w:line="281" w:lineRule="auto"/>
        <w:tabs>
          <w:tab w:leader="none" w:pos="108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risks and uncertainties associated with the other party to such a transaction, including the prospects of that party and their existing products or product candidates and regulatory approvals; and</w:t>
      </w:r>
    </w:p>
    <w:p>
      <w:pPr>
        <w:spacing w:after="0" w:line="61" w:lineRule="exact"/>
        <w:rPr>
          <w:rFonts w:ascii="Times New Roman" w:cs="Times New Roman" w:eastAsia="Times New Roman" w:hAnsi="Times New Roman"/>
          <w:sz w:val="20"/>
          <w:szCs w:val="20"/>
          <w:color w:val="auto"/>
        </w:rPr>
      </w:pPr>
    </w:p>
    <w:p>
      <w:pPr>
        <w:ind w:left="1080" w:hanging="370"/>
        <w:spacing w:after="0" w:line="281" w:lineRule="auto"/>
        <w:tabs>
          <w:tab w:leader="none" w:pos="108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inability to generate revenue from acquired intellectual property, technology and/or products sufficient to meet our objectives or even to offset the associated transaction and maintenance costs; and</w:t>
      </w:r>
    </w:p>
    <w:p>
      <w:pPr>
        <w:spacing w:after="0" w:line="61" w:lineRule="exact"/>
        <w:rPr>
          <w:rFonts w:ascii="Times New Roman" w:cs="Times New Roman" w:eastAsia="Times New Roman" w:hAnsi="Times New Roman"/>
          <w:sz w:val="20"/>
          <w:szCs w:val="20"/>
          <w:color w:val="auto"/>
        </w:rPr>
      </w:pPr>
    </w:p>
    <w:p>
      <w:pPr>
        <w:ind w:left="1080" w:hanging="370"/>
        <w:spacing w:after="0"/>
        <w:tabs>
          <w:tab w:leader="none" w:pos="108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assumption of liabilities of the acquired subsidiary or acquired assets.</w:t>
      </w:r>
    </w:p>
    <w:p>
      <w:pPr>
        <w:spacing w:after="0" w:line="250" w:lineRule="exact"/>
        <w:rPr>
          <w:sz w:val="20"/>
          <w:szCs w:val="20"/>
          <w:color w:val="auto"/>
        </w:rPr>
      </w:pPr>
    </w:p>
    <w:p>
      <w:pPr>
        <w:jc w:val="both"/>
        <w:ind w:firstLine="720"/>
        <w:spacing w:after="0" w:line="281" w:lineRule="auto"/>
        <w:rPr>
          <w:sz w:val="20"/>
          <w:szCs w:val="20"/>
          <w:color w:val="auto"/>
        </w:rPr>
      </w:pPr>
      <w:r>
        <w:rPr>
          <w:rFonts w:ascii="Times New Roman" w:cs="Times New Roman" w:eastAsia="Times New Roman" w:hAnsi="Times New Roman"/>
          <w:sz w:val="20"/>
          <w:szCs w:val="20"/>
          <w:color w:val="auto"/>
        </w:rPr>
        <w:t>In addition, if we undertake such a transaction, we may issue dilutive securities, assume or incur debt obligations, incur large one-time expenses and acquire intangible assets that could result in significant future amortization expense.</w:t>
      </w:r>
    </w:p>
    <w:p>
      <w:pPr>
        <w:spacing w:after="0" w:line="292"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If we acquire additional assets and/or companies in the future, it could adversely affect our operating results and the value of our ADSs.</w:t>
      </w:r>
    </w:p>
    <w:p>
      <w:pPr>
        <w:spacing w:after="0" w:line="57" w:lineRule="exact"/>
        <w:rPr>
          <w:sz w:val="20"/>
          <w:szCs w:val="20"/>
          <w:color w:val="auto"/>
        </w:rPr>
      </w:pPr>
    </w:p>
    <w:p>
      <w:pPr>
        <w:jc w:val="both"/>
        <w:ind w:firstLine="720"/>
        <w:spacing w:after="0" w:line="266" w:lineRule="auto"/>
        <w:rPr>
          <w:sz w:val="20"/>
          <w:szCs w:val="20"/>
          <w:color w:val="auto"/>
        </w:rPr>
      </w:pPr>
      <w:r>
        <w:rPr>
          <w:rFonts w:ascii="Times New Roman" w:cs="Times New Roman" w:eastAsia="Times New Roman" w:hAnsi="Times New Roman"/>
          <w:sz w:val="20"/>
          <w:szCs w:val="20"/>
          <w:color w:val="auto"/>
        </w:rPr>
        <w:t>As part of our business model and strategy, we may acquire additional assets and/or companies. Investments in our existing and any future subsidiaries and developmental assets involve numerous risks, including, but not necessarily limited to:</w:t>
      </w:r>
    </w:p>
    <w:p>
      <w:pPr>
        <w:spacing w:after="0" w:line="75" w:lineRule="exact"/>
        <w:rPr>
          <w:sz w:val="20"/>
          <w:szCs w:val="20"/>
          <w:color w:val="auto"/>
        </w:rPr>
      </w:pPr>
    </w:p>
    <w:p>
      <w:pPr>
        <w:ind w:left="1080" w:hanging="370"/>
        <w:spacing w:after="0" w:line="281" w:lineRule="auto"/>
        <w:tabs>
          <w:tab w:leader="none" w:pos="108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risk of conducting research and development activities in new therapeutic areas or treatment modalities in which we have little to no experience;</w:t>
      </w:r>
    </w:p>
    <w:p>
      <w:pPr>
        <w:spacing w:after="0" w:line="61" w:lineRule="exact"/>
        <w:rPr>
          <w:rFonts w:ascii="Times New Roman" w:cs="Times New Roman" w:eastAsia="Times New Roman" w:hAnsi="Times New Roman"/>
          <w:sz w:val="20"/>
          <w:szCs w:val="20"/>
          <w:color w:val="auto"/>
        </w:rPr>
      </w:pPr>
    </w:p>
    <w:p>
      <w:pPr>
        <w:ind w:left="1080" w:hanging="370"/>
        <w:spacing w:after="0"/>
        <w:tabs>
          <w:tab w:leader="none" w:pos="108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diversion of financial and managerial resources from existing operations;</w:t>
      </w:r>
    </w:p>
    <w:p>
      <w:pPr>
        <w:spacing w:after="0" w:line="130" w:lineRule="exact"/>
        <w:rPr>
          <w:rFonts w:ascii="Times New Roman" w:cs="Times New Roman" w:eastAsia="Times New Roman" w:hAnsi="Times New Roman"/>
          <w:sz w:val="20"/>
          <w:szCs w:val="20"/>
          <w:color w:val="auto"/>
        </w:rPr>
      </w:pPr>
    </w:p>
    <w:p>
      <w:pPr>
        <w:ind w:left="1080" w:hanging="370"/>
        <w:spacing w:after="0" w:line="281" w:lineRule="auto"/>
        <w:tabs>
          <w:tab w:leader="none" w:pos="108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successfully negotiating a proposed acquisition, in-license or investment in a timely manner and at a price or on terms and conditions favorable to us;</w:t>
      </w:r>
    </w:p>
    <w:p>
      <w:pPr>
        <w:sectPr>
          <w:pgSz w:w="12240" w:h="15840" w:orient="portrait"/>
          <w:cols w:equalWidth="0" w:num="1">
            <w:col w:w="9880"/>
          </w:cols>
          <w:pgMar w:left="1180" w:top="208" w:right="1180" w:bottom="0" w:gutter="0" w:footer="0" w:header="0"/>
        </w:sect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49</w:t>
      </w:r>
    </w:p>
    <w:p>
      <w:pPr>
        <w:sectPr>
          <w:pgSz w:w="12240" w:h="15840" w:orient="portrait"/>
          <w:cols w:equalWidth="0" w:num="1">
            <w:col w:w="9880"/>
          </w:cols>
          <w:pgMar w:left="1180" w:top="208" w:right="1180" w:bottom="0"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400" w:lineRule="exact"/>
        <w:rPr>
          <w:sz w:val="20"/>
          <w:szCs w:val="20"/>
          <w:color w:val="auto"/>
        </w:rPr>
      </w:pPr>
    </w:p>
    <w:p>
      <w:pPr>
        <w:ind w:left="1080" w:hanging="370"/>
        <w:spacing w:after="0" w:line="281" w:lineRule="auto"/>
        <w:tabs>
          <w:tab w:leader="none" w:pos="108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successfully combining and integrating a potential acquisition into our existing business to fully realize the benefits of such acquisition;</w:t>
      </w:r>
    </w:p>
    <w:p>
      <w:pPr>
        <w:spacing w:after="0" w:line="61" w:lineRule="exact"/>
        <w:rPr>
          <w:rFonts w:ascii="Times New Roman" w:cs="Times New Roman" w:eastAsia="Times New Roman" w:hAnsi="Times New Roman"/>
          <w:sz w:val="20"/>
          <w:szCs w:val="20"/>
          <w:color w:val="auto"/>
        </w:rPr>
      </w:pPr>
    </w:p>
    <w:p>
      <w:pPr>
        <w:ind w:left="1080" w:hanging="370"/>
        <w:spacing w:after="0"/>
        <w:tabs>
          <w:tab w:leader="none" w:pos="108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impact of regulatory reviews on a proposed acquisition, in-license or investment; and</w:t>
      </w:r>
    </w:p>
    <w:p>
      <w:pPr>
        <w:spacing w:after="0" w:line="130" w:lineRule="exact"/>
        <w:rPr>
          <w:rFonts w:ascii="Times New Roman" w:cs="Times New Roman" w:eastAsia="Times New Roman" w:hAnsi="Times New Roman"/>
          <w:sz w:val="20"/>
          <w:szCs w:val="20"/>
          <w:color w:val="auto"/>
        </w:rPr>
      </w:pPr>
    </w:p>
    <w:p>
      <w:pPr>
        <w:ind w:left="1080" w:hanging="370"/>
        <w:spacing w:after="0" w:line="281" w:lineRule="auto"/>
        <w:tabs>
          <w:tab w:leader="none" w:pos="108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assumption of liabilities of acquired subsidiaries and outcome of any legal proceedings that may be instituted with respect to the proposed acquisition, in-license or investment.</w:t>
      </w:r>
    </w:p>
    <w:p>
      <w:pPr>
        <w:spacing w:after="0" w:line="181" w:lineRule="exact"/>
        <w:rPr>
          <w:sz w:val="20"/>
          <w:szCs w:val="20"/>
          <w:color w:val="auto"/>
        </w:rPr>
      </w:pPr>
    </w:p>
    <w:p>
      <w:pPr>
        <w:jc w:val="both"/>
        <w:ind w:firstLine="720"/>
        <w:spacing w:after="0" w:line="260" w:lineRule="auto"/>
        <w:rPr>
          <w:sz w:val="20"/>
          <w:szCs w:val="20"/>
          <w:color w:val="auto"/>
        </w:rPr>
      </w:pPr>
      <w:r>
        <w:rPr>
          <w:rFonts w:ascii="Times New Roman" w:cs="Times New Roman" w:eastAsia="Times New Roman" w:hAnsi="Times New Roman"/>
          <w:sz w:val="20"/>
          <w:szCs w:val="20"/>
          <w:color w:val="auto"/>
        </w:rPr>
        <w:t>If we fail to properly evaluate potential acquisitions, in-licenses, investments or other transactions associated with the creation of new research and development programs or the maintenance of existing ones, we might not achieve the anticipated benefits of any such transaction, we might incur costs in excess of what we anticipate, and management resources and attention might be diverted from other necessary or valuable activities.</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Business and the Clinical Development, Regulatory Review and Approval</w:t>
      </w:r>
    </w:p>
    <w:p>
      <w:pPr>
        <w:spacing w:after="0" w:line="128"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20"/>
          <w:szCs w:val="20"/>
          <w:b w:val="1"/>
          <w:bCs w:val="1"/>
          <w:i w:val="1"/>
          <w:iCs w:val="1"/>
          <w:color w:val="auto"/>
        </w:rPr>
        <w:t>Our product candidates are in various stages of development, including several in discovery, preclinical, and clinical stages, and may fail in development or suffer delays that materially adversely affect their commercial viability and we may fail to differentiate our molecules, including cleminorexton, ORX142, ORX489 and other orexin agonist molecules from other available treatment options including other molecules in development.</w:t>
      </w:r>
    </w:p>
    <w:p>
      <w:pPr>
        <w:spacing w:after="0" w:line="81" w:lineRule="exact"/>
        <w:rPr>
          <w:sz w:val="20"/>
          <w:szCs w:val="20"/>
          <w:color w:val="auto"/>
        </w:rPr>
      </w:pPr>
    </w:p>
    <w:p>
      <w:pPr>
        <w:jc w:val="both"/>
        <w:ind w:firstLine="720"/>
        <w:spacing w:after="0" w:line="251" w:lineRule="auto"/>
        <w:rPr>
          <w:sz w:val="20"/>
          <w:szCs w:val="20"/>
          <w:color w:val="auto"/>
        </w:rPr>
      </w:pPr>
      <w:r>
        <w:rPr>
          <w:rFonts w:ascii="Times New Roman" w:cs="Times New Roman" w:eastAsia="Times New Roman" w:hAnsi="Times New Roman"/>
          <w:sz w:val="20"/>
          <w:szCs w:val="20"/>
          <w:color w:val="auto"/>
        </w:rPr>
        <w:t>We have no products on the market and most of the product candidates in our pipeline are in the early stages of development. For example, we currently have three product candidates that are in clinical development—cleminorexton, ORX142 and ORX489. The remainder of our programs are in preclinical development. Our ability to achieve and sustain profitability depends on obtaining regulatory approvals for, and successfully commercializing, our product candidates, either alone or with third parties. Before obtaining regulatory approval for the commercial distribution of our product candidates, we or a collaborator must conduct extensive preclinical tests and clinical trials to demonstrate the safety and efficacy of our drug product candidates and the safety, purity, and potency or efficacy, of our biologic product candidates. Preclinical testing and clinical trials are expensive, difficult to design and implement, can take many years to complete and are uncertain as to outcome. Our current or future product candidates may cause undesirable or clinically unmanageable side effects, toxicities or have other properties when used alone or in combination with other approved products or investigational new drugs that could halt their clinical development, delay or prevent their marketing approval, limit their commercial potential, result in a more restrictive label or result in significant negative consequences. Historical results of preclinical studies or clinical studies will not be fully predictive of future results in ongoing or future studies, which is particularly pertinent in the case of our orexin agonist program. For example, the Company and certain other orexin agonist programs have reported various side-effects including treatment emergent adverse events during clinical trials. There is no guarantee that cleminorexton, ORX142 and/or ORX489 (or any other future product candidate) will not demonstrate such reported or other serious and unexpected drug-related side effects which could materially and adversely impact our ability to develop and advance cleminorexton, ORX142 and/or ORX489 (or any other future product candidate). The start or end of a clinical study is often delayed or halted due to changing regulatory requirements, manufacturing challenges, required clinical trial administrative actions, slower than anticipated patient enrollment, changing standards of care, availability or prevalence of use of a comparative drug or required prior therapy, clinical outcomes or financial constraints. For instance, delays or difficulties in patient enrollment or difficulties in retaining trial participants can result in increased costs, longer development times or termination of a clinical trial. Clinical trials of a new product candidate require the enrollment of a sufficient number of patients, including patients who are suffering from the disease the product candidate is intended to treat and who meet other eligibility criteria. Rates of patient enrollment are affected by many factors, including the size of the patient population, the eligibility criteria for the clinical trial, the age and condition of the patients, the stage and severity of disease, the nature of the protocol, the proximity of patients to clinical sites and the availability of effective treatments for the relevant disease.</w:t>
      </w:r>
    </w:p>
    <w:p>
      <w:pPr>
        <w:spacing w:after="0" w:line="225" w:lineRule="exact"/>
        <w:rPr>
          <w:sz w:val="20"/>
          <w:szCs w:val="20"/>
          <w:color w:val="auto"/>
        </w:rPr>
      </w:pPr>
    </w:p>
    <w:p>
      <w:pPr>
        <w:jc w:val="both"/>
        <w:ind w:firstLine="720"/>
        <w:spacing w:after="0" w:line="253" w:lineRule="auto"/>
        <w:rPr>
          <w:sz w:val="20"/>
          <w:szCs w:val="20"/>
          <w:color w:val="auto"/>
        </w:rPr>
      </w:pPr>
      <w:r>
        <w:rPr>
          <w:rFonts w:ascii="Times New Roman" w:cs="Times New Roman" w:eastAsia="Times New Roman" w:hAnsi="Times New Roman"/>
          <w:sz w:val="20"/>
          <w:szCs w:val="20"/>
          <w:color w:val="auto"/>
        </w:rPr>
        <w:t>A product candidate can unexpectedly fail at any stage of preclinical and clinical development. For example, during the first quarter of 2025, we discontinued the clinical development of LB101, a conditionally tetravalent PD-L1xCD47 bispecific monoclonal antibody, and first generation LockBody candidate. The historical failure rate for product candidates is high due to scientific feasibility, safety, efficacy, changing standards of medical care and other variables. The results from preclinical testing or early clinical trials of a product candidate may not predict the results that will be obtained in later phase clinical trials of the product candidate. We, the FDA or other applicable regulatory authorities may suspend clinical trials of a product candidate at any time for various reasons, including a belief that subjects participating in such trials are being exposed to unacceptable health risks or adverse side effects. We may not be able to submit Investigational New Drug applications (“INDs”) or IND amendments to commence additional clinical trials on the timelines we expect, and even if we are able to, the FDA may not permit us to proceed. We may not have the financial resources to continue</w:t>
      </w:r>
    </w:p>
    <w:p>
      <w:pPr>
        <w:sectPr>
          <w:pgSz w:w="12240" w:h="15840" w:orient="portrait"/>
          <w:cols w:equalWidth="0" w:num="1">
            <w:col w:w="9900"/>
          </w:cols>
          <w:pgMar w:left="1180" w:top="20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50</w:t>
      </w:r>
    </w:p>
    <w:p>
      <w:pPr>
        <w:sectPr>
          <w:pgSz w:w="12240" w:h="15840" w:orient="portrait"/>
          <w:cols w:equalWidth="0" w:num="1">
            <w:col w:w="9900"/>
          </w:cols>
          <w:pgMar w:left="1180" w:top="208" w:right="1160" w:bottom="0"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400"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20"/>
          <w:szCs w:val="20"/>
          <w:color w:val="auto"/>
        </w:rPr>
        <w:t>development of, or to enter into collaborations for, a product candidate if we experience any problems or other unforeseen events that delay or prevent regulatory approval of, or our ability to commercialize, product candidates, including:</w:t>
      </w:r>
    </w:p>
    <w:p>
      <w:pPr>
        <w:spacing w:after="0" w:line="61" w:lineRule="exact"/>
        <w:rPr>
          <w:sz w:val="20"/>
          <w:szCs w:val="20"/>
          <w:color w:val="auto"/>
        </w:rPr>
      </w:pPr>
    </w:p>
    <w:p>
      <w:pPr>
        <w:jc w:val="both"/>
        <w:ind w:left="1080" w:right="20" w:hanging="370"/>
        <w:spacing w:after="0" w:line="266" w:lineRule="auto"/>
        <w:tabs>
          <w:tab w:leader="none" w:pos="108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negative or inconclusive results from our clinical trials or the clinical trials of others for product candidates similar to ours, leading to a decision or requirement to conduct additional preclinical testing or clinical trials or abandon a program;</w:t>
      </w:r>
    </w:p>
    <w:p>
      <w:pPr>
        <w:spacing w:after="0" w:line="75" w:lineRule="exact"/>
        <w:rPr>
          <w:rFonts w:ascii="Times New Roman" w:cs="Times New Roman" w:eastAsia="Times New Roman" w:hAnsi="Times New Roman"/>
          <w:sz w:val="20"/>
          <w:szCs w:val="20"/>
          <w:color w:val="auto"/>
        </w:rPr>
      </w:pPr>
    </w:p>
    <w:p>
      <w:pPr>
        <w:ind w:left="1080" w:right="20" w:hanging="370"/>
        <w:spacing w:after="0" w:line="281" w:lineRule="auto"/>
        <w:tabs>
          <w:tab w:leader="none" w:pos="108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serious and unexpected drug-related side effects experienced by participants in our clinical trials or by individuals using drugs similar to our product candidates;</w:t>
      </w:r>
    </w:p>
    <w:p>
      <w:pPr>
        <w:spacing w:after="0" w:line="61" w:lineRule="exact"/>
        <w:rPr>
          <w:rFonts w:ascii="Times New Roman" w:cs="Times New Roman" w:eastAsia="Times New Roman" w:hAnsi="Times New Roman"/>
          <w:sz w:val="20"/>
          <w:szCs w:val="20"/>
          <w:color w:val="auto"/>
        </w:rPr>
      </w:pPr>
    </w:p>
    <w:p>
      <w:pPr>
        <w:jc w:val="both"/>
        <w:ind w:left="1080" w:right="20" w:hanging="370"/>
        <w:spacing w:after="0" w:line="266" w:lineRule="auto"/>
        <w:tabs>
          <w:tab w:leader="none" w:pos="108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delays in submitting INDs, Clinical Trial Applications (“CTAs”), or comparable foreign applications or delays or failure in obtaining the necessary approvals from regulators to commence a clinical trial, or a suspension or termination of a clinical trial once commenced;</w:t>
      </w:r>
    </w:p>
    <w:p>
      <w:pPr>
        <w:spacing w:after="0" w:line="75" w:lineRule="exact"/>
        <w:rPr>
          <w:rFonts w:ascii="Times New Roman" w:cs="Times New Roman" w:eastAsia="Times New Roman" w:hAnsi="Times New Roman"/>
          <w:sz w:val="20"/>
          <w:szCs w:val="20"/>
          <w:color w:val="auto"/>
        </w:rPr>
      </w:pPr>
    </w:p>
    <w:p>
      <w:pPr>
        <w:ind w:left="1080" w:right="20" w:hanging="370"/>
        <w:spacing w:after="0" w:line="281" w:lineRule="auto"/>
        <w:tabs>
          <w:tab w:leader="none" w:pos="108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conditions imposed by the FDA or comparable foreign authorities regarding the scope or design of our clinical trials;</w:t>
      </w:r>
    </w:p>
    <w:p>
      <w:pPr>
        <w:spacing w:after="0" w:line="61" w:lineRule="exact"/>
        <w:rPr>
          <w:rFonts w:ascii="Times New Roman" w:cs="Times New Roman" w:eastAsia="Times New Roman" w:hAnsi="Times New Roman"/>
          <w:sz w:val="20"/>
          <w:szCs w:val="20"/>
          <w:color w:val="auto"/>
        </w:rPr>
      </w:pPr>
    </w:p>
    <w:p>
      <w:pPr>
        <w:ind w:left="1080" w:hanging="370"/>
        <w:spacing w:after="0"/>
        <w:tabs>
          <w:tab w:leader="none" w:pos="108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delays in enrolling or our inability to enroll research subjects in clinical trials;</w:t>
      </w:r>
    </w:p>
    <w:p>
      <w:pPr>
        <w:spacing w:after="0" w:line="130" w:lineRule="exact"/>
        <w:rPr>
          <w:rFonts w:ascii="Times New Roman" w:cs="Times New Roman" w:eastAsia="Times New Roman" w:hAnsi="Times New Roman"/>
          <w:sz w:val="20"/>
          <w:szCs w:val="20"/>
          <w:color w:val="auto"/>
        </w:rPr>
      </w:pPr>
    </w:p>
    <w:p>
      <w:pPr>
        <w:ind w:left="1080" w:hanging="370"/>
        <w:spacing w:after="0"/>
        <w:tabs>
          <w:tab w:leader="none" w:pos="108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high drop-out rates of research subjects;</w:t>
      </w:r>
    </w:p>
    <w:p>
      <w:pPr>
        <w:spacing w:after="0" w:line="130" w:lineRule="exact"/>
        <w:rPr>
          <w:rFonts w:ascii="Times New Roman" w:cs="Times New Roman" w:eastAsia="Times New Roman" w:hAnsi="Times New Roman"/>
          <w:sz w:val="20"/>
          <w:szCs w:val="20"/>
          <w:color w:val="auto"/>
        </w:rPr>
      </w:pPr>
    </w:p>
    <w:p>
      <w:pPr>
        <w:ind w:left="1080" w:right="20" w:hanging="370"/>
        <w:spacing w:after="0" w:line="281" w:lineRule="auto"/>
        <w:tabs>
          <w:tab w:leader="none" w:pos="108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inadequate supply or quality of product candidate components or materials or other supplies necessary for the conduct of our clinical trials;</w:t>
      </w:r>
    </w:p>
    <w:p>
      <w:pPr>
        <w:spacing w:after="0" w:line="61" w:lineRule="exact"/>
        <w:rPr>
          <w:rFonts w:ascii="Times New Roman" w:cs="Times New Roman" w:eastAsia="Times New Roman" w:hAnsi="Times New Roman"/>
          <w:sz w:val="20"/>
          <w:szCs w:val="20"/>
          <w:color w:val="auto"/>
        </w:rPr>
      </w:pPr>
    </w:p>
    <w:p>
      <w:pPr>
        <w:ind w:left="1080" w:hanging="370"/>
        <w:spacing w:after="0"/>
        <w:tabs>
          <w:tab w:leader="none" w:pos="108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greater than anticipated clinical trial costs;</w:t>
      </w:r>
    </w:p>
    <w:p>
      <w:pPr>
        <w:spacing w:after="0" w:line="130" w:lineRule="exact"/>
        <w:rPr>
          <w:rFonts w:ascii="Times New Roman" w:cs="Times New Roman" w:eastAsia="Times New Roman" w:hAnsi="Times New Roman"/>
          <w:sz w:val="20"/>
          <w:szCs w:val="20"/>
          <w:color w:val="auto"/>
        </w:rPr>
      </w:pPr>
    </w:p>
    <w:p>
      <w:pPr>
        <w:ind w:left="1080" w:hanging="370"/>
        <w:spacing w:after="0"/>
        <w:tabs>
          <w:tab w:leader="none" w:pos="108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poor effectiveness of our product candidates during clinical trials;</w:t>
      </w:r>
    </w:p>
    <w:p>
      <w:pPr>
        <w:spacing w:after="0" w:line="130" w:lineRule="exact"/>
        <w:rPr>
          <w:rFonts w:ascii="Times New Roman" w:cs="Times New Roman" w:eastAsia="Times New Roman" w:hAnsi="Times New Roman"/>
          <w:sz w:val="20"/>
          <w:szCs w:val="20"/>
          <w:color w:val="auto"/>
        </w:rPr>
      </w:pPr>
    </w:p>
    <w:p>
      <w:pPr>
        <w:ind w:left="1080" w:hanging="370"/>
        <w:spacing w:after="0"/>
        <w:tabs>
          <w:tab w:leader="none" w:pos="108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unfavorable FDA or other regulatory agency inspection and review of a clinical trial site;</w:t>
      </w:r>
    </w:p>
    <w:p>
      <w:pPr>
        <w:spacing w:after="0" w:line="130" w:lineRule="exact"/>
        <w:rPr>
          <w:rFonts w:ascii="Times New Roman" w:cs="Times New Roman" w:eastAsia="Times New Roman" w:hAnsi="Times New Roman"/>
          <w:sz w:val="20"/>
          <w:szCs w:val="20"/>
          <w:color w:val="auto"/>
        </w:rPr>
      </w:pPr>
    </w:p>
    <w:p>
      <w:pPr>
        <w:ind w:left="1080" w:right="20" w:hanging="370"/>
        <w:spacing w:after="0" w:line="281" w:lineRule="auto"/>
        <w:tabs>
          <w:tab w:leader="none" w:pos="108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failure of our third-party contractors or investigators to comply with regulatory requirements or otherwise meet their contractual obligations in a timely manner, or at all;</w:t>
      </w:r>
    </w:p>
    <w:p>
      <w:pPr>
        <w:spacing w:after="0" w:line="61" w:lineRule="exact"/>
        <w:rPr>
          <w:rFonts w:ascii="Times New Roman" w:cs="Times New Roman" w:eastAsia="Times New Roman" w:hAnsi="Times New Roman"/>
          <w:sz w:val="20"/>
          <w:szCs w:val="20"/>
          <w:color w:val="auto"/>
        </w:rPr>
      </w:pPr>
    </w:p>
    <w:p>
      <w:pPr>
        <w:ind w:left="1080" w:hanging="370"/>
        <w:spacing w:after="0" w:line="281" w:lineRule="auto"/>
        <w:tabs>
          <w:tab w:leader="none" w:pos="108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delays and changes in regulatory requirements, policy and guidelines, including the imposition of additional regulatory oversight around clinical testing generally or with respect to our technology in particular; or</w:t>
      </w:r>
    </w:p>
    <w:p>
      <w:pPr>
        <w:spacing w:after="0" w:line="61" w:lineRule="exact"/>
        <w:rPr>
          <w:rFonts w:ascii="Times New Roman" w:cs="Times New Roman" w:eastAsia="Times New Roman" w:hAnsi="Times New Roman"/>
          <w:sz w:val="20"/>
          <w:szCs w:val="20"/>
          <w:color w:val="auto"/>
        </w:rPr>
      </w:pPr>
    </w:p>
    <w:p>
      <w:pPr>
        <w:ind w:left="1080" w:hanging="370"/>
        <w:spacing w:after="0"/>
        <w:tabs>
          <w:tab w:leader="none" w:pos="108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varying interpretations of data by the FDA and similar foreign regulatory agencies.</w:t>
      </w:r>
    </w:p>
    <w:p>
      <w:pPr>
        <w:spacing w:after="0" w:line="250" w:lineRule="exact"/>
        <w:rPr>
          <w:sz w:val="20"/>
          <w:szCs w:val="20"/>
          <w:color w:val="auto"/>
        </w:rPr>
      </w:pPr>
    </w:p>
    <w:p>
      <w:pPr>
        <w:jc w:val="both"/>
        <w:ind w:right="20" w:firstLine="720"/>
        <w:spacing w:after="0" w:line="252" w:lineRule="auto"/>
        <w:rPr>
          <w:sz w:val="20"/>
          <w:szCs w:val="20"/>
          <w:color w:val="auto"/>
        </w:rPr>
      </w:pPr>
      <w:r>
        <w:rPr>
          <w:rFonts w:ascii="Times New Roman" w:cs="Times New Roman" w:eastAsia="Times New Roman" w:hAnsi="Times New Roman"/>
          <w:sz w:val="20"/>
          <w:szCs w:val="20"/>
          <w:color w:val="auto"/>
        </w:rPr>
        <w:t>Some of the clinical trials performed to date were, and in the future we may conduct, open-label studies involving only a limited number of clinical sites and a limited number of patients. An “open-label” clinical trial is one where both the patient and investigator know whether the patient is receiving the investigational product candidate or either an existing approved drug or placebo. Most typically,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Moreover, patients selected for early clinical studies often include the most severe sufferers and their symptoms may have been bound to improve notwithstanding the new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The results from an open-label trial may not be predictive of future clinical trial results with any of our product candidates for which we include an open-label clinical trial when studied in a controlled environment with a placebo or active control.</w:t>
      </w:r>
    </w:p>
    <w:p>
      <w:pPr>
        <w:spacing w:after="0" w:line="33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We may not be successful in our efforts to identify, discover, in-license or otherwise acquire additional product candidates and may fail to capitalize on programs or product candidates that may be a greater commercial opportunity or for which there is a greater likelihood of success.</w:t>
      </w:r>
    </w:p>
    <w:p>
      <w:pPr>
        <w:spacing w:after="0" w:line="76" w:lineRule="exact"/>
        <w:rPr>
          <w:sz w:val="20"/>
          <w:szCs w:val="20"/>
          <w:color w:val="auto"/>
        </w:rPr>
      </w:pPr>
    </w:p>
    <w:p>
      <w:pPr>
        <w:jc w:val="both"/>
        <w:ind w:right="20" w:firstLine="720"/>
        <w:spacing w:after="0" w:line="255" w:lineRule="auto"/>
        <w:rPr>
          <w:sz w:val="20"/>
          <w:szCs w:val="20"/>
          <w:color w:val="auto"/>
        </w:rPr>
      </w:pPr>
      <w:r>
        <w:rPr>
          <w:rFonts w:ascii="Times New Roman" w:cs="Times New Roman" w:eastAsia="Times New Roman" w:hAnsi="Times New Roman"/>
          <w:sz w:val="20"/>
          <w:szCs w:val="20"/>
          <w:color w:val="auto"/>
        </w:rPr>
        <w:t>The success of our business depends upon our ability to identify, develop and commercialize product candidates. Research programs to identify new product candidates require substantial technical, financial and human resources. Although certain of our product candidates are currently in clinical or preclinical development, we may fail to identify other potential product candidates for clinical development for several reasons. For example, our research may be unsuccessful in identifying potential product candidates or our potential product candidates may be shown to have harmful side effects, may be commercially impracticable to manufacture or may have other characteristics that may make the products unmarketable or unlikely to receive marketing approval.</w:t>
      </w:r>
    </w:p>
    <w:p>
      <w:pPr>
        <w:sectPr>
          <w:pgSz w:w="12240" w:h="15840" w:orient="portrait"/>
          <w:cols w:equalWidth="0" w:num="1">
            <w:col w:w="9900"/>
          </w:cols>
          <w:pgMar w:left="1180" w:top="20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51</w:t>
      </w:r>
    </w:p>
    <w:p>
      <w:pPr>
        <w:sectPr>
          <w:pgSz w:w="12240" w:h="15840" w:orient="portrait"/>
          <w:cols w:equalWidth="0" w:num="1">
            <w:col w:w="9900"/>
          </w:cols>
          <w:pgMar w:left="1180" w:top="208" w:right="1160" w:bottom="0"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400"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Additionally, because we have limited resources, we may forego or delay pursuit of opportunities with certain programs or product candidates or for indications that later prove to have greater commercial potential. Our spending on current and future research and development programs may not yield any commercially viable products. If we do not accurately evaluate the commercial potential for a particular product candidate, we may relinquish valuable rights to that product candidate through strategic collaboration, licensing or other arrangements in cases in which it would have been more advantageous for us to retain sole development and commercialization rights to such product candidate. Alternatively, we may allocate internal resources to a product candidate in a therapeutic area in which it would have been more advantageous to enter into a partnering arrangement.</w:t>
      </w:r>
    </w:p>
    <w:p>
      <w:pPr>
        <w:spacing w:after="0" w:line="213" w:lineRule="exact"/>
        <w:rPr>
          <w:sz w:val="20"/>
          <w:szCs w:val="20"/>
          <w:color w:val="auto"/>
        </w:rPr>
      </w:pPr>
    </w:p>
    <w:p>
      <w:pPr>
        <w:jc w:val="both"/>
        <w:ind w:right="20" w:firstLine="720"/>
        <w:spacing w:after="0" w:line="266" w:lineRule="auto"/>
        <w:rPr>
          <w:sz w:val="20"/>
          <w:szCs w:val="20"/>
          <w:color w:val="auto"/>
        </w:rPr>
      </w:pPr>
      <w:r>
        <w:rPr>
          <w:rFonts w:ascii="Times New Roman" w:cs="Times New Roman" w:eastAsia="Times New Roman" w:hAnsi="Times New Roman"/>
          <w:sz w:val="20"/>
          <w:szCs w:val="20"/>
          <w:color w:val="auto"/>
        </w:rPr>
        <w:t>If any of these events occur, we may be forced to abandon our development efforts with respect to a particular product candidate or fail to develop a potentially successful product candidate, which could have a material adverse effect on our business, financial condition, results of operations and prospects.</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Success in preclinical studies or early clinical trials may not be indicative of results obtained in later trials.</w:t>
      </w:r>
    </w:p>
    <w:p>
      <w:pPr>
        <w:spacing w:after="0" w:line="139"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Results from preclinical studies or previous clinical trials are not necessarily predictive of future clinical trial results, and interim results of a clinical trial are not necessarily indicative of final results. The results generated to date in preclinical studies or clinical trials for our product candidates do not ensure that later preclinical studies or clinical trials will demonstrate similar results. Our product candidates may fail to show the desired safety and efficacy in clinical development despite demonstrating positive results in preclinical studies or having successfully advanced through initial clinical trials. Product candidates in later stages of clinical trials may fail to show the desired safety and efficacy traits despite having progressed through preclinical and earlier stage clinical trials. In later-stage clinical trials, we will likely be subject to more rigorous statistical analyses than in completed earlier stage clinical trials. In some instances, there can be significant variability in safety or efficacy results between different clinical trials of the same product candidate due to numerous factors, including changes in clinical trial procedures set forth in protocols, differences in the size and type of the patient populations, adherence to the dosing regimen and other clinical trial protocols, and the rate of dropout among clinical trial participants. We cannot guarantee that any of our clinical trials will be conducted as planned or completed on schedule, or at all. Clinical trials can fail at any stage of testing and failure may result from a multitude of factors, including, among other things, flaws in study design, dose selection issues, placebo effects, patient enrollment criteria and failure to demonstrate favorable safety or efficacy traits.</w:t>
      </w:r>
    </w:p>
    <w:p>
      <w:pPr>
        <w:spacing w:after="0" w:line="218" w:lineRule="exact"/>
        <w:rPr>
          <w:sz w:val="20"/>
          <w:szCs w:val="20"/>
          <w:color w:val="auto"/>
        </w:rPr>
      </w:pPr>
    </w:p>
    <w:p>
      <w:pPr>
        <w:jc w:val="both"/>
        <w:ind w:firstLine="720"/>
        <w:spacing w:after="0" w:line="268" w:lineRule="auto"/>
        <w:rPr>
          <w:sz w:val="20"/>
          <w:szCs w:val="20"/>
          <w:color w:val="auto"/>
        </w:rPr>
      </w:pPr>
      <w:r>
        <w:rPr>
          <w:rFonts w:ascii="Times New Roman" w:cs="Times New Roman" w:eastAsia="Times New Roman" w:hAnsi="Times New Roman"/>
          <w:sz w:val="19"/>
          <w:szCs w:val="19"/>
          <w:color w:val="auto"/>
        </w:rPr>
        <w:t>There is a high failure rate for small molecule drugs and biologic products proceeding through clinical development. Many companies in the pharmaceutical and biotechnology industries have suffered significant setbacks in late-stage clinical trials even after achieving promising results in preclinical testing and earlier-stage clinical trials. Data obtained from preclinical and clinical activities are subject to varying interpretations, which may delay, limit or prevent regulatory approval, and many companies that have believed their product candidates performed satisfactorily in preclinical studies and clinical trials have nonetheless failed to obtain marketing approval of their products. In addition, we may experience regulatory delays or rejections as a result of many factors, including due to changes in regulatory policy during the period of our product candidate development. Furthermore, the failure of any of our product candidates to demonstrate safety and efficacy in any clinical trial could negatively impact the perception of our other product candidates and/or cause the FDA or other regulatory authorities to require additional testing before approving any of our product candidates. Any such delays could materially and adversely affect our business, financial condition, results of operations and prospects.</w:t>
      </w:r>
    </w:p>
    <w:p>
      <w:pPr>
        <w:spacing w:after="0" w:line="307"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may encounter substantial delays or challenges in the initiation, conduct or completion of our clinical trials, and the results of clinical development are uncertain.</w:t>
      </w:r>
    </w:p>
    <w:p>
      <w:pPr>
        <w:spacing w:after="0" w:line="57" w:lineRule="exact"/>
        <w:rPr>
          <w:sz w:val="20"/>
          <w:szCs w:val="20"/>
          <w:color w:val="auto"/>
        </w:rPr>
      </w:pPr>
    </w:p>
    <w:p>
      <w:pPr>
        <w:jc w:val="both"/>
        <w:ind w:firstLine="720"/>
        <w:spacing w:after="0" w:line="253" w:lineRule="auto"/>
        <w:rPr>
          <w:sz w:val="20"/>
          <w:szCs w:val="20"/>
          <w:color w:val="auto"/>
        </w:rPr>
      </w:pPr>
      <w:r>
        <w:rPr>
          <w:rFonts w:ascii="Times New Roman" w:cs="Times New Roman" w:eastAsia="Times New Roman" w:hAnsi="Times New Roman"/>
          <w:sz w:val="20"/>
          <w:szCs w:val="20"/>
          <w:color w:val="auto"/>
        </w:rPr>
        <w:t>Before obtaining marketing approval from regulatory authorities for the sale of our product candidates, we must conduct extensive clinical trials to demonstrate the safety and efficacy of the product candidate for its intended indications. Clinical trials are expensive, time-consuming and uncertain as to outcome. We cannot guarantee that any clinical trials will be conducted as planned or completed on schedule, if at all. The results at any stage of the development process may show that a product candidate lacks the desired safety, efficacy, pharmacokinetic or other characteristics. A failure of one or more clinical trials can occur at any stage of testing. If the FDA or any other regulatory authority determines that the safety or efficacy data included in any regulatory or marketing application we submit do not warrant approval for the relevant product or product candidate, we may be required to conduct additional preclinical studies or clinical trials, which could be challenging to perform, costly and time-consuming. Even if we believe we have successfully completed testing, the FDA or any equivalent non-U.S. regulatory agency may determine our data is not sufficiently compelling to warrant marketing approval for the indication(s) sought, if at all, and may require us to engage in additional clinical trials or provide further analysis which may be costly and time-consuming. Any failure or delay in completing such clinical trials or a failure to</w:t>
      </w:r>
    </w:p>
    <w:p>
      <w:pPr>
        <w:sectPr>
          <w:pgSz w:w="12240" w:h="15840" w:orient="portrait"/>
          <w:cols w:equalWidth="0" w:num="1">
            <w:col w:w="9900"/>
          </w:cols>
          <w:pgMar w:left="1180" w:top="208" w:right="1160" w:bottom="0" w:gutter="0" w:footer="0" w:header="0"/>
        </w:sectPr>
      </w:pPr>
    </w:p>
    <w:p>
      <w:pPr>
        <w:spacing w:after="0" w:line="200" w:lineRule="exact"/>
        <w:rPr>
          <w:sz w:val="20"/>
          <w:szCs w:val="20"/>
          <w:color w:val="auto"/>
        </w:rPr>
      </w:pPr>
    </w:p>
    <w:p>
      <w:pPr>
        <w:spacing w:after="0" w:line="3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52</w:t>
      </w:r>
    </w:p>
    <w:p>
      <w:pPr>
        <w:sectPr>
          <w:pgSz w:w="12240" w:h="15840" w:orient="portrait"/>
          <w:cols w:equalWidth="0" w:num="1">
            <w:col w:w="9900"/>
          </w:cols>
          <w:pgMar w:left="1180" w:top="208" w:right="1160" w:bottom="0" w:gutter="0" w:footer="0" w:header="0"/>
          <w:type w:val="continuous"/>
        </w:sectPr>
      </w:pPr>
    </w:p>
    <w:bookmarkStart w:id="52" w:name="page53"/>
    <w:bookmarkEnd w:id="52"/>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40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prove that our product candidates are safe and effective in clinical trials, could materially and adversely affect our business, financial condition, results of operations and overall growth prospects. Events that may prevent successful or timely completion of clinical development include, without limitation:</w:t>
      </w:r>
    </w:p>
    <w:p>
      <w:pPr>
        <w:spacing w:after="0" w:line="75" w:lineRule="exact"/>
        <w:rPr>
          <w:sz w:val="20"/>
          <w:szCs w:val="20"/>
          <w:color w:val="auto"/>
        </w:rPr>
      </w:pPr>
    </w:p>
    <w:p>
      <w:pPr>
        <w:ind w:left="1080" w:hanging="370"/>
        <w:spacing w:after="0"/>
        <w:tabs>
          <w:tab w:leader="none" w:pos="108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delay in completing preclinical studies;</w:t>
      </w:r>
    </w:p>
    <w:p>
      <w:pPr>
        <w:spacing w:after="0" w:line="130" w:lineRule="exact"/>
        <w:rPr>
          <w:rFonts w:ascii="Times New Roman" w:cs="Times New Roman" w:eastAsia="Times New Roman" w:hAnsi="Times New Roman"/>
          <w:sz w:val="20"/>
          <w:szCs w:val="20"/>
          <w:color w:val="auto"/>
        </w:rPr>
      </w:pPr>
    </w:p>
    <w:p>
      <w:pPr>
        <w:ind w:left="1080" w:hanging="370"/>
        <w:spacing w:after="0"/>
        <w:tabs>
          <w:tab w:leader="none" w:pos="108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delays in reaching a consensus with regulatory authorities on trial design;</w:t>
      </w:r>
    </w:p>
    <w:p>
      <w:pPr>
        <w:spacing w:after="0" w:line="130" w:lineRule="exact"/>
        <w:rPr>
          <w:rFonts w:ascii="Times New Roman" w:cs="Times New Roman" w:eastAsia="Times New Roman" w:hAnsi="Times New Roman"/>
          <w:sz w:val="20"/>
          <w:szCs w:val="20"/>
          <w:color w:val="auto"/>
        </w:rPr>
      </w:pPr>
    </w:p>
    <w:p>
      <w:pPr>
        <w:ind w:left="1080" w:hanging="370"/>
        <w:spacing w:after="0"/>
        <w:tabs>
          <w:tab w:leader="none" w:pos="108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delays in obtaining authorizations of INDs to commence a clinical trial;</w:t>
      </w:r>
    </w:p>
    <w:p>
      <w:pPr>
        <w:spacing w:after="0" w:line="130" w:lineRule="exact"/>
        <w:rPr>
          <w:rFonts w:ascii="Times New Roman" w:cs="Times New Roman" w:eastAsia="Times New Roman" w:hAnsi="Times New Roman"/>
          <w:sz w:val="20"/>
          <w:szCs w:val="20"/>
          <w:color w:val="auto"/>
        </w:rPr>
      </w:pPr>
    </w:p>
    <w:p>
      <w:pPr>
        <w:jc w:val="both"/>
        <w:ind w:left="1080" w:hanging="370"/>
        <w:spacing w:after="0" w:line="266" w:lineRule="auto"/>
        <w:tabs>
          <w:tab w:leader="none" w:pos="108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delays in reaching agreement or failing to agree on acceptable terms with prospective CROs, and clinical trial sites, the terms of which can be subject to extensive negotiation and may vary significantly among different CROs and clinical trial sites;</w:t>
      </w:r>
    </w:p>
    <w:p>
      <w:pPr>
        <w:spacing w:after="0" w:line="75" w:lineRule="exact"/>
        <w:rPr>
          <w:rFonts w:ascii="Times New Roman" w:cs="Times New Roman" w:eastAsia="Times New Roman" w:hAnsi="Times New Roman"/>
          <w:sz w:val="20"/>
          <w:szCs w:val="20"/>
          <w:color w:val="auto"/>
        </w:rPr>
      </w:pPr>
    </w:p>
    <w:p>
      <w:pPr>
        <w:ind w:left="1080" w:hanging="370"/>
        <w:spacing w:after="0" w:line="281" w:lineRule="auto"/>
        <w:tabs>
          <w:tab w:leader="none" w:pos="108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delays in obtaining or failure to obtain Institutional Review Board (“IRB”), or independent ethics committee approval at each clinical trial site;</w:t>
      </w:r>
    </w:p>
    <w:p>
      <w:pPr>
        <w:spacing w:after="0" w:line="61" w:lineRule="exact"/>
        <w:rPr>
          <w:rFonts w:ascii="Times New Roman" w:cs="Times New Roman" w:eastAsia="Times New Roman" w:hAnsi="Times New Roman"/>
          <w:sz w:val="20"/>
          <w:szCs w:val="20"/>
          <w:color w:val="auto"/>
        </w:rPr>
      </w:pPr>
    </w:p>
    <w:p>
      <w:pPr>
        <w:ind w:left="1080" w:hanging="370"/>
        <w:spacing w:after="0" w:line="281" w:lineRule="auto"/>
        <w:tabs>
          <w:tab w:leader="none" w:pos="108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delays in opening or failure to open a sufficient number of clinical trial sites and recruiting an adequate number of suitable patients to participate in our clinical trials;</w:t>
      </w:r>
    </w:p>
    <w:p>
      <w:pPr>
        <w:spacing w:after="0" w:line="61" w:lineRule="exact"/>
        <w:rPr>
          <w:rFonts w:ascii="Times New Roman" w:cs="Times New Roman" w:eastAsia="Times New Roman" w:hAnsi="Times New Roman"/>
          <w:sz w:val="20"/>
          <w:szCs w:val="20"/>
          <w:color w:val="auto"/>
        </w:rPr>
      </w:pPr>
    </w:p>
    <w:p>
      <w:pPr>
        <w:ind w:left="1080" w:hanging="370"/>
        <w:spacing w:after="0" w:line="281" w:lineRule="auto"/>
        <w:tabs>
          <w:tab w:leader="none" w:pos="108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imposition of a clinical hold by regulatory authorities as a result of a serious adverse event, concerns with a class of product candidates or after an inspection of our clinical trial operations or trial sites;</w:t>
      </w:r>
    </w:p>
    <w:p>
      <w:pPr>
        <w:spacing w:after="0" w:line="61" w:lineRule="exact"/>
        <w:rPr>
          <w:rFonts w:ascii="Times New Roman" w:cs="Times New Roman" w:eastAsia="Times New Roman" w:hAnsi="Times New Roman"/>
          <w:sz w:val="20"/>
          <w:szCs w:val="20"/>
          <w:color w:val="auto"/>
        </w:rPr>
      </w:pPr>
    </w:p>
    <w:p>
      <w:pPr>
        <w:ind w:left="1080" w:hanging="370"/>
        <w:spacing w:after="0"/>
        <w:tabs>
          <w:tab w:leader="none" w:pos="108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delays in having patients complete participation in a trial or return for post-treatment follow-up;</w:t>
      </w:r>
    </w:p>
    <w:p>
      <w:pPr>
        <w:spacing w:after="0" w:line="130" w:lineRule="exact"/>
        <w:rPr>
          <w:rFonts w:ascii="Times New Roman" w:cs="Times New Roman" w:eastAsia="Times New Roman" w:hAnsi="Times New Roman"/>
          <w:sz w:val="20"/>
          <w:szCs w:val="20"/>
          <w:color w:val="auto"/>
        </w:rPr>
      </w:pPr>
    </w:p>
    <w:p>
      <w:pPr>
        <w:ind w:left="1080" w:hanging="370"/>
        <w:spacing w:after="0"/>
        <w:tabs>
          <w:tab w:leader="none" w:pos="108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occurrence of clinical trial sites deviating from clinical trial protocol or dropping out of a clinical trial;</w:t>
      </w:r>
    </w:p>
    <w:p>
      <w:pPr>
        <w:spacing w:after="0" w:line="130" w:lineRule="exact"/>
        <w:rPr>
          <w:rFonts w:ascii="Times New Roman" w:cs="Times New Roman" w:eastAsia="Times New Roman" w:hAnsi="Times New Roman"/>
          <w:sz w:val="20"/>
          <w:szCs w:val="20"/>
          <w:color w:val="auto"/>
        </w:rPr>
      </w:pPr>
    </w:p>
    <w:p>
      <w:pPr>
        <w:ind w:left="1080" w:hanging="370"/>
        <w:spacing w:after="0" w:line="281" w:lineRule="auto"/>
        <w:tabs>
          <w:tab w:leader="none" w:pos="108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obtaining sufficient product supply of product candidate for use in preclinical studies or clinical trials from third-party suppliers;</w:t>
      </w:r>
    </w:p>
    <w:p>
      <w:pPr>
        <w:spacing w:after="0" w:line="61" w:lineRule="exact"/>
        <w:rPr>
          <w:rFonts w:ascii="Times New Roman" w:cs="Times New Roman" w:eastAsia="Times New Roman" w:hAnsi="Times New Roman"/>
          <w:sz w:val="20"/>
          <w:szCs w:val="20"/>
          <w:color w:val="auto"/>
        </w:rPr>
      </w:pPr>
    </w:p>
    <w:p>
      <w:pPr>
        <w:ind w:left="1080" w:hanging="370"/>
        <w:spacing w:after="0" w:line="281" w:lineRule="auto"/>
        <w:tabs>
          <w:tab w:leader="none" w:pos="108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occurrence of serious adverse events associated with the product candidate that are viewed to outweigh its potential benefits;</w:t>
      </w:r>
    </w:p>
    <w:p>
      <w:pPr>
        <w:spacing w:after="0" w:line="61" w:lineRule="exact"/>
        <w:rPr>
          <w:rFonts w:ascii="Times New Roman" w:cs="Times New Roman" w:eastAsia="Times New Roman" w:hAnsi="Times New Roman"/>
          <w:sz w:val="20"/>
          <w:szCs w:val="20"/>
          <w:color w:val="auto"/>
        </w:rPr>
      </w:pPr>
    </w:p>
    <w:p>
      <w:pPr>
        <w:ind w:left="1080" w:hanging="370"/>
        <w:spacing w:after="0"/>
        <w:tabs>
          <w:tab w:leader="none" w:pos="108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regulatory requirements and guidance that require amending or submitting new clinical protocols;</w:t>
      </w:r>
    </w:p>
    <w:p>
      <w:pPr>
        <w:spacing w:after="0" w:line="30" w:lineRule="exact"/>
        <w:rPr>
          <w:rFonts w:ascii="Times New Roman" w:cs="Times New Roman" w:eastAsia="Times New Roman" w:hAnsi="Times New Roman"/>
          <w:sz w:val="20"/>
          <w:szCs w:val="20"/>
          <w:color w:val="auto"/>
        </w:rPr>
      </w:pPr>
    </w:p>
    <w:p>
      <w:pPr>
        <w:jc w:val="both"/>
        <w:ind w:left="1080" w:hanging="370"/>
        <w:spacing w:after="0" w:line="250" w:lineRule="auto"/>
        <w:tabs>
          <w:tab w:leader="none" w:pos="108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failure to recruit and maintain a sufficient number of, or any, subjects in our existing and anticipated studies or clinical trials including trials of cleminorexton, ORX142, ORX489, other orexin agonist molecules and any other LockBody candidates, and failure to meet expectations on executing our research and clinical development plans and the timing thereof; or</w:t>
      </w:r>
    </w:p>
    <w:p>
      <w:pPr>
        <w:spacing w:after="0" w:line="1" w:lineRule="exact"/>
        <w:rPr>
          <w:rFonts w:ascii="Times New Roman" w:cs="Times New Roman" w:eastAsia="Times New Roman" w:hAnsi="Times New Roman"/>
          <w:sz w:val="20"/>
          <w:szCs w:val="20"/>
          <w:color w:val="auto"/>
        </w:rPr>
      </w:pPr>
    </w:p>
    <w:p>
      <w:pPr>
        <w:jc w:val="both"/>
        <w:ind w:left="1080" w:hanging="370"/>
        <w:spacing w:after="0" w:line="255" w:lineRule="auto"/>
        <w:tabs>
          <w:tab w:leader="none" w:pos="108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geopolitical or macro factors such as the ongoing Russia-Ukraine war, the Middle East conflict(s), tensions in U.S.-China relations and the impact of changes in trade policy, including the imposition of tariffs on our business and results of operations.</w:t>
      </w:r>
    </w:p>
    <w:p>
      <w:pPr>
        <w:spacing w:after="0" w:line="207"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Any inability to successfully complete preclinical and clinical development could result in additional costs to us or impair our ability to generate revenue from future drug sales and regulatory and commercialization milestones. In addition, if we make manufacturing or formulation changes to our product candidates, we may need to conduct additional testing to bridge our modified product candidate to earlier versions. Clinical trial delays could also shorten any periods during which we may have the exclusive right to commercialize our product candidates, if approved, or allow our competitors to bring comparable drugs to market before we do, which could impair our ability to successfully commercialize our product candidates and may harm our business, financial condition, results of operations and prospects.</w:t>
      </w:r>
    </w:p>
    <w:p>
      <w:pPr>
        <w:spacing w:after="0" w:line="210" w:lineRule="exact"/>
        <w:rPr>
          <w:sz w:val="20"/>
          <w:szCs w:val="20"/>
          <w:color w:val="auto"/>
        </w:rPr>
      </w:pPr>
    </w:p>
    <w:p>
      <w:pPr>
        <w:jc w:val="both"/>
        <w:ind w:firstLine="720"/>
        <w:spacing w:after="0" w:line="281" w:lineRule="auto"/>
        <w:rPr>
          <w:sz w:val="20"/>
          <w:szCs w:val="20"/>
          <w:color w:val="auto"/>
        </w:rPr>
      </w:pPr>
      <w:r>
        <w:rPr>
          <w:rFonts w:ascii="Times New Roman" w:cs="Times New Roman" w:eastAsia="Times New Roman" w:hAnsi="Times New Roman"/>
          <w:sz w:val="20"/>
          <w:szCs w:val="20"/>
          <w:color w:val="auto"/>
        </w:rPr>
        <w:t>Additionally, if the results of our clinical trials are inconclusive or if there are safety concerns or serious adverse events associated with our product candidates, we may:</w:t>
      </w:r>
    </w:p>
    <w:p>
      <w:pPr>
        <w:spacing w:after="0" w:line="61" w:lineRule="exact"/>
        <w:rPr>
          <w:sz w:val="20"/>
          <w:szCs w:val="20"/>
          <w:color w:val="auto"/>
        </w:rPr>
      </w:pPr>
    </w:p>
    <w:p>
      <w:pPr>
        <w:ind w:left="1080" w:hanging="370"/>
        <w:spacing w:after="0"/>
        <w:tabs>
          <w:tab w:leader="none" w:pos="108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 delayed in obtaining marketing approval, if at all;</w:t>
      </w:r>
    </w:p>
    <w:p>
      <w:pPr>
        <w:spacing w:after="0" w:line="130" w:lineRule="exact"/>
        <w:rPr>
          <w:rFonts w:ascii="Times New Roman" w:cs="Times New Roman" w:eastAsia="Times New Roman" w:hAnsi="Times New Roman"/>
          <w:sz w:val="20"/>
          <w:szCs w:val="20"/>
          <w:color w:val="auto"/>
        </w:rPr>
      </w:pPr>
    </w:p>
    <w:p>
      <w:pPr>
        <w:ind w:left="1080" w:hanging="370"/>
        <w:spacing w:after="0"/>
        <w:tabs>
          <w:tab w:leader="none" w:pos="108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obtain approval for indications or patient populations that are not as broad as intended or desired;</w:t>
      </w:r>
    </w:p>
    <w:p>
      <w:pPr>
        <w:spacing w:after="0" w:line="130" w:lineRule="exact"/>
        <w:rPr>
          <w:rFonts w:ascii="Times New Roman" w:cs="Times New Roman" w:eastAsia="Times New Roman" w:hAnsi="Times New Roman"/>
          <w:sz w:val="20"/>
          <w:szCs w:val="20"/>
          <w:color w:val="auto"/>
        </w:rPr>
      </w:pPr>
    </w:p>
    <w:p>
      <w:pPr>
        <w:ind w:left="1080" w:hanging="370"/>
        <w:spacing w:after="0"/>
        <w:tabs>
          <w:tab w:leader="none" w:pos="108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obtain approval with labeling that includes significant use or distribution restrictions or safety warnings;</w:t>
      </w:r>
    </w:p>
    <w:p>
      <w:pPr>
        <w:spacing w:after="0" w:line="130" w:lineRule="exact"/>
        <w:rPr>
          <w:rFonts w:ascii="Times New Roman" w:cs="Times New Roman" w:eastAsia="Times New Roman" w:hAnsi="Times New Roman"/>
          <w:sz w:val="20"/>
          <w:szCs w:val="20"/>
          <w:color w:val="auto"/>
        </w:rPr>
      </w:pPr>
    </w:p>
    <w:p>
      <w:pPr>
        <w:ind w:left="1080" w:hanging="370"/>
        <w:spacing w:after="0"/>
        <w:tabs>
          <w:tab w:leader="none" w:pos="108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 subject to additional post-marketing testing requirements;</w:t>
      </w:r>
    </w:p>
    <w:p>
      <w:pPr>
        <w:spacing w:after="0" w:line="130" w:lineRule="exact"/>
        <w:rPr>
          <w:rFonts w:ascii="Times New Roman" w:cs="Times New Roman" w:eastAsia="Times New Roman" w:hAnsi="Times New Roman"/>
          <w:sz w:val="20"/>
          <w:szCs w:val="20"/>
          <w:color w:val="auto"/>
        </w:rPr>
      </w:pPr>
    </w:p>
    <w:p>
      <w:pPr>
        <w:ind w:left="1080" w:hanging="370"/>
        <w:spacing w:after="0" w:line="281" w:lineRule="auto"/>
        <w:tabs>
          <w:tab w:leader="none" w:pos="108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 required to perform additional clinical trials to support approval or be subject to additional post-marketing testing requirements;</w:t>
      </w:r>
    </w:p>
    <w:p>
      <w:pPr>
        <w:spacing w:after="0" w:line="61" w:lineRule="exact"/>
        <w:rPr>
          <w:rFonts w:ascii="Times New Roman" w:cs="Times New Roman" w:eastAsia="Times New Roman" w:hAnsi="Times New Roman"/>
          <w:sz w:val="20"/>
          <w:szCs w:val="20"/>
          <w:color w:val="auto"/>
        </w:rPr>
      </w:pPr>
    </w:p>
    <w:p>
      <w:pPr>
        <w:ind w:left="1080" w:hanging="370"/>
        <w:spacing w:after="0" w:line="281" w:lineRule="auto"/>
        <w:tabs>
          <w:tab w:leader="none" w:pos="108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have regulatory authorities withdraw, or suspend, their approval of the drug or impose restrictions on its distribution in the form of a modified risk evaluation and mitigation strategy (“REMS”) plan;</w:t>
      </w:r>
    </w:p>
    <w:p>
      <w:pPr>
        <w:spacing w:after="0" w:line="61" w:lineRule="exact"/>
        <w:rPr>
          <w:rFonts w:ascii="Times New Roman" w:cs="Times New Roman" w:eastAsia="Times New Roman" w:hAnsi="Times New Roman"/>
          <w:sz w:val="20"/>
          <w:szCs w:val="20"/>
          <w:color w:val="auto"/>
        </w:rPr>
      </w:pPr>
    </w:p>
    <w:p>
      <w:pPr>
        <w:ind w:left="1080" w:hanging="370"/>
        <w:spacing w:after="0"/>
        <w:tabs>
          <w:tab w:leader="none" w:pos="108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 subject to the addition of labeling statements, such as warnings or contraindications;</w:t>
      </w:r>
    </w:p>
    <w:p>
      <w:pPr>
        <w:sectPr>
          <w:pgSz w:w="12240" w:h="15840" w:orient="portrait"/>
          <w:cols w:equalWidth="0" w:num="1">
            <w:col w:w="9880"/>
          </w:cols>
          <w:pgMar w:left="1180" w:top="208" w:right="1180" w:bottom="0" w:gutter="0" w:footer="0" w:header="0"/>
        </w:sect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53</w:t>
      </w:r>
    </w:p>
    <w:p>
      <w:pPr>
        <w:sectPr>
          <w:pgSz w:w="12240" w:h="15840" w:orient="portrait"/>
          <w:cols w:equalWidth="0" w:num="1">
            <w:col w:w="9880"/>
          </w:cols>
          <w:pgMar w:left="1180" w:top="208" w:right="1180" w:bottom="0" w:gutter="0" w:footer="0" w:header="0"/>
          <w:type w:val="continuous"/>
        </w:sectPr>
      </w:pPr>
    </w:p>
    <w:bookmarkStart w:id="53" w:name="page54"/>
    <w:bookmarkEnd w:id="53"/>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400" w:lineRule="exact"/>
        <w:rPr>
          <w:sz w:val="20"/>
          <w:szCs w:val="20"/>
          <w:color w:val="auto"/>
        </w:rPr>
      </w:pPr>
    </w:p>
    <w:p>
      <w:pPr>
        <w:ind w:left="1080" w:hanging="370"/>
        <w:spacing w:after="0"/>
        <w:tabs>
          <w:tab w:leader="none" w:pos="108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 sued; or</w:t>
      </w:r>
    </w:p>
    <w:p>
      <w:pPr>
        <w:spacing w:after="0" w:line="130" w:lineRule="exact"/>
        <w:rPr>
          <w:rFonts w:ascii="Times New Roman" w:cs="Times New Roman" w:eastAsia="Times New Roman" w:hAnsi="Times New Roman"/>
          <w:sz w:val="20"/>
          <w:szCs w:val="20"/>
          <w:color w:val="auto"/>
        </w:rPr>
      </w:pPr>
    </w:p>
    <w:p>
      <w:pPr>
        <w:ind w:left="1080" w:hanging="370"/>
        <w:spacing w:after="0"/>
        <w:tabs>
          <w:tab w:leader="none" w:pos="108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experience damage to our reputation.</w:t>
      </w:r>
    </w:p>
    <w:p>
      <w:pPr>
        <w:spacing w:after="0" w:line="250" w:lineRule="exact"/>
        <w:rPr>
          <w:sz w:val="20"/>
          <w:szCs w:val="20"/>
          <w:color w:val="auto"/>
        </w:rPr>
      </w:pPr>
    </w:p>
    <w:p>
      <w:pPr>
        <w:jc w:val="both"/>
        <w:ind w:right="20" w:firstLine="720"/>
        <w:spacing w:after="0" w:line="266" w:lineRule="auto"/>
        <w:rPr>
          <w:sz w:val="20"/>
          <w:szCs w:val="20"/>
          <w:color w:val="auto"/>
        </w:rPr>
      </w:pPr>
      <w:r>
        <w:rPr>
          <w:rFonts w:ascii="Times New Roman" w:cs="Times New Roman" w:eastAsia="Times New Roman" w:hAnsi="Times New Roman"/>
          <w:sz w:val="20"/>
          <w:szCs w:val="20"/>
          <w:color w:val="auto"/>
        </w:rPr>
        <w:t>Our drug development costs will also increase if we experience delays in testing or obtaining marketing approvals. We do not know whether any of our preclinical studies or clinical trials will begin as planned, need to be restructured or be completed on schedule, if at all.</w:t>
      </w:r>
    </w:p>
    <w:p>
      <w:pPr>
        <w:spacing w:after="0" w:line="195" w:lineRule="exact"/>
        <w:rPr>
          <w:sz w:val="20"/>
          <w:szCs w:val="20"/>
          <w:color w:val="auto"/>
        </w:rPr>
      </w:pPr>
    </w:p>
    <w:p>
      <w:pPr>
        <w:jc w:val="both"/>
        <w:ind w:firstLine="720"/>
        <w:spacing w:after="0" w:line="268" w:lineRule="auto"/>
        <w:rPr>
          <w:sz w:val="20"/>
          <w:szCs w:val="20"/>
          <w:color w:val="auto"/>
        </w:rPr>
      </w:pPr>
      <w:r>
        <w:rPr>
          <w:rFonts w:ascii="Times New Roman" w:cs="Times New Roman" w:eastAsia="Times New Roman" w:hAnsi="Times New Roman"/>
          <w:sz w:val="19"/>
          <w:szCs w:val="19"/>
          <w:color w:val="auto"/>
        </w:rPr>
        <w:t>Further, we, the FDA or other regulatory authorities, or an IRB or ethics committee of the institutions in which our clinical trials are being conducted, or the Data Safety Monitoring Board for such trials, if any, may suspend or terminate our clinical trials. Such authorities may suspend or terminate a clinical trial at any time due to a number of factors, including if it appears that we or our collaborators are failing to conduct a trial in accordance with regulatory requirements, including the FDA’s current Good Clinical Practice (“GCP”), regulations, unforeseen safety issues or unacceptable health risks, failure to demonstrate a benefit from the product candidates, or if the FDA finds deficiencies in our INDs or the conduct of these trials. Therefore, we cannot predict with any certainty the schedule for commencement and completion of future clinical trials. If we experience delays in the commencement or completion of our clinical trials, or if we terminate a clinical trial prior to completion, the commercial prospects of our product candidates could be negatively impacted, and our ability to generate revenues from our product candidates may be delayed or eliminated entirely.</w:t>
      </w:r>
    </w:p>
    <w:p>
      <w:pPr>
        <w:spacing w:after="0" w:line="31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Even if we complete the necessary preclinical studies and clinical trials, the marketing approval process is expensive, time-consuming and uncertain and may prevent us from obtaining approvals for the commercialization of our product candidates.</w:t>
      </w:r>
    </w:p>
    <w:p>
      <w:pPr>
        <w:spacing w:after="0" w:line="76"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Any product candidate we develop and the activities associated with its development and commercialization, including its design, testing, manufacture, safety, efficacy, recordkeeping, labeling, storage, approval, advertising, promotion, sale, and distribution, are subject to comprehensive regulation by the FDA and other regulatory authorities in the United States and by comparable authorities in other countries. Failure to obtain marketing approval for a product candidate will prevent us from commercializing the product candidate in a given jurisdiction. We have not received approval to market any product candidates from regulatory authorities in any jurisdiction and it is possible that none of the product candidates we are developing or may seek to develop in the future will ever obtain regulatory approval. We have no experience in submitting and supporting the applications necessary to gain marketing approvals and expect to rely on third-party CROs or regulatory consultants to assist us in this process. Securing regulatory approval requires the submission of extensive preclinical and clinical data and supporting information to the various regulatory authorities for each therapeutic indication to establish the product candidate’s safety and efficacy. Securing regulatory approval also requires the submission of information about the product manufacturing process to, and inspection of manufacturing facilities by, the relevant regulatory authority. Any product candidates we develop may not be effective, may be only moderately effective, or may prove to have undesirable or unintended side effects, toxicities or other characteristics that may preclude its obtaining marketing approval or prevent or limit commercial use.</w:t>
      </w:r>
    </w:p>
    <w:p>
      <w:pPr>
        <w:spacing w:after="0" w:line="218" w:lineRule="exact"/>
        <w:rPr>
          <w:sz w:val="20"/>
          <w:szCs w:val="20"/>
          <w:color w:val="auto"/>
        </w:rPr>
      </w:pPr>
    </w:p>
    <w:p>
      <w:pPr>
        <w:jc w:val="both"/>
        <w:ind w:right="20" w:firstLine="720"/>
        <w:spacing w:after="0" w:line="252" w:lineRule="auto"/>
        <w:rPr>
          <w:sz w:val="20"/>
          <w:szCs w:val="20"/>
          <w:color w:val="auto"/>
        </w:rPr>
      </w:pPr>
      <w:r>
        <w:rPr>
          <w:rFonts w:ascii="Times New Roman" w:cs="Times New Roman" w:eastAsia="Times New Roman" w:hAnsi="Times New Roman"/>
          <w:sz w:val="20"/>
          <w:szCs w:val="20"/>
          <w:color w:val="auto"/>
        </w:rPr>
        <w:t>The process of obtaining marketing approvals is expensive, may take many years if additional clinical trials are required, if approval is obtained at all, and can vary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product application, may cause delays in the approval or rejection of an application. The FDA and comparable authorities in other countries have substantial discretion in the approval process and may refuse to accept any application or may decide that our data are insufficient for approval and require additional preclinical, clinical or other studies. This is particularly true for clinical trials in rare diseases, where the very small patient population makes it difficult or impossible to conduct traditional, adequate and well-controlled studies, and therefore the FDA or comparable foreign regulatory authorities are often required to exercise flexibility in approving therapies for such diseases. To the extent that the results of the trials are not satisfactory to the FDA or comparable foreign regulatory authorities for support of a marketing application, we may be required to expend significant resources, which may not be available to us, to conduct additional trials in support of potential approval of our product candidates. In addition, varying interpretations of the data obtained from preclinical and clinical testing could delay, limit, or prevent marketing approval of a product candidate. Any marketing approval that we may ultimately obtain could be limited or subject to restrictions or post-approval commitments that render the approved product not commercially viable.</w:t>
      </w:r>
    </w:p>
    <w:p>
      <w:pPr>
        <w:spacing w:after="0" w:line="216" w:lineRule="exact"/>
        <w:rPr>
          <w:sz w:val="20"/>
          <w:szCs w:val="20"/>
          <w:color w:val="auto"/>
        </w:rPr>
      </w:pPr>
    </w:p>
    <w:p>
      <w:pPr>
        <w:jc w:val="both"/>
        <w:ind w:right="20" w:firstLine="720"/>
        <w:spacing w:after="0" w:line="266" w:lineRule="auto"/>
        <w:rPr>
          <w:sz w:val="20"/>
          <w:szCs w:val="20"/>
          <w:color w:val="auto"/>
        </w:rPr>
      </w:pPr>
      <w:r>
        <w:rPr>
          <w:rFonts w:ascii="Times New Roman" w:cs="Times New Roman" w:eastAsia="Times New Roman" w:hAnsi="Times New Roman"/>
          <w:sz w:val="20"/>
          <w:szCs w:val="20"/>
          <w:color w:val="auto"/>
        </w:rPr>
        <w:t>If we experience delays in obtaining approval or if we fail to obtain approval of any product candidates we may develop, the commercial prospects for those product candidates may be harmed, and our ability to generate revenues may be materially impaired.</w:t>
      </w:r>
    </w:p>
    <w:p>
      <w:pPr>
        <w:sectPr>
          <w:pgSz w:w="12240" w:h="15840" w:orient="portrait"/>
          <w:cols w:equalWidth="0" w:num="1">
            <w:col w:w="9900"/>
          </w:cols>
          <w:pgMar w:left="1180" w:top="208" w:right="1160" w:bottom="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54</w:t>
      </w:r>
    </w:p>
    <w:p>
      <w:pPr>
        <w:sectPr>
          <w:pgSz w:w="12240" w:h="15840" w:orient="portrait"/>
          <w:cols w:equalWidth="0" w:num="1">
            <w:col w:w="9900"/>
          </w:cols>
          <w:pgMar w:left="1180" w:top="208" w:right="1160" w:bottom="0" w:gutter="0" w:footer="0" w:header="0"/>
          <w:type w:val="continuous"/>
        </w:sectPr>
      </w:pPr>
    </w:p>
    <w:bookmarkStart w:id="54" w:name="page55"/>
    <w:bookmarkEnd w:id="54"/>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91"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may find it difficult to enroll patients in our clinical trials, which could delay or prevent us from proceeding with clinical trials of our product candidates.</w:t>
      </w:r>
    </w:p>
    <w:p>
      <w:pPr>
        <w:spacing w:after="0" w:line="57" w:lineRule="exact"/>
        <w:rPr>
          <w:sz w:val="20"/>
          <w:szCs w:val="20"/>
          <w:color w:val="auto"/>
        </w:rPr>
      </w:pPr>
    </w:p>
    <w:p>
      <w:pPr>
        <w:jc w:val="both"/>
        <w:ind w:firstLine="720"/>
        <w:spacing w:after="0" w:line="253" w:lineRule="auto"/>
        <w:rPr>
          <w:sz w:val="20"/>
          <w:szCs w:val="20"/>
          <w:color w:val="auto"/>
        </w:rPr>
      </w:pPr>
      <w:r>
        <w:rPr>
          <w:rFonts w:ascii="Times New Roman" w:cs="Times New Roman" w:eastAsia="Times New Roman" w:hAnsi="Times New Roman"/>
          <w:sz w:val="20"/>
          <w:szCs w:val="20"/>
          <w:color w:val="auto"/>
        </w:rPr>
        <w:t>Identifying and qualifying patients to participate in clinical trials of our product candidates is critical to our success. The timing of our clinical trials depends on our ability to recruit patients to participate in such trials as well as the completion of any required follow-up periods. Some of our product candidates are designed to target orphan indications which often take longer to enroll than trials for other indications due to the smaller patient population from which subjects can be recruited. We may experience delays in any of our future clinical trials. If patients are unwilling to participate in our studies because of negative publicity from adverse events related to certain modalities utilized in one or more of our product candidates, competitive clinical trials for similar patient populations, as is the case for our orexin program, or for other reasons, the timeline for recruiting patients, conducting studies and obtaining regulatory approval of our product candidates may be delayed. These delays could result in increased costs, delays in advancing our product candidates, delays in testing the effectiveness of our product candidates or termination of the clinical trials altogether.</w:t>
      </w:r>
    </w:p>
    <w:p>
      <w:pPr>
        <w:spacing w:after="0" w:line="216" w:lineRule="exact"/>
        <w:rPr>
          <w:sz w:val="20"/>
          <w:szCs w:val="20"/>
          <w:color w:val="auto"/>
        </w:rPr>
      </w:pPr>
    </w:p>
    <w:p>
      <w:pPr>
        <w:jc w:val="both"/>
        <w:ind w:firstLine="720"/>
        <w:spacing w:after="0" w:line="266" w:lineRule="auto"/>
        <w:rPr>
          <w:sz w:val="20"/>
          <w:szCs w:val="20"/>
          <w:color w:val="auto"/>
        </w:rPr>
      </w:pPr>
      <w:r>
        <w:rPr>
          <w:rFonts w:ascii="Times New Roman" w:cs="Times New Roman" w:eastAsia="Times New Roman" w:hAnsi="Times New Roman"/>
          <w:sz w:val="20"/>
          <w:szCs w:val="20"/>
          <w:color w:val="auto"/>
        </w:rPr>
        <w:t>We may not be able to identify, recruit and enroll a sufficient number of patients, or those with required or desired characteristics, to complete our clinical trials in a timely manner. Patient enrollment and trial completion is affected by factors including:</w:t>
      </w:r>
    </w:p>
    <w:p>
      <w:pPr>
        <w:spacing w:after="0" w:line="75" w:lineRule="exact"/>
        <w:rPr>
          <w:sz w:val="20"/>
          <w:szCs w:val="20"/>
          <w:color w:val="auto"/>
        </w:rPr>
      </w:pPr>
    </w:p>
    <w:p>
      <w:pPr>
        <w:ind w:left="1080" w:hanging="370"/>
        <w:spacing w:after="0"/>
        <w:tabs>
          <w:tab w:leader="none" w:pos="108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size of the patient population and process for identifying subjects;</w:t>
      </w:r>
    </w:p>
    <w:p>
      <w:pPr>
        <w:spacing w:after="0" w:line="130" w:lineRule="exact"/>
        <w:rPr>
          <w:rFonts w:ascii="Times New Roman" w:cs="Times New Roman" w:eastAsia="Times New Roman" w:hAnsi="Times New Roman"/>
          <w:sz w:val="20"/>
          <w:szCs w:val="20"/>
          <w:color w:val="auto"/>
        </w:rPr>
      </w:pPr>
    </w:p>
    <w:p>
      <w:pPr>
        <w:ind w:left="1080" w:hanging="370"/>
        <w:spacing w:after="0"/>
        <w:tabs>
          <w:tab w:leader="none" w:pos="108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 of the trial protocol;</w:t>
      </w:r>
    </w:p>
    <w:p>
      <w:pPr>
        <w:spacing w:after="0" w:line="130" w:lineRule="exact"/>
        <w:rPr>
          <w:rFonts w:ascii="Times New Roman" w:cs="Times New Roman" w:eastAsia="Times New Roman" w:hAnsi="Times New Roman"/>
          <w:sz w:val="20"/>
          <w:szCs w:val="20"/>
          <w:color w:val="auto"/>
        </w:rPr>
      </w:pPr>
    </w:p>
    <w:p>
      <w:pPr>
        <w:ind w:left="1080" w:hanging="370"/>
        <w:spacing w:after="0"/>
        <w:tabs>
          <w:tab w:leader="none" w:pos="108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eligibility and exclusion criteria;</w:t>
      </w:r>
    </w:p>
    <w:p>
      <w:pPr>
        <w:spacing w:after="0" w:line="130" w:lineRule="exact"/>
        <w:rPr>
          <w:rFonts w:ascii="Times New Roman" w:cs="Times New Roman" w:eastAsia="Times New Roman" w:hAnsi="Times New Roman"/>
          <w:sz w:val="20"/>
          <w:szCs w:val="20"/>
          <w:color w:val="auto"/>
        </w:rPr>
      </w:pPr>
    </w:p>
    <w:p>
      <w:pPr>
        <w:ind w:left="1080" w:hanging="370"/>
        <w:spacing w:after="0"/>
        <w:tabs>
          <w:tab w:leader="none" w:pos="108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perceived risks and benefits of the product candidate under study;</w:t>
      </w:r>
    </w:p>
    <w:p>
      <w:pPr>
        <w:spacing w:after="0" w:line="130" w:lineRule="exact"/>
        <w:rPr>
          <w:rFonts w:ascii="Times New Roman" w:cs="Times New Roman" w:eastAsia="Times New Roman" w:hAnsi="Times New Roman"/>
          <w:sz w:val="20"/>
          <w:szCs w:val="20"/>
          <w:color w:val="auto"/>
        </w:rPr>
      </w:pPr>
    </w:p>
    <w:p>
      <w:pPr>
        <w:ind w:left="1080" w:hanging="370"/>
        <w:spacing w:after="0" w:line="281" w:lineRule="auto"/>
        <w:tabs>
          <w:tab w:leader="none" w:pos="108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perceived risks and benefits of approaches utilized by one or more of our product candidates for the treatment of diseases;</w:t>
      </w:r>
    </w:p>
    <w:p>
      <w:pPr>
        <w:spacing w:after="0" w:line="61" w:lineRule="exact"/>
        <w:rPr>
          <w:rFonts w:ascii="Times New Roman" w:cs="Times New Roman" w:eastAsia="Times New Roman" w:hAnsi="Times New Roman"/>
          <w:sz w:val="20"/>
          <w:szCs w:val="20"/>
          <w:color w:val="auto"/>
        </w:rPr>
      </w:pPr>
    </w:p>
    <w:p>
      <w:pPr>
        <w:ind w:left="1080" w:hanging="370"/>
        <w:spacing w:after="0"/>
        <w:tabs>
          <w:tab w:leader="none" w:pos="108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availability of competing therapies and clinical trials;</w:t>
      </w:r>
    </w:p>
    <w:p>
      <w:pPr>
        <w:spacing w:after="0" w:line="130" w:lineRule="exact"/>
        <w:rPr>
          <w:rFonts w:ascii="Times New Roman" w:cs="Times New Roman" w:eastAsia="Times New Roman" w:hAnsi="Times New Roman"/>
          <w:sz w:val="20"/>
          <w:szCs w:val="20"/>
          <w:color w:val="auto"/>
        </w:rPr>
      </w:pPr>
    </w:p>
    <w:p>
      <w:pPr>
        <w:ind w:left="1080" w:hanging="370"/>
        <w:spacing w:after="0"/>
        <w:tabs>
          <w:tab w:leader="none" w:pos="108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severity of the disease under investigation;</w:t>
      </w:r>
    </w:p>
    <w:p>
      <w:pPr>
        <w:spacing w:after="0" w:line="130" w:lineRule="exact"/>
        <w:rPr>
          <w:rFonts w:ascii="Times New Roman" w:cs="Times New Roman" w:eastAsia="Times New Roman" w:hAnsi="Times New Roman"/>
          <w:sz w:val="20"/>
          <w:szCs w:val="20"/>
          <w:color w:val="auto"/>
        </w:rPr>
      </w:pPr>
    </w:p>
    <w:p>
      <w:pPr>
        <w:ind w:left="1080" w:hanging="370"/>
        <w:spacing w:after="0"/>
        <w:tabs>
          <w:tab w:leader="none" w:pos="108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proximity and availability of clinical trial sites for prospective subjects;</w:t>
      </w:r>
    </w:p>
    <w:p>
      <w:pPr>
        <w:spacing w:after="0" w:line="130" w:lineRule="exact"/>
        <w:rPr>
          <w:rFonts w:ascii="Times New Roman" w:cs="Times New Roman" w:eastAsia="Times New Roman" w:hAnsi="Times New Roman"/>
          <w:sz w:val="20"/>
          <w:szCs w:val="20"/>
          <w:color w:val="auto"/>
        </w:rPr>
      </w:pPr>
    </w:p>
    <w:p>
      <w:pPr>
        <w:ind w:left="1080" w:hanging="370"/>
        <w:spacing w:after="0"/>
        <w:tabs>
          <w:tab w:leader="none" w:pos="108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ability to recruit clinical trial investigators with the appropriate competencies and experience;</w:t>
      </w:r>
    </w:p>
    <w:p>
      <w:pPr>
        <w:spacing w:after="0" w:line="130" w:lineRule="exact"/>
        <w:rPr>
          <w:rFonts w:ascii="Times New Roman" w:cs="Times New Roman" w:eastAsia="Times New Roman" w:hAnsi="Times New Roman"/>
          <w:sz w:val="20"/>
          <w:szCs w:val="20"/>
          <w:color w:val="auto"/>
        </w:rPr>
      </w:pPr>
    </w:p>
    <w:p>
      <w:pPr>
        <w:ind w:left="1080" w:hanging="370"/>
        <w:spacing w:after="0"/>
        <w:tabs>
          <w:tab w:leader="none" w:pos="108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ability to obtain and maintain subject consent;</w:t>
      </w:r>
    </w:p>
    <w:p>
      <w:pPr>
        <w:spacing w:after="0" w:line="130" w:lineRule="exact"/>
        <w:rPr>
          <w:rFonts w:ascii="Times New Roman" w:cs="Times New Roman" w:eastAsia="Times New Roman" w:hAnsi="Times New Roman"/>
          <w:sz w:val="20"/>
          <w:szCs w:val="20"/>
          <w:color w:val="auto"/>
        </w:rPr>
      </w:pPr>
    </w:p>
    <w:p>
      <w:pPr>
        <w:ind w:left="1080" w:hanging="370"/>
        <w:spacing w:after="0"/>
        <w:tabs>
          <w:tab w:leader="none" w:pos="108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risk that enrolled subjects will drop out before completion of the trial;</w:t>
      </w:r>
    </w:p>
    <w:p>
      <w:pPr>
        <w:spacing w:after="0" w:line="130" w:lineRule="exact"/>
        <w:rPr>
          <w:rFonts w:ascii="Times New Roman" w:cs="Times New Roman" w:eastAsia="Times New Roman" w:hAnsi="Times New Roman"/>
          <w:sz w:val="20"/>
          <w:szCs w:val="20"/>
          <w:color w:val="auto"/>
        </w:rPr>
      </w:pPr>
    </w:p>
    <w:p>
      <w:pPr>
        <w:ind w:left="1080" w:hanging="370"/>
        <w:spacing w:after="0"/>
        <w:tabs>
          <w:tab w:leader="none" w:pos="108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patient referral practices of physicians;</w:t>
      </w:r>
    </w:p>
    <w:p>
      <w:pPr>
        <w:spacing w:after="0" w:line="130" w:lineRule="exact"/>
        <w:rPr>
          <w:rFonts w:ascii="Times New Roman" w:cs="Times New Roman" w:eastAsia="Times New Roman" w:hAnsi="Times New Roman"/>
          <w:sz w:val="20"/>
          <w:szCs w:val="20"/>
          <w:color w:val="auto"/>
        </w:rPr>
      </w:pPr>
    </w:p>
    <w:p>
      <w:pPr>
        <w:ind w:left="1080" w:hanging="370"/>
        <w:spacing w:after="0"/>
        <w:tabs>
          <w:tab w:leader="none" w:pos="108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ability to monitor subjects adequately during and after treatment; and</w:t>
      </w:r>
    </w:p>
    <w:p>
      <w:pPr>
        <w:spacing w:after="0" w:line="130" w:lineRule="exact"/>
        <w:rPr>
          <w:rFonts w:ascii="Times New Roman" w:cs="Times New Roman" w:eastAsia="Times New Roman" w:hAnsi="Times New Roman"/>
          <w:sz w:val="20"/>
          <w:szCs w:val="20"/>
          <w:color w:val="auto"/>
        </w:rPr>
      </w:pPr>
    </w:p>
    <w:p>
      <w:pPr>
        <w:ind w:left="1080" w:right="20" w:hanging="370"/>
        <w:spacing w:after="0" w:line="260" w:lineRule="auto"/>
        <w:tabs>
          <w:tab w:leader="none" w:pos="108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factors we may not be able to control, such as current or potential pandemics that may limit patients, principal investigators or staff or clinical site availability and geopolitical conflicts such as the Russia-Ukraine war, the Middle East conflict(s), tensions in U.S.-China relations and the impact of changes in trade policy, including the imposition of tariffs, on our business and results of operations.</w:t>
      </w:r>
    </w:p>
    <w:p>
      <w:pPr>
        <w:spacing w:after="0" w:line="203" w:lineRule="exact"/>
        <w:rPr>
          <w:sz w:val="20"/>
          <w:szCs w:val="20"/>
          <w:color w:val="auto"/>
        </w:rPr>
      </w:pPr>
    </w:p>
    <w:p>
      <w:pPr>
        <w:jc w:val="both"/>
        <w:ind w:firstLine="720"/>
        <w:spacing w:after="0" w:line="256" w:lineRule="auto"/>
        <w:rPr>
          <w:sz w:val="20"/>
          <w:szCs w:val="20"/>
          <w:color w:val="auto"/>
        </w:rPr>
      </w:pPr>
      <w:r>
        <w:rPr>
          <w:rFonts w:ascii="Times New Roman" w:cs="Times New Roman" w:eastAsia="Times New Roman" w:hAnsi="Times New Roman"/>
          <w:sz w:val="20"/>
          <w:szCs w:val="20"/>
          <w:color w:val="auto"/>
        </w:rPr>
        <w:t>If we are successful in developing one or more of our product candidates, we plan to seek initial marketing approval in the United States and certain other major markets such as major countries in the EU, and the United Kingdom. We may not be able to initiate or continue clinical trials if we cannot enroll a sufficient number of eligible patients to participate in the clinical trials required by FDA, EMA, MHRA or other regulatory authorities. Our ability to successfully initiate, enroll and complete a clinical trial in any foreign country is subject to numerous risks unique to conducting business in foreign countries, including:</w:t>
      </w:r>
    </w:p>
    <w:p>
      <w:pPr>
        <w:spacing w:after="0" w:line="88" w:lineRule="exact"/>
        <w:rPr>
          <w:sz w:val="20"/>
          <w:szCs w:val="20"/>
          <w:color w:val="auto"/>
        </w:rPr>
      </w:pPr>
    </w:p>
    <w:p>
      <w:pPr>
        <w:ind w:left="1080" w:hanging="370"/>
        <w:spacing w:after="0"/>
        <w:tabs>
          <w:tab w:leader="none" w:pos="108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difficulty in establishing or managing relationships with CROs, and physicians;</w:t>
      </w:r>
    </w:p>
    <w:p>
      <w:pPr>
        <w:spacing w:after="0" w:line="130" w:lineRule="exact"/>
        <w:rPr>
          <w:rFonts w:ascii="Times New Roman" w:cs="Times New Roman" w:eastAsia="Times New Roman" w:hAnsi="Times New Roman"/>
          <w:sz w:val="20"/>
          <w:szCs w:val="20"/>
          <w:color w:val="auto"/>
        </w:rPr>
      </w:pPr>
    </w:p>
    <w:p>
      <w:pPr>
        <w:ind w:left="1080" w:hanging="370"/>
        <w:spacing w:after="0"/>
        <w:tabs>
          <w:tab w:leader="none" w:pos="108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difficulty in obtaining local regulatory approval to conduct clinical trials;</w:t>
      </w:r>
    </w:p>
    <w:p>
      <w:pPr>
        <w:spacing w:after="0" w:line="130" w:lineRule="exact"/>
        <w:rPr>
          <w:rFonts w:ascii="Times New Roman" w:cs="Times New Roman" w:eastAsia="Times New Roman" w:hAnsi="Times New Roman"/>
          <w:sz w:val="20"/>
          <w:szCs w:val="20"/>
          <w:color w:val="auto"/>
        </w:rPr>
      </w:pPr>
    </w:p>
    <w:p>
      <w:pPr>
        <w:ind w:left="1080" w:hanging="370"/>
        <w:spacing w:after="0"/>
        <w:tabs>
          <w:tab w:leader="none" w:pos="108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different standards for the conduct of clinical trials;</w:t>
      </w:r>
    </w:p>
    <w:p>
      <w:pPr>
        <w:spacing w:after="0" w:line="130" w:lineRule="exact"/>
        <w:rPr>
          <w:rFonts w:ascii="Times New Roman" w:cs="Times New Roman" w:eastAsia="Times New Roman" w:hAnsi="Times New Roman"/>
          <w:sz w:val="20"/>
          <w:szCs w:val="20"/>
          <w:color w:val="auto"/>
        </w:rPr>
      </w:pPr>
    </w:p>
    <w:p>
      <w:pPr>
        <w:ind w:left="1080" w:hanging="370"/>
        <w:spacing w:after="0"/>
        <w:tabs>
          <w:tab w:leader="none" w:pos="108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inability to locate qualified local consultants, physicians and partners; and</w:t>
      </w:r>
    </w:p>
    <w:p>
      <w:pPr>
        <w:spacing w:after="0" w:line="130" w:lineRule="exact"/>
        <w:rPr>
          <w:rFonts w:ascii="Times New Roman" w:cs="Times New Roman" w:eastAsia="Times New Roman" w:hAnsi="Times New Roman"/>
          <w:sz w:val="20"/>
          <w:szCs w:val="20"/>
          <w:color w:val="auto"/>
        </w:rPr>
      </w:pPr>
    </w:p>
    <w:p>
      <w:pPr>
        <w:ind w:left="1080" w:hanging="370"/>
        <w:spacing w:after="0" w:line="281" w:lineRule="auto"/>
        <w:tabs>
          <w:tab w:leader="none" w:pos="108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potential burden of complying with a variety of foreign laws, medical standards and regulatory requirements, including the regulation of pharmaceutical and biotechnology products and treatment.</w:t>
      </w:r>
    </w:p>
    <w:p>
      <w:pPr>
        <w:sectPr>
          <w:pgSz w:w="12240" w:h="15840" w:orient="portrait"/>
          <w:cols w:equalWidth="0" w:num="1">
            <w:col w:w="9880"/>
          </w:cols>
          <w:pgMar w:left="1180" w:top="20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55</w:t>
      </w:r>
    </w:p>
    <w:p>
      <w:pPr>
        <w:sectPr>
          <w:pgSz w:w="12240" w:h="15840" w:orient="portrait"/>
          <w:cols w:equalWidth="0" w:num="1">
            <w:col w:w="9880"/>
          </w:cols>
          <w:pgMar w:left="1180" w:top="208" w:right="1180" w:bottom="0" w:gutter="0" w:footer="0" w:header="0"/>
          <w:type w:val="continuous"/>
        </w:sectPr>
      </w:pPr>
    </w:p>
    <w:bookmarkStart w:id="55" w:name="page56"/>
    <w:bookmarkEnd w:id="55"/>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400" w:lineRule="exact"/>
        <w:rPr>
          <w:sz w:val="20"/>
          <w:szCs w:val="20"/>
          <w:color w:val="auto"/>
        </w:rPr>
      </w:pPr>
    </w:p>
    <w:p>
      <w:pPr>
        <w:jc w:val="both"/>
        <w:ind w:firstLine="720"/>
        <w:spacing w:after="0" w:line="266" w:lineRule="auto"/>
        <w:rPr>
          <w:sz w:val="20"/>
          <w:szCs w:val="20"/>
          <w:color w:val="auto"/>
        </w:rPr>
      </w:pPr>
      <w:r>
        <w:rPr>
          <w:rFonts w:ascii="Times New Roman" w:cs="Times New Roman" w:eastAsia="Times New Roman" w:hAnsi="Times New Roman"/>
          <w:sz w:val="20"/>
          <w:szCs w:val="20"/>
          <w:color w:val="auto"/>
        </w:rPr>
        <w:t>If we have difficulty enrolling a sufficient number of patients to conduct our clinical trials as planned, we may need to delay, limit or terminate ongoing or planned clinical trials, any of which would have an adverse effect on our business, financial condition, results of operations and prospects.</w:t>
      </w:r>
    </w:p>
    <w:p>
      <w:pPr>
        <w:spacing w:after="0" w:line="306"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are dependent on third parties having accurately generated, collected, interpreted and reported data from certain preclinical studies and clinical trials that were previously conducted for our product candidates.</w:t>
      </w:r>
    </w:p>
    <w:p>
      <w:pPr>
        <w:spacing w:after="0" w:line="57"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We have licensed patent and other intellectual property rights from third parties and we may continue to seek and enter into similar licenses for future programs. In certain cases, we intend to rely on results of studies previously conducted by third parties to support our own development of these candidates. In such cases, we may have no involvement with or control over the preclinical and clinical development of any of such product candidates prior to obtaining the in-license. Therefore, we would be dependent on these third parties having conducted their research and development in accordance with the applicable protocols, legal and regulatory requirements, and scientific standards; having accurately reported the results of all preclinical studies and clinical trials conducted with respect to such product candidates and having correctly collected and interpreted the data from these studies and trials. If these activities were not compliant, accurate or correct, the clinical development, regulatory approval or commercialization of our product candidates will be adversely affected.</w:t>
      </w:r>
    </w:p>
    <w:p>
      <w:pPr>
        <w:spacing w:after="0" w:line="200" w:lineRule="exact"/>
        <w:rPr>
          <w:sz w:val="20"/>
          <w:szCs w:val="20"/>
          <w:color w:val="auto"/>
        </w:rPr>
      </w:pPr>
    </w:p>
    <w:p>
      <w:pPr>
        <w:spacing w:after="0" w:line="360"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may be unable to obtain U.S. or foreign regulatory approval and, as a result, unable to develop and/or commercialize our product candidates.</w:t>
      </w:r>
    </w:p>
    <w:p>
      <w:pPr>
        <w:spacing w:after="0" w:line="57"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Our product candidates are subject to extensive governmental regulations relating to, among other things, research, testing, development, manufacturing, safety, efficacy, approval, recordkeeping, reporting, labeling, storage, packaging, advertising and promotion, pricing, marketing and distribution of drugs. Rigorous preclinical testing and clinical trials and an extensive regulatory approval process are required to be successfully completed in the U.S. and in many foreign jurisdictions before a new drug can be marketed. Satisfaction of these and other regulatory requirements is costly, time consuming, uncertain and subject to unanticipated delays. Regulatory agencies may also impose restrictions or conditions on the development of our product candidates which may delay or adversely impact their planned development. For example, we might need to exceed the current maximum exposure limit set by FDA for our ongoing clinical trials of cleminorexton, and this might result in a material delay to the current planned development of cleminorexton, or add significant additional cost, or require that we make significant adjustments including protocol changes, or we might not be successful in having the maximum exposure limit amended or removed by the FDA at all, in each case, which may materially and adversely impact our ability to develop or commercialize cleminorexton in a timely manner or at all and consequently, our business could be substantially harmed. It is possible that none of the product candidates we may develop will obtain the regulatory approvals necessary for us or our collaborators to begin selling them. Regulatory authorities may also fail to approve the facilities or processes used to manufacture a product candidate, our dosing or delivery methods.</w:t>
      </w:r>
    </w:p>
    <w:p>
      <w:pPr>
        <w:spacing w:after="0" w:line="216"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We have very limited experience in conducting and managing the clinical trials necessary to obtain regulatory approvals, including approval by the FDA. The time required to obtain FDA and other approvals is unpredictable but typically takes many years following the commencement of clinical trials, depending upon the type, complexity and novelty of the product candidate. The standards that the FDA and its foreign counterparts use when regulating us are not always applied predictably or uniformly and can change. Any analysis we perform on data from preclinical and clinical activities is subject to confirmation and interpretation by regulatory authorities, which could delay, limit or prevent regulatory approval. We may also encounter unexpected delays or increased costs due to new government regulations, for example, from future legislation or administrative action, or from changes in FDA policy during the period of product development, clinical trials and FDA regulatory review. It is impossible to predict whether legislative changes will be enacted, or whether FDA or foreign regulations, guidance or interpretations will be changed, or what the impact of such changes, if any, may be. In addition, the U.S. Supreme Court’s July 2024 decision to overturn established case law giving deference to regulatory agencies’ interpretations of ambiguous statutory language has introduced uncertainty regarding the extent to which the FDA’s regulations, policies and decisions may become subject to increasing legal challenges, delays, and/or changes.</w:t>
      </w:r>
    </w:p>
    <w:p>
      <w:pPr>
        <w:spacing w:after="0" w:line="219"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In certain cases in the future, we may develop therapies that may represent a new class of drug for which the FDA and its foreign counterparts have not yet established any definitive policies, practices or guidelines in relation to these drugs. For example, we may in the future develop product candidates that we believe are regulated as new drugs under the Federal Food, Drug, and Cosmetic Act, but the FDA could decide to regulate them or other products we may develop as biologics under the Public Health Service Act. The lack of policies, practices or guidelines may hinder or slow review by</w:t>
      </w:r>
    </w:p>
    <w:p>
      <w:pPr>
        <w:sectPr>
          <w:pgSz w:w="12240" w:h="15840" w:orient="portrait"/>
          <w:cols w:equalWidth="0" w:num="1">
            <w:col w:w="9880"/>
          </w:cols>
          <w:pgMar w:left="1180" w:top="208" w:right="1180" w:bottom="0" w:gutter="0" w:footer="0" w:header="0"/>
        </w:sect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56</w:t>
      </w:r>
    </w:p>
    <w:p>
      <w:pPr>
        <w:sectPr>
          <w:pgSz w:w="12240" w:h="15840" w:orient="portrait"/>
          <w:cols w:equalWidth="0" w:num="1">
            <w:col w:w="9880"/>
          </w:cols>
          <w:pgMar w:left="1180" w:top="208" w:right="1180" w:bottom="0" w:gutter="0" w:footer="0" w:header="0"/>
          <w:type w:val="continuous"/>
        </w:sectPr>
      </w:pPr>
    </w:p>
    <w:bookmarkStart w:id="56" w:name="page57"/>
    <w:bookmarkEnd w:id="56"/>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400"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the FDA of any regulatory filings that we may submit. Moreover, the FDA may respond to these submissions by defining requirements we may not have anticipated. Such responses could lead to significant delays in the clinical development of our product candidates. In addition, because there may be approved treatments for some of the diseases for which we may seek approval, in order to receive regulatory approval, we may need to demonstrate through clinical trials that the product candidates we develop to treat these diseases, if any, are not only safe and effective, but safer or more effective than existing products.</w:t>
      </w:r>
    </w:p>
    <w:p>
      <w:pPr>
        <w:spacing w:after="0" w:line="208"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Any delay or failure in obtaining required approvals could have a material adverse effect on our ability to generate revenues from the particular product candidate for which we are seeking approval. Furthermore, any regulatory approval to market a product may be subject to limitations on the approved uses for which we may market the product or the labeling or other restrictions. In addition, the FDA has the authority to require a REMS plan as part of a new drug application (“NDA”), or biologics license application (“BLA”), or after approval, which may impose further requirements or restrictions on the distribution or use of an approved drug or biologic, such as limiting prescribing to certain physicians or medical centers that have undergone specialized training, limiting treatment to patients who meet certain safe-use criteria and requiring treated patients to enroll in a registry. These limitations and restrictions may limit the size of the market for the product and affect reimbursement by third-party payors.</w:t>
      </w:r>
    </w:p>
    <w:p>
      <w:pPr>
        <w:spacing w:after="0" w:line="209" w:lineRule="exact"/>
        <w:rPr>
          <w:sz w:val="20"/>
          <w:szCs w:val="20"/>
          <w:color w:val="auto"/>
        </w:rPr>
      </w:pPr>
    </w:p>
    <w:p>
      <w:pPr>
        <w:jc w:val="both"/>
        <w:ind w:right="20" w:firstLine="720"/>
        <w:spacing w:after="0" w:line="256" w:lineRule="auto"/>
        <w:rPr>
          <w:sz w:val="20"/>
          <w:szCs w:val="20"/>
          <w:color w:val="auto"/>
        </w:rPr>
      </w:pPr>
      <w:r>
        <w:rPr>
          <w:rFonts w:ascii="Times New Roman" w:cs="Times New Roman" w:eastAsia="Times New Roman" w:hAnsi="Times New Roman"/>
          <w:sz w:val="20"/>
          <w:szCs w:val="20"/>
          <w:color w:val="auto"/>
        </w:rPr>
        <w:t>We are also subject to numerous foreign regulatory requirements governing, among other things, the conduct of clinical trials, manufacturing and marketing authorization, pricing and third-party reimbursement. The foreign regulatory approval process varies among countries and may include all of the risks associated with FDA approval described above as well as risks attributable to the satisfaction of local regulations in foreign jurisdictions. Moreover, the time required to obtain approval may differ from that required to obtain FDA approval. Approval by the FDA does not ensure approval by regulatory authorities outside the U.S. and vice versa.</w:t>
      </w:r>
    </w:p>
    <w:p>
      <w:pPr>
        <w:spacing w:after="0" w:line="319"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Interim, “top-line,” and preliminary data from our clinical trials that we announce or publish from time to time may change as more patient data become available or as additional analyses are conducted, and as the data are subject to audit and verification procedures, there could be material changes in the final data.</w:t>
      </w:r>
    </w:p>
    <w:p>
      <w:pPr>
        <w:spacing w:after="0" w:line="76" w:lineRule="exact"/>
        <w:rPr>
          <w:sz w:val="20"/>
          <w:szCs w:val="20"/>
          <w:color w:val="auto"/>
        </w:rPr>
      </w:pPr>
    </w:p>
    <w:p>
      <w:pPr>
        <w:jc w:val="both"/>
        <w:ind w:right="20" w:firstLine="720"/>
        <w:spacing w:after="0" w:line="255" w:lineRule="auto"/>
        <w:rPr>
          <w:sz w:val="20"/>
          <w:szCs w:val="20"/>
          <w:color w:val="auto"/>
        </w:rPr>
      </w:pPr>
      <w:r>
        <w:rPr>
          <w:rFonts w:ascii="Times New Roman" w:cs="Times New Roman" w:eastAsia="Times New Roman" w:hAnsi="Times New Roman"/>
          <w:sz w:val="20"/>
          <w:szCs w:val="20"/>
          <w:color w:val="auto"/>
        </w:rPr>
        <w:t>From time to time, we may publish interim, “top-line,” or preliminary data or report data updates from our clinical studies. Interim data from clinical trials that we may complete are subject to the risk that one or more of the clinical outcomes may materially change as patient enrollment continues and more patient data become available. Preliminary or “top-line” data or data updates also remain subject to audit and verification procedures that may result in the final data being materially different from the preliminary data we previously published. As a result, interim and preliminary data should be viewed with caution until the final data are available. Material adverse changes between preliminary, “top-line,” or interim data and final data could significantly harm our business prospects.</w:t>
      </w:r>
    </w:p>
    <w:p>
      <w:pPr>
        <w:spacing w:after="0" w:line="320"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20"/>
          <w:szCs w:val="20"/>
          <w:b w:val="1"/>
          <w:bCs w:val="1"/>
          <w:i w:val="1"/>
          <w:iCs w:val="1"/>
          <w:color w:val="auto"/>
        </w:rPr>
        <w:t>We may be unable to obtain orphan drug designation or exclusivity. If our competitors are able to obtain orphan drug exclusivity for products that constitute the same drug and treat the same indications as our product candidates, we may not be able to have our product candidates approved by the applicable regulatory authority for a significant period of time.</w:t>
      </w:r>
    </w:p>
    <w:p>
      <w:pPr>
        <w:spacing w:after="0" w:line="81"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We may seek orphan drug designation for our product candidates where applicable, but there is no assurance the FDA or other regulatory authorities would grant orphan drug designation or, if granted, there is no assurance we can maintain orphan drug designation or obtain any benefits associated with orphan drug designation, including market exclusivity. Regulatory authorities in some jurisdictions, including the United States and the European Union, may designate drugs and biologics intended to treat relatively small patient populations as orphan drugs. Under the Orphan Drug Act of 1983, FDA may designate a product candidate as an orphan drug if it is intended to treat a rare disease or condition, which is defined as a disease or condition having a patient population of fewer than 200,000 individuals in the United States, or a patient population greater than 200,000 in the United States where there is no reasonable expectation that the cost of developing the drug will be recovered from sales in the United States. In the EU, the European Commission, after recommendation from the EMA’s Committee for Orphan Medicinal Products, grants orphan designation in respect of products that are intended for the diagnosis, prevention or treatment of a life-threatening or chronically debilitating condition which either affects not more than 5 in 10,000 persons in the EU when the application for orphan designation is made, or products intended for the diagnosis, prevention or treatment of a life-threatening, seriously debilitating or serious and chronic condition when, without incentives, it is unlikely that sales of the product in the EU would be sufficient to justify the necessary investment in developing the product. In each case, there must be no satisfactory method of diagnosis, prevention or treatment which is authorized for marketing in the EU, or, if such a method exists, the product would be of significant benefit to those affected by the condition.</w:t>
      </w:r>
    </w:p>
    <w:p>
      <w:pPr>
        <w:sectPr>
          <w:pgSz w:w="12240" w:h="15840" w:orient="portrait"/>
          <w:cols w:equalWidth="0" w:num="1">
            <w:col w:w="9900"/>
          </w:cols>
          <w:pgMar w:left="1180" w:top="208" w:right="1160" w:bottom="0" w:gutter="0" w:footer="0" w:header="0"/>
        </w:sectPr>
      </w:pPr>
    </w:p>
    <w:p>
      <w:pPr>
        <w:spacing w:after="0" w:line="200" w:lineRule="exact"/>
        <w:rPr>
          <w:sz w:val="20"/>
          <w:szCs w:val="20"/>
          <w:color w:val="auto"/>
        </w:rPr>
      </w:pPr>
    </w:p>
    <w:p>
      <w:pPr>
        <w:spacing w:after="0" w:line="34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57</w:t>
      </w:r>
    </w:p>
    <w:p>
      <w:pPr>
        <w:sectPr>
          <w:pgSz w:w="12240" w:h="15840" w:orient="portrait"/>
          <w:cols w:equalWidth="0" w:num="1">
            <w:col w:w="9900"/>
          </w:cols>
          <w:pgMar w:left="1180" w:top="208" w:right="1160" w:bottom="0" w:gutter="0" w:footer="0" w:header="0"/>
          <w:type w:val="continuous"/>
        </w:sectPr>
      </w:pPr>
    </w:p>
    <w:bookmarkStart w:id="57" w:name="page58"/>
    <w:bookmarkEnd w:id="57"/>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400" w:lineRule="exact"/>
        <w:rPr>
          <w:sz w:val="20"/>
          <w:szCs w:val="20"/>
          <w:color w:val="auto"/>
        </w:rPr>
      </w:pPr>
    </w:p>
    <w:p>
      <w:pPr>
        <w:jc w:val="both"/>
        <w:ind w:right="20" w:firstLine="720"/>
        <w:spacing w:after="0" w:line="271" w:lineRule="auto"/>
        <w:rPr>
          <w:sz w:val="20"/>
          <w:szCs w:val="20"/>
          <w:color w:val="auto"/>
        </w:rPr>
      </w:pPr>
      <w:r>
        <w:rPr>
          <w:rFonts w:ascii="Times New Roman" w:cs="Times New Roman" w:eastAsia="Times New Roman" w:hAnsi="Times New Roman"/>
          <w:sz w:val="19"/>
          <w:szCs w:val="19"/>
          <w:color w:val="auto"/>
        </w:rPr>
        <w:t>Certain of our current product candidates, and our future potential product candidates may target patient populations that are smaller than the numbers described above. If we request orphan drug designation for our product candidates, there can be no assurances that FDA or the European Commission will grant any of our product candidates such designation. Additionally, the designation of any of our product candidates as an orphan product does not guarantee that any regulatory agency will accelerate regulatory review of, or ultimately approve, that product candidate, nor does it limit the ability of any regulatory agency to grant orphan drug designation to product candidates of other companies that treat the same indications as our product candidates prior to our product candidates receiving exclusive marketing approval.</w:t>
      </w:r>
    </w:p>
    <w:p>
      <w:pPr>
        <w:spacing w:after="0" w:line="193"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Generally, if a product candidate with an orphan drug designation receives the first marketing approval for the indication for which it has such designation, the product is entitled to a period of marketing exclusivity, which precludes the FDA or the European Commission from approving another marketing application for a product that constitutes the same drug (or a “similar medicinal product” in the EU) treating the same indication for that marketing exclusivity period, except in limited circumstances. If another sponsor receives such approval before we do (regardless of our orphan drug designation), we will be precluded from receiving marketing approval for our product for the applicable exclusivity period. The applicable period is seven years in the United States and 10 years in the European Union. The exclusivity period in the United States can be extended by six months if the sponsor submits pediatric data that fairly respond to a written request from the FDA for such data, and the exclusivity period in the EU can be extended by two years when the results of pediatric studies are completed in accordance with a fully compliant pediatric investigation plan and reflected in the summary of product characteristics (SmPC). The exclusivity period in the European Union can be reduced to six years if a product no longer meets the criteria for orphan drug designation or if the product is sufficiently profitable so that market exclusivity is no longer justified. Proposed amendments to EU legislation regarding orphan medicines are under consideration that, if implemented following the conclusion of the legislative process, have the potential to shorten the ten-year period of marketing exclusivity. Orphan drug exclusivity may be revoked if any regulatory agency determines that the request for designation was materially defective or if the manufacturer is unable to assure sufficient quantity of the product to meet the needs of patients with the rare disease or condition.</w:t>
      </w:r>
    </w:p>
    <w:p>
      <w:pPr>
        <w:spacing w:after="0" w:line="215" w:lineRule="exact"/>
        <w:rPr>
          <w:sz w:val="20"/>
          <w:szCs w:val="20"/>
          <w:color w:val="auto"/>
        </w:rPr>
      </w:pPr>
    </w:p>
    <w:p>
      <w:pPr>
        <w:jc w:val="both"/>
        <w:ind w:firstLine="720"/>
        <w:spacing w:after="0" w:line="256" w:lineRule="auto"/>
        <w:rPr>
          <w:sz w:val="20"/>
          <w:szCs w:val="20"/>
          <w:color w:val="auto"/>
        </w:rPr>
      </w:pPr>
      <w:r>
        <w:rPr>
          <w:rFonts w:ascii="Times New Roman" w:cs="Times New Roman" w:eastAsia="Times New Roman" w:hAnsi="Times New Roman"/>
          <w:sz w:val="20"/>
          <w:szCs w:val="20"/>
          <w:color w:val="auto"/>
        </w:rPr>
        <w:t>Even if we obtain orphan drug exclusivity for a product candidate, that exclusivity may not effectively protect the product candidate from competition because different drugs can be approved for the same condition. In the United States, even after an orphan drug is approved, the FDA may subsequently approve another drug for the same condition if the FDA concludes that the latter drug is not the same drug or is clinically superior in that it is shown to be safer, more effective or makes a major contribution to patient care. In the EU, a marketing authorization may be granted to a similar medicinal product for the same orphan indication if:</w:t>
      </w:r>
    </w:p>
    <w:p>
      <w:pPr>
        <w:spacing w:after="0" w:line="88" w:lineRule="exact"/>
        <w:rPr>
          <w:sz w:val="20"/>
          <w:szCs w:val="20"/>
          <w:color w:val="auto"/>
        </w:rPr>
      </w:pPr>
    </w:p>
    <w:p>
      <w:pPr>
        <w:ind w:left="1080" w:right="20" w:hanging="370"/>
        <w:spacing w:after="0" w:line="281" w:lineRule="auto"/>
        <w:tabs>
          <w:tab w:leader="none" w:pos="108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second applicant can establish in its application that its medicinal product, although similar to the orphan medicinal product already authorized, is safer, more effective or otherwise clinically superior;</w:t>
      </w:r>
    </w:p>
    <w:p>
      <w:pPr>
        <w:spacing w:after="0" w:line="61" w:lineRule="exact"/>
        <w:rPr>
          <w:rFonts w:ascii="Times New Roman" w:cs="Times New Roman" w:eastAsia="Times New Roman" w:hAnsi="Times New Roman"/>
          <w:sz w:val="20"/>
          <w:szCs w:val="20"/>
          <w:color w:val="auto"/>
        </w:rPr>
      </w:pPr>
    </w:p>
    <w:p>
      <w:pPr>
        <w:ind w:left="1080" w:right="20" w:hanging="370"/>
        <w:spacing w:after="0" w:line="281" w:lineRule="auto"/>
        <w:tabs>
          <w:tab w:leader="none" w:pos="108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holder of the marketing authorization for the original orphan medicinal product consents to a second orphan medicinal product application; or</w:t>
      </w:r>
    </w:p>
    <w:p>
      <w:pPr>
        <w:spacing w:after="0" w:line="61" w:lineRule="exact"/>
        <w:rPr>
          <w:rFonts w:ascii="Times New Roman" w:cs="Times New Roman" w:eastAsia="Times New Roman" w:hAnsi="Times New Roman"/>
          <w:sz w:val="20"/>
          <w:szCs w:val="20"/>
          <w:color w:val="auto"/>
        </w:rPr>
      </w:pPr>
    </w:p>
    <w:p>
      <w:pPr>
        <w:ind w:left="1080" w:right="20" w:hanging="370"/>
        <w:spacing w:after="0" w:line="281" w:lineRule="auto"/>
        <w:tabs>
          <w:tab w:leader="none" w:pos="108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holder of the marketing authorization for the original orphan medicinal product cannot supply sufficient quantities of orphan medicinal product.</w:t>
      </w:r>
    </w:p>
    <w:p>
      <w:pPr>
        <w:spacing w:after="0" w:line="292"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20"/>
          <w:szCs w:val="20"/>
          <w:b w:val="1"/>
          <w:bCs w:val="1"/>
          <w:i w:val="1"/>
          <w:iCs w:val="1"/>
          <w:color w:val="auto"/>
        </w:rPr>
        <w:t>We face significant competition in an environment of rapid technological change and the possibility that our competitors may achieve regulatory approval before us or develop therapies that are more advanced or effective than ours, which may adversely affect our ability to successfully market or commercialize our product candidates and our financial condition.</w:t>
      </w:r>
    </w:p>
    <w:p>
      <w:pPr>
        <w:spacing w:after="0" w:line="81" w:lineRule="exact"/>
        <w:rPr>
          <w:sz w:val="20"/>
          <w:szCs w:val="20"/>
          <w:color w:val="auto"/>
        </w:rPr>
      </w:pPr>
    </w:p>
    <w:p>
      <w:pPr>
        <w:jc w:val="both"/>
        <w:ind w:right="20" w:firstLine="720"/>
        <w:spacing w:after="0" w:line="254" w:lineRule="auto"/>
        <w:rPr>
          <w:sz w:val="20"/>
          <w:szCs w:val="20"/>
          <w:color w:val="auto"/>
        </w:rPr>
      </w:pPr>
      <w:r>
        <w:rPr>
          <w:rFonts w:ascii="Times New Roman" w:cs="Times New Roman" w:eastAsia="Times New Roman" w:hAnsi="Times New Roman"/>
          <w:sz w:val="20"/>
          <w:szCs w:val="20"/>
          <w:color w:val="auto"/>
        </w:rPr>
        <w:t>The biotechnology and pharmaceutical industries are characterized by rapidly changing technologies, significant competition and a strong emphasis on intellectual property. We face substantial competition from many different sources, including large and specialty pharmaceutical and biotechnology companies, academic research institutions, government agencies and public and private research institutions. In addition, we face competition from other companies that have adopted business models that are similar to ours in which they establish strategic alliances, create joint ventures or collaborations, or enter into licensing arrangements with third parties for programs, product candidates, technologies or intellectual property. We may not be able to compete effectively with such companies. See “—</w:t>
      </w:r>
      <w:r>
        <w:rPr>
          <w:rFonts w:ascii="Times New Roman" w:cs="Times New Roman" w:eastAsia="Times New Roman" w:hAnsi="Times New Roman"/>
          <w:sz w:val="20"/>
          <w:szCs w:val="20"/>
          <w:b w:val="1"/>
          <w:bCs w:val="1"/>
          <w:i w:val="1"/>
          <w:iCs w:val="1"/>
          <w:color w:val="auto"/>
        </w:rPr>
        <w:t>We may not be successful in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our efforts to build a pipeline of product candidates with commercial value.”</w:t>
      </w:r>
    </w:p>
    <w:p>
      <w:pPr>
        <w:spacing w:after="0" w:line="213" w:lineRule="exact"/>
        <w:rPr>
          <w:sz w:val="20"/>
          <w:szCs w:val="20"/>
          <w:color w:val="auto"/>
        </w:rPr>
      </w:pPr>
    </w:p>
    <w:p>
      <w:pPr>
        <w:jc w:val="both"/>
        <w:ind w:firstLine="720"/>
        <w:spacing w:after="0" w:line="260" w:lineRule="auto"/>
        <w:rPr>
          <w:sz w:val="20"/>
          <w:szCs w:val="20"/>
          <w:color w:val="auto"/>
        </w:rPr>
      </w:pPr>
      <w:r>
        <w:rPr>
          <w:rFonts w:ascii="Times New Roman" w:cs="Times New Roman" w:eastAsia="Times New Roman" w:hAnsi="Times New Roman"/>
          <w:sz w:val="20"/>
          <w:szCs w:val="20"/>
          <w:color w:val="auto"/>
        </w:rPr>
        <w:t>Many of our potential competitors, alone or with their strategic partners, may have substantially greater financial, technical and other resources, such as larger research and development, clinical, marketing and manufacturing organizations. Mergers and acquisitions in the biotechnology and pharmaceutical industries may result in even more resources being concentrated among a smaller number of competitors. Our commercial opportunity could be reduced or</w:t>
      </w:r>
    </w:p>
    <w:p>
      <w:pPr>
        <w:sectPr>
          <w:pgSz w:w="12240" w:h="15840" w:orient="portrait"/>
          <w:cols w:equalWidth="0" w:num="1">
            <w:col w:w="9900"/>
          </w:cols>
          <w:pgMar w:left="1180" w:top="208" w:right="1160" w:bottom="0" w:gutter="0" w:footer="0" w:header="0"/>
        </w:sectPr>
      </w:pPr>
    </w:p>
    <w:p>
      <w:pPr>
        <w:spacing w:after="0" w:line="200" w:lineRule="exact"/>
        <w:rPr>
          <w:sz w:val="20"/>
          <w:szCs w:val="20"/>
          <w:color w:val="auto"/>
        </w:rPr>
      </w:pPr>
    </w:p>
    <w:p>
      <w:pPr>
        <w:spacing w:after="0" w:line="2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58</w:t>
      </w:r>
    </w:p>
    <w:p>
      <w:pPr>
        <w:sectPr>
          <w:pgSz w:w="12240" w:h="15840" w:orient="portrait"/>
          <w:cols w:equalWidth="0" w:num="1">
            <w:col w:w="9900"/>
          </w:cols>
          <w:pgMar w:left="1180" w:top="208" w:right="1160" w:bottom="0" w:gutter="0" w:footer="0" w:header="0"/>
          <w:type w:val="continuous"/>
        </w:sectPr>
      </w:pPr>
    </w:p>
    <w:bookmarkStart w:id="58" w:name="page59"/>
    <w:bookmarkEnd w:id="58"/>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400"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eliminated if competitors develop and commercialize products that are safer, more effective, have fewer or less severe side effects, are more convenient or are less expensive than any products that we may develop. Competitors also may obtain FDA or other regulatory approval for their products more rapidly or earlier than we may obtain approval for ours, which could result in our product being prevented from being marketed for significant periods (for example, where our competitor has secured regulatory exclusivity) or our competitors establishing a strong market position before we are able to enter the market. Additionally, technologies developed by our competitors may render our potential product candidates uneconomical or obsolete, and we may not be successful in marketing our product candidates against competitors.</w:t>
      </w:r>
    </w:p>
    <w:p>
      <w:pPr>
        <w:spacing w:after="0" w:line="210" w:lineRule="exact"/>
        <w:rPr>
          <w:sz w:val="20"/>
          <w:szCs w:val="20"/>
          <w:color w:val="auto"/>
        </w:rPr>
      </w:pPr>
    </w:p>
    <w:p>
      <w:pPr>
        <w:jc w:val="both"/>
        <w:ind w:firstLine="720"/>
        <w:spacing w:after="0" w:line="260" w:lineRule="auto"/>
        <w:rPr>
          <w:sz w:val="20"/>
          <w:szCs w:val="20"/>
          <w:color w:val="auto"/>
        </w:rPr>
      </w:pPr>
      <w:r>
        <w:rPr>
          <w:rFonts w:ascii="Times New Roman" w:cs="Times New Roman" w:eastAsia="Times New Roman" w:hAnsi="Times New Roman"/>
          <w:sz w:val="20"/>
          <w:szCs w:val="20"/>
          <w:color w:val="auto"/>
        </w:rPr>
        <w:t>In addition, as a result of the expiration or successful challenge of our patent rights, we could face more litigation with respect to the validity and/or scope of patents relating to our competitors’ products. The availability of our competitors’ products could limit the demand, and the price we are able to charge, for any products that we may develop and commercialize.</w:t>
      </w:r>
    </w:p>
    <w:p>
      <w:pPr>
        <w:spacing w:after="0" w:line="314"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Our product candidates and the process for administering our product candidates may cause undesirable side effects or have other properties that could delay or prevent their regulatory approval, limit the commercial potential or result in significant negative consequences following any potential marketing approval.</w:t>
      </w:r>
    </w:p>
    <w:p>
      <w:pPr>
        <w:spacing w:after="0" w:line="76" w:lineRule="exact"/>
        <w:rPr>
          <w:sz w:val="20"/>
          <w:szCs w:val="20"/>
          <w:color w:val="auto"/>
        </w:rPr>
      </w:pPr>
    </w:p>
    <w:p>
      <w:pPr>
        <w:jc w:val="both"/>
        <w:ind w:right="20" w:firstLine="720"/>
        <w:spacing w:after="0" w:line="254" w:lineRule="auto"/>
        <w:rPr>
          <w:sz w:val="20"/>
          <w:szCs w:val="20"/>
          <w:color w:val="auto"/>
        </w:rPr>
      </w:pPr>
      <w:r>
        <w:rPr>
          <w:rFonts w:ascii="Times New Roman" w:cs="Times New Roman" w:eastAsia="Times New Roman" w:hAnsi="Times New Roman"/>
          <w:sz w:val="20"/>
          <w:szCs w:val="20"/>
          <w:color w:val="auto"/>
        </w:rPr>
        <w:t>Our product candidates may cause undesirable side effects. Additionally, the administration process or related procedures also can cause adverse side effects. Adverse events that occur in our trials may cause us, or cause regulatory authorities or others to order us to halt, delay or amend preclinical development or clinical development of our product candidates and could result in more restrictive labeling or the denial of regulatory approval of our product candidates for any or all targeted indications. Even if serious adverse events are unrelated to study treatment, such occurrences could affect patient enrollment or the ability of enrolled patients to complete the trial. In addition, if any of our product candidates are tested or used in combination with other drugs, these combinations may have additional side effects, which could be more severe than those caused by either therapy alone.</w:t>
      </w:r>
    </w:p>
    <w:p>
      <w:pPr>
        <w:spacing w:after="0" w:line="213" w:lineRule="exact"/>
        <w:rPr>
          <w:sz w:val="20"/>
          <w:szCs w:val="20"/>
          <w:color w:val="auto"/>
        </w:rPr>
      </w:pPr>
    </w:p>
    <w:p>
      <w:pPr>
        <w:jc w:val="both"/>
        <w:ind w:right="20" w:firstLine="720"/>
        <w:spacing w:after="0" w:line="256" w:lineRule="auto"/>
        <w:rPr>
          <w:sz w:val="20"/>
          <w:szCs w:val="20"/>
          <w:color w:val="auto"/>
        </w:rPr>
      </w:pPr>
      <w:r>
        <w:rPr>
          <w:rFonts w:ascii="Times New Roman" w:cs="Times New Roman" w:eastAsia="Times New Roman" w:hAnsi="Times New Roman"/>
          <w:sz w:val="20"/>
          <w:szCs w:val="20"/>
          <w:color w:val="auto"/>
        </w:rPr>
        <w:t>Additionally, certain of our product candidates could cause undesirable side effects in clinical trials related to on-target toxicity. If on-target toxicity is observed, or if our product candidates have characteristics that are unexpected, we may need to abandon their development or limit development to more narrow uses or subpopulations in which the undesirable side effects or other characteristics are less prevalent, less severe or more acceptable from a risk-benefit perspective. Many compounds that initially showed promise in early stage testing for treating cancer have later been found to cause side effects that prevented further development of the compound.</w:t>
      </w:r>
    </w:p>
    <w:p>
      <w:pPr>
        <w:spacing w:after="0" w:line="208" w:lineRule="exact"/>
        <w:rPr>
          <w:sz w:val="20"/>
          <w:szCs w:val="20"/>
          <w:color w:val="auto"/>
        </w:rPr>
      </w:pPr>
    </w:p>
    <w:p>
      <w:pPr>
        <w:jc w:val="both"/>
        <w:ind w:right="20" w:firstLine="720"/>
        <w:spacing w:after="0" w:line="254" w:lineRule="auto"/>
        <w:rPr>
          <w:sz w:val="20"/>
          <w:szCs w:val="20"/>
          <w:color w:val="auto"/>
        </w:rPr>
      </w:pPr>
      <w:r>
        <w:rPr>
          <w:rFonts w:ascii="Times New Roman" w:cs="Times New Roman" w:eastAsia="Times New Roman" w:hAnsi="Times New Roman"/>
          <w:sz w:val="20"/>
          <w:szCs w:val="20"/>
          <w:color w:val="auto"/>
        </w:rPr>
        <w:t>Furthermore, clinical trials by their nature utilize a sample of the potential patient population. With a limited number of patients and limited duration of exposure, rare and severe side effects of our product candidates or those of our competitors may only be uncovered when a significantly larger number of patients have been exposed to the drug. While we believe that our product candidates have demonstrated manageable tolerability profiles thus far in the target indications, there can be no assurance that it or any of our other product candidates will not cause more severe side effects in a greater proportion of patients. In addition, some of our product candidates are intended to address limitations in current treatment approaches by offering potentially greater tolerability. If we do not observe a favorable tolerability profile in testing of such product candidates that differentiate them from competitors in the market, we may decide to suspend or terminate development of such candidates.</w:t>
      </w:r>
    </w:p>
    <w:p>
      <w:pPr>
        <w:spacing w:after="0" w:line="209"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In addition, certain of our product candidates target diseases that are life-threatening or are associated with significant co-morbidities. For example, our LockBody technology is designed to target cancers, a condition in which patients may undergo treatment with other therapies such as chemotherapy, radiation, and/or other high dose or myeloablative treatments in the course of treatment of their disease, and may therefore experience side effects or AEs, including death, that are unrelated to our product candidates. While these side effects or AEs may be unrelated to our product candidates, they may still affect the success of our clinical trials. The inclusion of critically ill patients in our clinical trials may also result in deaths or other adverse medical events due to underlying disease or to other therapies or medications that such patients may receive.</w:t>
      </w:r>
    </w:p>
    <w:p>
      <w:pPr>
        <w:spacing w:after="0" w:line="213" w:lineRule="exact"/>
        <w:rPr>
          <w:sz w:val="20"/>
          <w:szCs w:val="20"/>
          <w:color w:val="auto"/>
        </w:rPr>
      </w:pPr>
    </w:p>
    <w:p>
      <w:pPr>
        <w:jc w:val="both"/>
        <w:ind w:right="20" w:firstLine="720"/>
        <w:spacing w:after="0" w:line="258" w:lineRule="auto"/>
        <w:rPr>
          <w:sz w:val="20"/>
          <w:szCs w:val="20"/>
          <w:color w:val="auto"/>
        </w:rPr>
      </w:pPr>
      <w:r>
        <w:rPr>
          <w:rFonts w:ascii="Times New Roman" w:cs="Times New Roman" w:eastAsia="Times New Roman" w:hAnsi="Times New Roman"/>
          <w:sz w:val="20"/>
          <w:szCs w:val="20"/>
          <w:color w:val="auto"/>
        </w:rPr>
        <w:t>Additionally, if any of our product candidates receives marketing approval, FDA could require us to adopt a REMS to ensure that the benefits outweigh its risks, which may include, among other things, a medication guide outlining the risks of the product for distribution to patients and a communication plan to health care practitioners. Furthermore, if we or others later identify undesirable side effects caused by our product candidate, several potentially significant negative consequences could result, including:</w:t>
      </w:r>
    </w:p>
    <w:p>
      <w:pPr>
        <w:spacing w:after="0" w:line="84" w:lineRule="exact"/>
        <w:rPr>
          <w:sz w:val="20"/>
          <w:szCs w:val="20"/>
          <w:color w:val="auto"/>
        </w:rPr>
      </w:pPr>
    </w:p>
    <w:p>
      <w:pPr>
        <w:ind w:left="1080" w:hanging="370"/>
        <w:spacing w:after="0"/>
        <w:tabs>
          <w:tab w:leader="none" w:pos="108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regulatory authorities may suspend or withdraw approvals of such product candidate;</w:t>
      </w:r>
    </w:p>
    <w:p>
      <w:pPr>
        <w:sectPr>
          <w:pgSz w:w="12240" w:h="15840" w:orient="portrait"/>
          <w:cols w:equalWidth="0" w:num="1">
            <w:col w:w="9900"/>
          </w:cols>
          <w:pgMar w:left="1180" w:top="208" w:right="1160" w:bottom="0" w:gutter="0" w:footer="0" w:header="0"/>
        </w:sectPr>
      </w:pPr>
    </w:p>
    <w:p>
      <w:pPr>
        <w:spacing w:after="0" w:line="200" w:lineRule="exact"/>
        <w:rPr>
          <w:sz w:val="20"/>
          <w:szCs w:val="20"/>
          <w:color w:val="auto"/>
        </w:rPr>
      </w:pPr>
    </w:p>
    <w:p>
      <w:pPr>
        <w:spacing w:after="0" w:line="2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59</w:t>
      </w:r>
    </w:p>
    <w:p>
      <w:pPr>
        <w:sectPr>
          <w:pgSz w:w="12240" w:h="15840" w:orient="portrait"/>
          <w:cols w:equalWidth="0" w:num="1">
            <w:col w:w="9900"/>
          </w:cols>
          <w:pgMar w:left="1180" w:top="208" w:right="1160" w:bottom="0" w:gutter="0" w:footer="0" w:header="0"/>
          <w:type w:val="continuous"/>
        </w:sectPr>
      </w:pPr>
    </w:p>
    <w:bookmarkStart w:id="59" w:name="page60"/>
    <w:bookmarkEnd w:id="59"/>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400" w:lineRule="exact"/>
        <w:rPr>
          <w:sz w:val="20"/>
          <w:szCs w:val="20"/>
          <w:color w:val="auto"/>
        </w:rPr>
      </w:pPr>
    </w:p>
    <w:p>
      <w:pPr>
        <w:ind w:left="1080" w:hanging="370"/>
        <w:spacing w:after="0"/>
        <w:tabs>
          <w:tab w:leader="none" w:pos="108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regulatory authorities may require additional warnings on the label;</w:t>
      </w:r>
    </w:p>
    <w:p>
      <w:pPr>
        <w:spacing w:after="0" w:line="130" w:lineRule="exact"/>
        <w:rPr>
          <w:rFonts w:ascii="Times New Roman" w:cs="Times New Roman" w:eastAsia="Times New Roman" w:hAnsi="Times New Roman"/>
          <w:sz w:val="20"/>
          <w:szCs w:val="20"/>
          <w:color w:val="auto"/>
        </w:rPr>
      </w:pPr>
    </w:p>
    <w:p>
      <w:pPr>
        <w:ind w:left="1080" w:right="20" w:hanging="370"/>
        <w:spacing w:after="0" w:line="281" w:lineRule="auto"/>
        <w:tabs>
          <w:tab w:leader="none" w:pos="108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be required to change the way a product candidate is administered or conduct additional clinical trials;</w:t>
      </w:r>
    </w:p>
    <w:p>
      <w:pPr>
        <w:spacing w:after="0" w:line="61" w:lineRule="exact"/>
        <w:rPr>
          <w:rFonts w:ascii="Times New Roman" w:cs="Times New Roman" w:eastAsia="Times New Roman" w:hAnsi="Times New Roman"/>
          <w:sz w:val="20"/>
          <w:szCs w:val="20"/>
          <w:color w:val="auto"/>
        </w:rPr>
      </w:pPr>
    </w:p>
    <w:p>
      <w:pPr>
        <w:ind w:left="1080" w:hanging="370"/>
        <w:spacing w:after="0"/>
        <w:tabs>
          <w:tab w:leader="none" w:pos="108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could be sued and held liable for harm caused to patients; and</w:t>
      </w:r>
    </w:p>
    <w:p>
      <w:pPr>
        <w:spacing w:after="0" w:line="130" w:lineRule="exact"/>
        <w:rPr>
          <w:rFonts w:ascii="Times New Roman" w:cs="Times New Roman" w:eastAsia="Times New Roman" w:hAnsi="Times New Roman"/>
          <w:sz w:val="20"/>
          <w:szCs w:val="20"/>
          <w:color w:val="auto"/>
        </w:rPr>
      </w:pPr>
    </w:p>
    <w:p>
      <w:pPr>
        <w:ind w:left="1080" w:hanging="370"/>
        <w:spacing w:after="0"/>
        <w:tabs>
          <w:tab w:leader="none" w:pos="108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reputation may suffer.</w:t>
      </w:r>
    </w:p>
    <w:p>
      <w:pPr>
        <w:spacing w:after="0" w:line="250" w:lineRule="exact"/>
        <w:rPr>
          <w:sz w:val="20"/>
          <w:szCs w:val="20"/>
          <w:color w:val="auto"/>
        </w:rPr>
      </w:pPr>
    </w:p>
    <w:p>
      <w:pPr>
        <w:jc w:val="both"/>
        <w:ind w:right="20" w:firstLine="720"/>
        <w:spacing w:after="0" w:line="281" w:lineRule="auto"/>
        <w:rPr>
          <w:sz w:val="20"/>
          <w:szCs w:val="20"/>
          <w:color w:val="auto"/>
        </w:rPr>
      </w:pPr>
      <w:r>
        <w:rPr>
          <w:rFonts w:ascii="Times New Roman" w:cs="Times New Roman" w:eastAsia="Times New Roman" w:hAnsi="Times New Roman"/>
          <w:sz w:val="20"/>
          <w:szCs w:val="20"/>
          <w:color w:val="auto"/>
        </w:rPr>
        <w:t>Any of these events could prevent us from achieving or maintaining market acceptance of our product candidates and could significantly harm our business, prospects, financial condition and results of operations.</w:t>
      </w:r>
    </w:p>
    <w:p>
      <w:pPr>
        <w:spacing w:after="0" w:line="292"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We may not be able to submit INDs or IND amendments to commence additional clinical trials on the timelines we expect, and even if we are able to, the FDA may not permit us to proceed or may subject its approval to certain conditions.</w:t>
      </w:r>
    </w:p>
    <w:p>
      <w:pPr>
        <w:spacing w:after="0" w:line="76"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Currently, certain of the product candidates in our pipeline have not yet commenced clinical trials, and are in preclinical development. We may not be able to submit INDs for our product candidates on the timelines we expect. For example, we may experience manufacturing delays or other delays with IND-enabling studies. Moreover, we cannot be sure that submission of an IND will result in the FDA allowing further clinical trials to begin, or that, once begun, issues will not arise that suspend or terminate clinical trials. Additionally, even if such regulatory authorities agree with the design and implementation of the clinical trials set forth in an IND, we cannot guarantee that such regulatory authorities will not change their requirements in the future. These considerations also apply to new clinical trials we may submit as amendments to existing INDs or to a new IND. Any failure to file INDs on the timelines we expect or to obtain regulatory approvals for our trials may prevent us from completing our clinical trials or commercializing our products on a timely basis, if at all. The FDA may also impose restrictions or conditions on the development of our product candidates which may delay or adversely impact their planned development. For example, we might need to exceed the current maximum exposure limit set by the FDA for our ongoing clinical trials of cleminorexton, and this might result in a material delay to the current planned development of cleminorexton, or add significant additional cost, or require that we make significant adjustments including protocol changes, or we might not be successful in having the maximum exposure limit amended or removed by the FDA at all, in each case, which may materially and adversely impact our ability to conduct our cleminorexton clinical trials and/or develop or commercialize cleminorexton in a timely manner or at all and consequently, our business could be substantially harmed.</w:t>
      </w:r>
    </w:p>
    <w:p>
      <w:pPr>
        <w:spacing w:after="0" w:line="326"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are currently conducting and plan to conduct future clinical trials for certain product candidates outside the United States, and the FDA and comparable foreign regulatory authorities may not accept data from such trials.</w:t>
      </w:r>
    </w:p>
    <w:p>
      <w:pPr>
        <w:spacing w:after="0" w:line="57" w:lineRule="exact"/>
        <w:rPr>
          <w:sz w:val="20"/>
          <w:szCs w:val="20"/>
          <w:color w:val="auto"/>
        </w:rPr>
      </w:pPr>
    </w:p>
    <w:p>
      <w:pPr>
        <w:jc w:val="both"/>
        <w:ind w:right="20" w:firstLine="720"/>
        <w:spacing w:after="0" w:line="252" w:lineRule="auto"/>
        <w:rPr>
          <w:sz w:val="20"/>
          <w:szCs w:val="20"/>
          <w:color w:val="auto"/>
        </w:rPr>
      </w:pPr>
      <w:r>
        <w:rPr>
          <w:rFonts w:ascii="Times New Roman" w:cs="Times New Roman" w:eastAsia="Times New Roman" w:hAnsi="Times New Roman"/>
          <w:sz w:val="20"/>
          <w:szCs w:val="20"/>
          <w:color w:val="auto"/>
        </w:rPr>
        <w:t>We are currently conducting and plan to conduct future clinical trials for certain product candidates outside the United States, including in Europe. The acceptance of study data from clinical trials conducted outside the United States or another jurisdiction by the FDA or comparable foreign regulatory authority may be subject to certain conditions or may not be accepted at all. The FDA will generally not consider the data from a foreign clinical trial not conducted under an IND unless (i) the trial was well-designed and well-conducted in accordance with GCP requirements, including requirements for the design, conduct, performance, monitoring, auditing, recording, analysis, and reporting of clinical trials in a way that provides assurance that the data and reported results are credible and accurate and that the rights, safety, and well-being of trial subjects are protected; and (ii) the FDA is able to validate the data from the trial through an on-site inspection, if necessary. In cases where data from foreign clinical trials are intended to serve as the basis for marketing approval in the United States, the FDA will generally not approve the application on the basis of foreign data alone unless (i) the data are applicable to the U.S. population and U.S. medical practice; (ii) the trials were performed by clinical investigators of recognized competence; and (iii) the data may be considered valid without the need for an on-site inspection by the FDA or, if the FDA considers such as inspection to be necessary, the FDA is able to validate the data through an on-site inspection or other appropriate means. Additionally, the FDA’s clinical trial requirements, including sufficient size of patient populations and statistical powering, must be met. Many foreign regulatory authorities have similar approval requirements. In addition, such foreign trials would be subject to the applicable local laws of the foreign jurisdictions where the trials are conducted. There can be no assurance that the FDA or any comparable foreign regulatory authority will accept data from trials conducted outside of the United States or the applicable jurisdiction. If the FDA or any comparable foreign regulatory authority does not accept such data, it would result in the need for additional trials, which could be costly and time-consuming, and which may result in product candidates that we may develop not receiving approval for commercialization in the applicable jurisdiction.</w:t>
      </w:r>
    </w:p>
    <w:p>
      <w:pPr>
        <w:sectPr>
          <w:pgSz w:w="12240" w:h="15840" w:orient="portrait"/>
          <w:cols w:equalWidth="0" w:num="1">
            <w:col w:w="9900"/>
          </w:cols>
          <w:pgMar w:left="1180" w:top="20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60</w:t>
      </w:r>
    </w:p>
    <w:p>
      <w:pPr>
        <w:sectPr>
          <w:pgSz w:w="12240" w:h="15840" w:orient="portrait"/>
          <w:cols w:equalWidth="0" w:num="1">
            <w:col w:w="9900"/>
          </w:cols>
          <w:pgMar w:left="1180" w:top="208" w:right="1160" w:bottom="0" w:gutter="0" w:footer="0" w:header="0"/>
          <w:type w:val="continuous"/>
        </w:sectPr>
      </w:pPr>
    </w:p>
    <w:bookmarkStart w:id="60" w:name="page61"/>
    <w:bookmarkEnd w:id="60"/>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91"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Even if we obtain and maintain approval for our product candidates from the FDA, we may never obtain approval for our product candidates outside of the United States, which would limit our market opportunities and adversely affect our business.</w:t>
      </w:r>
    </w:p>
    <w:p>
      <w:pPr>
        <w:spacing w:after="0" w:line="76" w:lineRule="exact"/>
        <w:rPr>
          <w:sz w:val="20"/>
          <w:szCs w:val="20"/>
          <w:color w:val="auto"/>
        </w:rPr>
      </w:pPr>
    </w:p>
    <w:p>
      <w:pPr>
        <w:jc w:val="both"/>
        <w:ind w:right="20" w:firstLine="720"/>
        <w:spacing w:after="0" w:line="252" w:lineRule="auto"/>
        <w:rPr>
          <w:sz w:val="20"/>
          <w:szCs w:val="20"/>
          <w:color w:val="auto"/>
        </w:rPr>
      </w:pPr>
      <w:r>
        <w:rPr>
          <w:rFonts w:ascii="Times New Roman" w:cs="Times New Roman" w:eastAsia="Times New Roman" w:hAnsi="Times New Roman"/>
          <w:sz w:val="20"/>
          <w:szCs w:val="20"/>
          <w:color w:val="auto"/>
        </w:rPr>
        <w:t>Approval of a product candidate in the United States by the FDA does not ensure approval of such product candidate by regulatory authorities in other countries or jurisdictions, and approval by one foreign regulatory authority does not ensure approval by regulatory authorities in other foreign countries or by the FDA. Sales of our product candidates outside of the United States will be subject to foreign regulatory requirements governing clinical trials and marketing approval. Even if the FDA grants marketing approval for a product candidate, comparable regulatory authorities of foreign countries also must approve the manufacturing and marketing of the product candidates in those countries. Approval procedures vary among jurisdictions and can involve requirements and administrative review periods different from, and more onerous than, those in the United States, including additional preclinical studies or clinical trials. In many countries outside the United States, a product candidate must be approved for reimbursement before it can be marketed in that country. In some cases, the price that we intend to charge for our products, if such products obtain regulatory approval, is also subject to approval. We intend to submit a marketing authorization application to the EMA for approval of our product candidates in the European Union, but obtaining such approval from the European Commission following the opinion of the EMA is a lengthy and expensive process. We may also submit marketing applications to regulators in other jurisdictions, such as to the MHRA in the United Kingdom. Even if a product candidate is approved, the FDA, the European Commission, the MHRA and other foreign regulatory authorities, as the case may be, may limit the indications for which the product may be marketed, require extensive warnings on the product labeling or require expensive and time-consuming additional clinical trials or reporting as conditions of approval. Regulatory authorities in countries outside of the United States and the European Union also have requirements for approval of product candidates with which we must comply prior to marketing in those countries. Obtaining foreign regulatory approvals and compliance with foreign regulatory requirements could result in significant delays, difficulties and costs for us and could delay or prevent the introduction of our product candidates in certain countries.</w:t>
      </w:r>
    </w:p>
    <w:p>
      <w:pPr>
        <w:spacing w:after="0" w:line="209" w:lineRule="exact"/>
        <w:rPr>
          <w:sz w:val="20"/>
          <w:szCs w:val="20"/>
          <w:color w:val="auto"/>
        </w:rPr>
      </w:pPr>
    </w:p>
    <w:p>
      <w:pPr>
        <w:jc w:val="both"/>
        <w:ind w:right="20" w:firstLine="720"/>
        <w:spacing w:after="0" w:line="260" w:lineRule="auto"/>
        <w:rPr>
          <w:sz w:val="20"/>
          <w:szCs w:val="20"/>
          <w:color w:val="auto"/>
        </w:rPr>
      </w:pPr>
      <w:r>
        <w:rPr>
          <w:rFonts w:ascii="Times New Roman" w:cs="Times New Roman" w:eastAsia="Times New Roman" w:hAnsi="Times New Roman"/>
          <w:sz w:val="20"/>
          <w:szCs w:val="20"/>
          <w:color w:val="auto"/>
        </w:rPr>
        <w:t>Further, clinical trials conducted in one country may not be accepted by regulatory authorities in other countries. Also, regulatory approval for any of our product candidates may be withdrawn. If we fail to comply with the regulatory requirements, our target market will be reduced and our ability to realize the full market potential of our product candidates will be harmed and our business, financial condition, results of operations and prospects will be adversely affected.</w:t>
      </w:r>
    </w:p>
    <w:p>
      <w:pPr>
        <w:spacing w:after="0" w:line="314"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We may seek Fast Track designation for any of our other current or future product candidates. This designation may not lead to a faster development or regulatory review or approval process, and does not increase the likelihood that our product candidates will receive marketing approval.</w:t>
      </w:r>
    </w:p>
    <w:p>
      <w:pPr>
        <w:spacing w:after="0" w:line="76" w:lineRule="exact"/>
        <w:rPr>
          <w:sz w:val="20"/>
          <w:szCs w:val="20"/>
          <w:color w:val="auto"/>
        </w:rPr>
      </w:pPr>
    </w:p>
    <w:p>
      <w:pPr>
        <w:jc w:val="both"/>
        <w:ind w:firstLine="720"/>
        <w:spacing w:after="0" w:line="253" w:lineRule="auto"/>
        <w:rPr>
          <w:sz w:val="20"/>
          <w:szCs w:val="20"/>
          <w:color w:val="auto"/>
        </w:rPr>
      </w:pPr>
      <w:r>
        <w:rPr>
          <w:rFonts w:ascii="Times New Roman" w:cs="Times New Roman" w:eastAsia="Times New Roman" w:hAnsi="Times New Roman"/>
          <w:sz w:val="20"/>
          <w:szCs w:val="20"/>
          <w:color w:val="auto"/>
        </w:rPr>
        <w:t>If a drug or biologic is intended for the treatment of a serious or life-threatening condition and the product demonstrates the potential to address unmet medical needs for this condition, the product sponsor may apply for FDA Fast Track designation for a particular indication. We may seek Fast Track designation for certain of our other current and future product candidates, but there is no assurance that the FDA will grant this status to any of our proposed product candidates. The FDA has broad discretion whether or not to grant Fast Track designation, so even if we believe a particular product candidate is eligible for this designation, there can be no assurance that the FDA would decide to grant it. Even if we receive Fast Track designation for any of our product candidates, we may not experience a faster development process, regulatory review or approval compared to conventional FDA procedures, and receiving a Fast Track designation does not provide assurance of ultimate FDA approval. In addition, the FDA may withdraw Fast Track designation if it believes that the designation is no longer supported by data from our clinical development program. In addition, the FDA may withdraw any Fast Track designation at any time.</w:t>
      </w:r>
    </w:p>
    <w:p>
      <w:pPr>
        <w:spacing w:after="0" w:line="32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We may seek accelerated approval for any of our current or future product candidates. Accelerated approval, even if granted, may not lead to a faster commercial launch of the product and does not increase the likelihood that our product candidates will receive marketing approval.</w:t>
      </w:r>
    </w:p>
    <w:p>
      <w:pPr>
        <w:spacing w:after="0" w:line="76" w:lineRule="exact"/>
        <w:rPr>
          <w:sz w:val="20"/>
          <w:szCs w:val="20"/>
          <w:color w:val="auto"/>
        </w:rPr>
      </w:pPr>
    </w:p>
    <w:p>
      <w:pPr>
        <w:jc w:val="both"/>
        <w:ind w:right="20" w:firstLine="720"/>
        <w:spacing w:after="0" w:line="270" w:lineRule="auto"/>
        <w:rPr>
          <w:sz w:val="20"/>
          <w:szCs w:val="20"/>
          <w:color w:val="auto"/>
        </w:rPr>
      </w:pPr>
      <w:r>
        <w:rPr>
          <w:rFonts w:ascii="Times New Roman" w:cs="Times New Roman" w:eastAsia="Times New Roman" w:hAnsi="Times New Roman"/>
          <w:sz w:val="19"/>
          <w:szCs w:val="19"/>
          <w:color w:val="auto"/>
        </w:rPr>
        <w:t>We may seek approval of our product candidates, where applicable, under the FDA’s accelerated approval program. A product may be eligible for accelerated approval if it treats a serious or life-threatening condition, generally provides a meaningful advantage over available therapies, and demonstrates an effect on a surrogate endpoint that is reasonably likely to predict clinical benefit or on a clinical endpoint that can be measured earlier than irreversible morbidity or mortality, or IMM, that is reasonably likely to predict an effect on IMM or other clinical benefit. As a condition of accelerated approval, the FDA likely would require that we perform adequate and well-controlled post-marketing clinical trials to confirm the product’s clinical benefit. These confirmatory trials must be completed with due diligence. Under the Food and Drug Omnibus Reform Act (“FDORA”), the FDA is permitted to require, as appropriate, that a post-approval</w:t>
      </w:r>
    </w:p>
    <w:p>
      <w:pPr>
        <w:sectPr>
          <w:pgSz w:w="12240" w:h="15840" w:orient="portrait"/>
          <w:cols w:equalWidth="0" w:num="1">
            <w:col w:w="9900"/>
          </w:cols>
          <w:pgMar w:left="1180" w:top="208" w:right="1160" w:bottom="0" w:gutter="0" w:footer="0" w:header="0"/>
        </w:sectPr>
      </w:pPr>
    </w:p>
    <w:p>
      <w:pPr>
        <w:spacing w:after="0" w:line="200" w:lineRule="exact"/>
        <w:rPr>
          <w:sz w:val="20"/>
          <w:szCs w:val="20"/>
          <w:color w:val="auto"/>
        </w:rPr>
      </w:pPr>
    </w:p>
    <w:p>
      <w:pPr>
        <w:spacing w:after="0" w:line="20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61</w:t>
      </w:r>
    </w:p>
    <w:p>
      <w:pPr>
        <w:sectPr>
          <w:pgSz w:w="12240" w:h="15840" w:orient="portrait"/>
          <w:cols w:equalWidth="0" w:num="1">
            <w:col w:w="9900"/>
          </w:cols>
          <w:pgMar w:left="1180" w:top="208" w:right="1160" w:bottom="0" w:gutter="0" w:footer="0" w:header="0"/>
          <w:type w:val="continuous"/>
        </w:sectPr>
      </w:pPr>
    </w:p>
    <w:bookmarkStart w:id="61" w:name="page62"/>
    <w:bookmarkEnd w:id="61"/>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40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confirmatory study or studies be underway prior to approval or within a specified time period after the date of approval for a product granted accelerated approval. FDORA also requires sponsors to send updates to the FDA every 180 days on the status of such studies, including progress toward enrollment targets, and the FDA must promptly post this information publicly. FDORA also gives the FDA increased authority to withdraw approval of a drug or biologic granted accelerated approval on an expedited basis if the sponsor fails to conduct such studies in a timely manner, send the necessary updates to the FDA, or if such post-approval studies fail to verify the drug’s predicted clinical benefit. Under FDORA, the FDA is empowered to take action, such as issuing fines, against companies that fail to conduct with due diligence any post-approval confirmatory study or submit timely reports to the agency on their progress. In addition, the FDA currently requires, unless otherwise informed by the agency, pre-approval of promotional materials for products receiving accelerated approval, which could adversely impact the timing of the commercial launch of the product. Thus, even if we seek to utilize the accelerated approval program, we may not be able to obtain accelerated approval and, even if we do, we may not experience a faster commercial launch of the product. In addition, receiving accelerated approval does not assure that the product’s accelerated approval will eventually be converted to a traditional approval.</w:t>
      </w:r>
    </w:p>
    <w:p>
      <w:pPr>
        <w:spacing w:after="0" w:line="319"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may seek designation for a current or future platform as a designated platform technology, but we might not receive such designation, and even if we do, such designation may not lead to a faster regulatory review or approval process.</w:t>
      </w:r>
    </w:p>
    <w:p>
      <w:pPr>
        <w:spacing w:after="0" w:line="57"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We may seek designation for our current or future platform as a designated platform technology. Under FDORA, a platform technology incorporated within or utilized by a drug or biological product is eligible for designation as a designated platform technology if (1) the platform technology is incorporated in, or utilized by, a drug approved under an NDA or a biologic licensed under a BLA; (2) preliminary evidence submitted by the sponsor of the approved drug or licensed biologic, or a sponsor that has been granted a right of reference to data submitted in the application for such drug or biologic, demonstrates that the platform technology has the potential to be incorporated in, or utilized by, more than one drug or biologic without an adverse effect on quality, manufacturing, or safety; and (3) data or information submitted by the applicable person indicates that incorporation or utilization of the platform technology has a reasonable likelihood to bring significant efficiencies to the drug or biologic development or manufacturing process and to the review process. A sponsor may request the FDA to designate a platform technology as a designated platform technology concurrently with, or at any time after, submission of an IND application for a drug or biologic that incorporates or utilizes the platform technology that is the subject of the request. If so designated, the FDA may expedite the development and review of any subsequent original NDA for a drug or BLA for a biologic that uses or incorporates the platform technology. Even if we believe our current or future platform technology meets the criteria for such designation, the FDA may disagree and instead determine not to grant such designation. In addition, the receipt of such designation for a platform technology does not ensure that a drug or biologic will be developed more quickly or receive FDA approval. Moreover, the FDA may revoke a designation if the FDA determines that a designated platform technology no longer meets the criteria for such designation.</w:t>
      </w:r>
    </w:p>
    <w:p>
      <w:pPr>
        <w:spacing w:after="0" w:line="326"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20"/>
          <w:szCs w:val="20"/>
          <w:b w:val="1"/>
          <w:bCs w:val="1"/>
          <w:i w:val="1"/>
          <w:iCs w:val="1"/>
          <w:color w:val="auto"/>
        </w:rPr>
        <w:t>Even if we receive regulatory approval of one or more of our product candidates, we would be subject to ongoing regulatory obligations and continued regulatory review, which may result in significant additional expense and we may be subject to penalties if we fail to comply with regulatory requirements or experience unanticipated problems with our product candidates.</w:t>
      </w:r>
    </w:p>
    <w:p>
      <w:pPr>
        <w:spacing w:after="0" w:line="81"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Any regulatory approvals that we receive for our product candidates will require surveillance to monitor the safety and efficacy of the product candidate. The FDA may also require a REMS in order to approve our product candidates, which could entail requirements for a medication guide, physician communication plans or additional elements to ensure safe use, such as restricted distribution methods, patient registries and other risk minimization tools. In addition, if the FDA or a comparable foreign regulatory authority approves our product candidates, the manufacturing processes, labeling, packaging, distribution, adverse event reporting, storage, advertising, promotion, import, export and recordkeeping for our product candidates will be subject to extensive and ongoing regulatory requirements. These requirements include submissions of safety and other post-marketing information and reports, registration, as well as continued compliance with cGMP for product manufacturing and compliance with GLP and GCP requirements for any studies that we conduct post-approval. In addition, manufacturers are required to comply with applicable product tracking and tracing requirements. Manufacturers and other parties involved in the drug supply chain for prescription drug products must also notify the FDA of counterfeit, diverted, stolen and intentionally adulterated products or products that are otherwise unfit for distribution in the United States. Later discovery of previously unknown problems with our product candidates, including adverse events of unanticipated severity or frequency, or with our third-party manufacturers or manufacturing processes, or failure to comply with regulatory requirements, may result in, among other things:</w:t>
      </w:r>
    </w:p>
    <w:p>
      <w:pPr>
        <w:spacing w:after="0" w:line="98" w:lineRule="exact"/>
        <w:rPr>
          <w:sz w:val="20"/>
          <w:szCs w:val="20"/>
          <w:color w:val="auto"/>
        </w:rPr>
      </w:pPr>
    </w:p>
    <w:p>
      <w:pPr>
        <w:ind w:left="1080" w:right="20" w:hanging="370"/>
        <w:spacing w:after="0" w:line="281" w:lineRule="auto"/>
        <w:tabs>
          <w:tab w:leader="none" w:pos="108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restrictions on the marketing or manufacturing of our product candidates, withdrawal of the product from the market or voluntary or mandatory product recalls;</w:t>
      </w:r>
    </w:p>
    <w:p>
      <w:pPr>
        <w:sectPr>
          <w:pgSz w:w="12240" w:h="15840" w:orient="portrait"/>
          <w:cols w:equalWidth="0" w:num="1">
            <w:col w:w="9900"/>
          </w:cols>
          <w:pgMar w:left="1180" w:top="20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62</w:t>
      </w:r>
    </w:p>
    <w:p>
      <w:pPr>
        <w:sectPr>
          <w:pgSz w:w="12240" w:h="15840" w:orient="portrait"/>
          <w:cols w:equalWidth="0" w:num="1">
            <w:col w:w="9900"/>
          </w:cols>
          <w:pgMar w:left="1180" w:top="208" w:right="1160" w:bottom="0" w:gutter="0" w:footer="0" w:header="0"/>
          <w:type w:val="continuous"/>
        </w:sectPr>
      </w:pPr>
    </w:p>
    <w:bookmarkStart w:id="62" w:name="page63"/>
    <w:bookmarkEnd w:id="62"/>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400" w:lineRule="exact"/>
        <w:rPr>
          <w:sz w:val="20"/>
          <w:szCs w:val="20"/>
          <w:color w:val="auto"/>
        </w:rPr>
      </w:pPr>
    </w:p>
    <w:p>
      <w:pPr>
        <w:ind w:left="1080" w:right="20" w:hanging="370"/>
        <w:spacing w:after="0" w:line="281" w:lineRule="auto"/>
        <w:tabs>
          <w:tab w:leader="none" w:pos="108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manufacturing delays and supply disruptions where regulatory inspections identify observations of noncompliance requiring remediation;</w:t>
      </w:r>
    </w:p>
    <w:p>
      <w:pPr>
        <w:spacing w:after="0" w:line="61" w:lineRule="exact"/>
        <w:rPr>
          <w:rFonts w:ascii="Times New Roman" w:cs="Times New Roman" w:eastAsia="Times New Roman" w:hAnsi="Times New Roman"/>
          <w:sz w:val="20"/>
          <w:szCs w:val="20"/>
          <w:color w:val="auto"/>
        </w:rPr>
      </w:pPr>
    </w:p>
    <w:p>
      <w:pPr>
        <w:ind w:left="1080" w:right="20" w:hanging="370"/>
        <w:spacing w:after="0" w:line="281" w:lineRule="auto"/>
        <w:tabs>
          <w:tab w:leader="none" w:pos="108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revisions to the labeling, including limitation on approved uses or the addition of additional warnings, contraindications or other safety information, including boxed warnings;</w:t>
      </w:r>
    </w:p>
    <w:p>
      <w:pPr>
        <w:spacing w:after="0" w:line="61" w:lineRule="exact"/>
        <w:rPr>
          <w:rFonts w:ascii="Times New Roman" w:cs="Times New Roman" w:eastAsia="Times New Roman" w:hAnsi="Times New Roman"/>
          <w:sz w:val="20"/>
          <w:szCs w:val="20"/>
          <w:color w:val="auto"/>
        </w:rPr>
      </w:pPr>
    </w:p>
    <w:p>
      <w:pPr>
        <w:ind w:left="1080" w:hanging="370"/>
        <w:spacing w:after="0"/>
        <w:tabs>
          <w:tab w:leader="none" w:pos="108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imposition of a REMS, which may include distribution or use restrictions;</w:t>
      </w:r>
    </w:p>
    <w:p>
      <w:pPr>
        <w:spacing w:after="0" w:line="130" w:lineRule="exact"/>
        <w:rPr>
          <w:rFonts w:ascii="Times New Roman" w:cs="Times New Roman" w:eastAsia="Times New Roman" w:hAnsi="Times New Roman"/>
          <w:sz w:val="20"/>
          <w:szCs w:val="20"/>
          <w:color w:val="auto"/>
        </w:rPr>
      </w:pPr>
    </w:p>
    <w:p>
      <w:pPr>
        <w:ind w:left="1080" w:hanging="370"/>
        <w:spacing w:after="0"/>
        <w:tabs>
          <w:tab w:leader="none" w:pos="108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requirements to conduct additional post-market clinical trials to assess the safety of the product;</w:t>
      </w:r>
    </w:p>
    <w:p>
      <w:pPr>
        <w:spacing w:after="0" w:line="130" w:lineRule="exact"/>
        <w:rPr>
          <w:rFonts w:ascii="Times New Roman" w:cs="Times New Roman" w:eastAsia="Times New Roman" w:hAnsi="Times New Roman"/>
          <w:sz w:val="20"/>
          <w:szCs w:val="20"/>
          <w:color w:val="auto"/>
        </w:rPr>
      </w:pPr>
    </w:p>
    <w:p>
      <w:pPr>
        <w:ind w:left="1080" w:hanging="370"/>
        <w:spacing w:after="0"/>
        <w:tabs>
          <w:tab w:leader="none" w:pos="108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fines, warning letters or holds on clinical trials;</w:t>
      </w:r>
    </w:p>
    <w:p>
      <w:pPr>
        <w:spacing w:after="0" w:line="130" w:lineRule="exact"/>
        <w:rPr>
          <w:rFonts w:ascii="Times New Roman" w:cs="Times New Roman" w:eastAsia="Times New Roman" w:hAnsi="Times New Roman"/>
          <w:sz w:val="20"/>
          <w:szCs w:val="20"/>
          <w:color w:val="auto"/>
        </w:rPr>
      </w:pPr>
    </w:p>
    <w:p>
      <w:pPr>
        <w:ind w:left="1080" w:right="20" w:hanging="370"/>
        <w:spacing w:after="0" w:line="281" w:lineRule="auto"/>
        <w:tabs>
          <w:tab w:leader="none" w:pos="108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refusal by the FDA to approve pending applications or supplements to approved applications filed by us or suspension or revocation of approvals;</w:t>
      </w:r>
    </w:p>
    <w:p>
      <w:pPr>
        <w:spacing w:after="0" w:line="61" w:lineRule="exact"/>
        <w:rPr>
          <w:rFonts w:ascii="Times New Roman" w:cs="Times New Roman" w:eastAsia="Times New Roman" w:hAnsi="Times New Roman"/>
          <w:sz w:val="20"/>
          <w:szCs w:val="20"/>
          <w:color w:val="auto"/>
        </w:rPr>
      </w:pPr>
    </w:p>
    <w:p>
      <w:pPr>
        <w:ind w:left="1080" w:hanging="370"/>
        <w:spacing w:after="0"/>
        <w:tabs>
          <w:tab w:leader="none" w:pos="108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product seizure or detention, or refusal to permit the import or export of our product candidates; and</w:t>
      </w:r>
    </w:p>
    <w:p>
      <w:pPr>
        <w:spacing w:after="0" w:line="130" w:lineRule="exact"/>
        <w:rPr>
          <w:rFonts w:ascii="Times New Roman" w:cs="Times New Roman" w:eastAsia="Times New Roman" w:hAnsi="Times New Roman"/>
          <w:sz w:val="20"/>
          <w:szCs w:val="20"/>
          <w:color w:val="auto"/>
        </w:rPr>
      </w:pPr>
    </w:p>
    <w:p>
      <w:pPr>
        <w:ind w:left="1080" w:hanging="370"/>
        <w:spacing w:after="0"/>
        <w:tabs>
          <w:tab w:leader="none" w:pos="108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injunctions or the imposition of civil or criminal penalties.</w:t>
      </w:r>
    </w:p>
    <w:p>
      <w:pPr>
        <w:spacing w:after="0" w:line="250" w:lineRule="exact"/>
        <w:rPr>
          <w:sz w:val="20"/>
          <w:szCs w:val="20"/>
          <w:color w:val="auto"/>
        </w:rPr>
      </w:pPr>
    </w:p>
    <w:p>
      <w:pPr>
        <w:jc w:val="both"/>
        <w:ind w:right="20" w:firstLine="720"/>
        <w:spacing w:after="0" w:line="266" w:lineRule="auto"/>
        <w:rPr>
          <w:sz w:val="20"/>
          <w:szCs w:val="20"/>
          <w:color w:val="auto"/>
        </w:rPr>
      </w:pPr>
      <w:r>
        <w:rPr>
          <w:rFonts w:ascii="Times New Roman" w:cs="Times New Roman" w:eastAsia="Times New Roman" w:hAnsi="Times New Roman"/>
          <w:sz w:val="20"/>
          <w:szCs w:val="20"/>
          <w:color w:val="auto"/>
        </w:rPr>
        <w:t>Additionally, under FDORA, sponsors of approved drugs and biologics must provide 6 months’ notice to the FDA of any changes in marketing status, such as the withdrawal of a drug, and failure to do so could result in the FDA placing the product on a list of discontinued products, which would revoke the product’s ability to be marketed.</w:t>
      </w:r>
    </w:p>
    <w:p>
      <w:pPr>
        <w:spacing w:after="0" w:line="195" w:lineRule="exact"/>
        <w:rPr>
          <w:sz w:val="20"/>
          <w:szCs w:val="20"/>
          <w:color w:val="auto"/>
        </w:rPr>
      </w:pPr>
    </w:p>
    <w:p>
      <w:pPr>
        <w:jc w:val="both"/>
        <w:ind w:firstLine="720"/>
        <w:spacing w:after="0" w:line="256" w:lineRule="auto"/>
        <w:rPr>
          <w:sz w:val="20"/>
          <w:szCs w:val="20"/>
          <w:color w:val="auto"/>
        </w:rPr>
      </w:pPr>
      <w:r>
        <w:rPr>
          <w:rFonts w:ascii="Times New Roman" w:cs="Times New Roman" w:eastAsia="Times New Roman" w:hAnsi="Times New Roman"/>
          <w:sz w:val="20"/>
          <w:szCs w:val="20"/>
          <w:color w:val="auto"/>
        </w:rPr>
        <w:t>The FDA’s and other regulatory authorities’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31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b w:val="1"/>
          <w:bCs w:val="1"/>
          <w:i w:val="1"/>
          <w:iCs w:val="1"/>
          <w:color w:val="auto"/>
        </w:rPr>
        <w:t>The market opportunities for any future oncology product candidates from our LockBody platform may be relatively small since the patients who may potentially be treated with such oncology product candidates are those who are ineligible for or have failed prior treatments, and our estimates of the prevalence of our target patient populations may be inaccurate.</w:t>
      </w:r>
    </w:p>
    <w:p>
      <w:pPr>
        <w:spacing w:after="0" w:line="81" w:lineRule="exact"/>
        <w:rPr>
          <w:sz w:val="20"/>
          <w:szCs w:val="20"/>
          <w:color w:val="auto"/>
        </w:rPr>
      </w:pPr>
    </w:p>
    <w:p>
      <w:pPr>
        <w:jc w:val="both"/>
        <w:ind w:firstLine="720"/>
        <w:spacing w:after="0" w:line="253" w:lineRule="auto"/>
        <w:rPr>
          <w:sz w:val="20"/>
          <w:szCs w:val="20"/>
          <w:color w:val="auto"/>
        </w:rPr>
      </w:pPr>
      <w:r>
        <w:rPr>
          <w:rFonts w:ascii="Times New Roman" w:cs="Times New Roman" w:eastAsia="Times New Roman" w:hAnsi="Times New Roman"/>
          <w:sz w:val="20"/>
          <w:szCs w:val="20"/>
          <w:color w:val="auto"/>
        </w:rPr>
        <w:t>Cancer therapies are sometimes characterized by line of therapy (e.g., first line, second line, third line, fourth line), and the FDA often approves new therapies initially only for a particular line or lines of use. When cancer is detected early enough, first line therapy is sometimes adequate to cure the cancer or prolong life without a cure. Whenever first line therapy, usually chemotherapy, antibody drugs, tumor-targeted small molecules, hormone therapy, radiation therapy, surgery, or a combination of these, proves unsuccessful, second line therapy may be administered. Second line therapies often consist of more chemotherapy, radiation, antibody drugs, tumor-targeted small molecules, or a combination of these. Third line therapies can include chemotherapy, antibody drugs and small molecule tumor-targeted therapies, more invasive forms of surgery, and new technologies. There is no guarantee that any future oncology product candidates, even if approved as a second or third or subsequent line of therapy, would be approved for an earlier line of therapy, and, prior to any such approvals, we may have to conduct additional clinical trials.</w:t>
      </w:r>
    </w:p>
    <w:p>
      <w:pPr>
        <w:spacing w:after="0" w:line="216" w:lineRule="exact"/>
        <w:rPr>
          <w:sz w:val="20"/>
          <w:szCs w:val="20"/>
          <w:color w:val="auto"/>
        </w:rPr>
      </w:pPr>
    </w:p>
    <w:p>
      <w:pPr>
        <w:jc w:val="both"/>
        <w:ind w:right="20" w:firstLine="720"/>
        <w:spacing w:after="0" w:line="253" w:lineRule="auto"/>
        <w:rPr>
          <w:sz w:val="20"/>
          <w:szCs w:val="20"/>
          <w:color w:val="auto"/>
        </w:rPr>
      </w:pPr>
      <w:r>
        <w:rPr>
          <w:rFonts w:ascii="Times New Roman" w:cs="Times New Roman" w:eastAsia="Times New Roman" w:hAnsi="Times New Roman"/>
          <w:sz w:val="20"/>
          <w:szCs w:val="20"/>
          <w:color w:val="auto"/>
        </w:rPr>
        <w:t>Any projections we make regarding the number of people who have the cancers we aim to target with any future LockBody product candidates, who may have their tumors genetically sequenced, as well as the subset of such people who are eligible for a particular line of therapy and who may potentially benefit from treatment with our future oncology product candidates, are based on our beliefs and estimates. These estimates have been derived from a variety of sources, including scientific literature, surveys of clinics, patient foundations or market research, and may prove to be incorrect. Further, new therapies may change the estimated incidence or prevalence of the cancers that we are targeting. Consequently, even if any future oncology product candidates are approved for a second or third line of therapy, the number of patients that may be eligible for treatment with our product candidates may turn out to be much lower than expected. In addition, we have not yet conducted market research to determine how treating physicians would expect to prescribe a product that is approved for multiple tumor types if there are different lines of approved therapies for each such tumor type.</w:t>
      </w:r>
    </w:p>
    <w:p>
      <w:pPr>
        <w:sectPr>
          <w:pgSz w:w="12240" w:h="15840" w:orient="portrait"/>
          <w:cols w:equalWidth="0" w:num="1">
            <w:col w:w="9900"/>
          </w:cols>
          <w:pgMar w:left="1180" w:top="20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63</w:t>
      </w:r>
    </w:p>
    <w:p>
      <w:pPr>
        <w:sectPr>
          <w:pgSz w:w="12240" w:h="15840" w:orient="portrait"/>
          <w:cols w:equalWidth="0" w:num="1">
            <w:col w:w="9900"/>
          </w:cols>
          <w:pgMar w:left="1180" w:top="208" w:right="1160" w:bottom="0" w:gutter="0" w:footer="0" w:header="0"/>
          <w:type w:val="continuous"/>
        </w:sectPr>
      </w:pPr>
    </w:p>
    <w:bookmarkStart w:id="63" w:name="page64"/>
    <w:bookmarkEnd w:id="63"/>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91"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If we decide in the future to develop our product candidates in combination with other therapies, such strategy may expose us to additional risks.</w:t>
      </w:r>
    </w:p>
    <w:p>
      <w:pPr>
        <w:spacing w:after="0" w:line="57" w:lineRule="exact"/>
        <w:rPr>
          <w:sz w:val="20"/>
          <w:szCs w:val="20"/>
          <w:color w:val="auto"/>
        </w:rPr>
      </w:pPr>
    </w:p>
    <w:p>
      <w:pPr>
        <w:jc w:val="both"/>
        <w:ind w:right="20" w:firstLine="720"/>
        <w:spacing w:after="0" w:line="254" w:lineRule="auto"/>
        <w:rPr>
          <w:sz w:val="20"/>
          <w:szCs w:val="20"/>
          <w:color w:val="auto"/>
        </w:rPr>
      </w:pPr>
      <w:r>
        <w:rPr>
          <w:rFonts w:ascii="Times New Roman" w:cs="Times New Roman" w:eastAsia="Times New Roman" w:hAnsi="Times New Roman"/>
          <w:sz w:val="20"/>
          <w:szCs w:val="20"/>
          <w:color w:val="auto"/>
        </w:rPr>
        <w:t>We may in the future develop one or more of our product candidates in combination with one or more approved or unapproved therapies. Even if any product candidate we develop were to receive marketing approval for use in combination with other approved therapies, the FDA, the EMA, the MHRA or comparable foreign regulatory authorities outside of the United States could still revoke approval of the therapy used in combination with our product. If the therapies used in combination with our product candidates are replaced as the standard of care for the indications we choose for any of our product candidates, the FDA, the EMA, the MHRA or comparable foreign regulatory authorities may require us to conduct additional clinical trials. The occurrence of any of these risks could result in our own products, if approved, being removed from the market or being less successful commercially.</w:t>
      </w:r>
    </w:p>
    <w:p>
      <w:pPr>
        <w:spacing w:after="0" w:line="213" w:lineRule="exact"/>
        <w:rPr>
          <w:sz w:val="20"/>
          <w:szCs w:val="20"/>
          <w:color w:val="auto"/>
        </w:rPr>
      </w:pPr>
    </w:p>
    <w:p>
      <w:pPr>
        <w:jc w:val="both"/>
        <w:ind w:right="20" w:firstLine="720"/>
        <w:spacing w:after="0" w:line="258" w:lineRule="auto"/>
        <w:rPr>
          <w:sz w:val="20"/>
          <w:szCs w:val="20"/>
          <w:color w:val="auto"/>
        </w:rPr>
      </w:pPr>
      <w:r>
        <w:rPr>
          <w:rFonts w:ascii="Times New Roman" w:cs="Times New Roman" w:eastAsia="Times New Roman" w:hAnsi="Times New Roman"/>
          <w:sz w:val="20"/>
          <w:szCs w:val="20"/>
          <w:color w:val="auto"/>
        </w:rPr>
        <w:t>Further, we will not be able to market and sell any product candidate we develop in combination with an unapproved cancer therapy for a combination indication if that unapproved therapy does not ultimately obtain marketing approval either alone or in combination with our product. In addition, unapproved cancer therapies face the same risks described with respect to our product candidates currently in development and clinical trials, including the potential for serious adverse effects, delay in their clinical trials and lack of FDA approval.</w:t>
      </w:r>
    </w:p>
    <w:p>
      <w:pPr>
        <w:spacing w:after="0" w:line="204" w:lineRule="exact"/>
        <w:rPr>
          <w:sz w:val="20"/>
          <w:szCs w:val="20"/>
          <w:color w:val="auto"/>
        </w:rPr>
      </w:pPr>
    </w:p>
    <w:p>
      <w:pPr>
        <w:jc w:val="both"/>
        <w:ind w:right="20" w:firstLine="720"/>
        <w:spacing w:after="0" w:line="260" w:lineRule="auto"/>
        <w:rPr>
          <w:sz w:val="20"/>
          <w:szCs w:val="20"/>
          <w:color w:val="auto"/>
        </w:rPr>
      </w:pPr>
      <w:r>
        <w:rPr>
          <w:rFonts w:ascii="Times New Roman" w:cs="Times New Roman" w:eastAsia="Times New Roman" w:hAnsi="Times New Roman"/>
          <w:sz w:val="20"/>
          <w:szCs w:val="20"/>
          <w:color w:val="auto"/>
        </w:rPr>
        <w:t>If the FDA, the EMA, the MHRA or comparable foreign regulatory authorities do not approve these other products or revoke their approval of, or if safety, efficacy, quality, manufacturing or supply issues arise with, the products we choose to evaluate in combination with the product candidate we develop, we may be unable to obtain approval of or market such combination therapy.</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Reliance on Third Parties</w:t>
      </w:r>
    </w:p>
    <w:p>
      <w:pPr>
        <w:spacing w:after="0" w:line="128"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rely, and expect to continue to rely, on third parties to conduct our preclinical studies and clinical trials and if these third parties perform in an unsatisfactory manner, our business could be substantially harmed.</w:t>
      </w:r>
    </w:p>
    <w:p>
      <w:pPr>
        <w:spacing w:after="0" w:line="57" w:lineRule="exact"/>
        <w:rPr>
          <w:sz w:val="20"/>
          <w:szCs w:val="20"/>
          <w:color w:val="auto"/>
        </w:rPr>
      </w:pPr>
    </w:p>
    <w:p>
      <w:pPr>
        <w:jc w:val="both"/>
        <w:ind w:right="20" w:firstLine="720"/>
        <w:spacing w:after="0" w:line="260" w:lineRule="auto"/>
        <w:rPr>
          <w:sz w:val="20"/>
          <w:szCs w:val="20"/>
          <w:color w:val="auto"/>
        </w:rPr>
      </w:pPr>
      <w:r>
        <w:rPr>
          <w:rFonts w:ascii="Times New Roman" w:cs="Times New Roman" w:eastAsia="Times New Roman" w:hAnsi="Times New Roman"/>
          <w:sz w:val="20"/>
          <w:szCs w:val="20"/>
          <w:color w:val="auto"/>
        </w:rPr>
        <w:t>We currently conduct and expect to continue to rely on third parties such as contract development and manufacturing organizations, or CMOs, and contract research organizations, or CROs, to manufacture our products and conduct our clinical trials. We do not currently have the ability to independently conduct large-scale clinical trials, such as a Phase 3 clinical trial, without assistance of third parties.</w:t>
      </w:r>
    </w:p>
    <w:p>
      <w:pPr>
        <w:spacing w:after="0" w:line="203"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We have relied upon and plan to continue to rely upon medical institutions, clinical investigators, contract laboratories and other third parties, such as CROs, to conduct or assist us in conducting GCP-compliant clinical trials on our product candidates properly and on time, and may not currently have all of the necessary contractual relationships in place to do so. Once we have established contractual relationships with such third-party CROs, we will have only limited control over their actual performance of these activities.</w:t>
      </w:r>
    </w:p>
    <w:p>
      <w:pPr>
        <w:spacing w:after="0" w:line="204"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We and our CMOs, CROs and other vendors are required to comply with cGMP, GCP and GLP which are regulations and guidelines enforced by the FDA, the Competent Authorities of the Member States of the European Union and any comparable foreign regulatory authorities for all of our product candidates in preclinical and clinical development. Regulatory authorities enforce these regulations through periodic inspections of trial sponsors, principal investigators, clinical trial sites and other contractors. Although we rely on CROs to conduct any current or planned GLP-compliant preclinical studies and GCP-compliant clinical trials and have limited influence over their actual performance, we remain responsible for ensuring that each of our preclinical studies and clinical trials is conducted in accordance with its investigational plan and protocol and applicable laws and regulations, and our reliance on the CROs does not relieve us of our regulatory responsibilities. If we or any of our CROs or vendors fail to comply with applicable regulations, the data generated in our preclinical studies and clinical trials may be deemed unreliable and the FDA, EMA, MHRA or any comparable foreign regulatory agency may require us to perform additional preclinical studies and clinical trials before approving our marketing applications. We cannot assure you that upon inspection by a given regulatory agency, such regulatory agency will determine that all of our clinical trials comply with GCP regulations. In addition, our clinical trials must be conducted with products produced under cGMP requirements. Our failure to comply with these requirements may require us to repeat clinical trials, which would delay the regulatory approval process.</w:t>
      </w:r>
    </w:p>
    <w:p>
      <w:pPr>
        <w:spacing w:after="0" w:line="218" w:lineRule="exact"/>
        <w:rPr>
          <w:sz w:val="20"/>
          <w:szCs w:val="20"/>
          <w:color w:val="auto"/>
        </w:rPr>
      </w:pPr>
    </w:p>
    <w:p>
      <w:pPr>
        <w:jc w:val="both"/>
        <w:ind w:right="20" w:firstLine="720"/>
        <w:spacing w:after="0" w:line="260" w:lineRule="auto"/>
        <w:rPr>
          <w:sz w:val="20"/>
          <w:szCs w:val="20"/>
          <w:color w:val="auto"/>
        </w:rPr>
      </w:pPr>
      <w:r>
        <w:rPr>
          <w:rFonts w:ascii="Times New Roman" w:cs="Times New Roman" w:eastAsia="Times New Roman" w:hAnsi="Times New Roman"/>
          <w:sz w:val="20"/>
          <w:szCs w:val="20"/>
          <w:color w:val="auto"/>
        </w:rPr>
        <w:t>While we will have agreements governing their activities, our CROs will not be our employees, and we will not be able to control whether or not they devote sufficient time and resources to our future preclinical and clinical programs. These CROs may also have relationships with other commercial entities, including our competitors, for whom they may also be conducting clinical trials, or other drug development activities which could harm our business. We face the risk of</w:t>
      </w:r>
    </w:p>
    <w:p>
      <w:pPr>
        <w:sectPr>
          <w:pgSz w:w="12240" w:h="15840" w:orient="portrait"/>
          <w:cols w:equalWidth="0" w:num="1">
            <w:col w:w="9900"/>
          </w:cols>
          <w:pgMar w:left="1180" w:top="208" w:right="1160" w:bottom="0" w:gutter="0" w:footer="0" w:header="0"/>
        </w:sectPr>
      </w:pPr>
    </w:p>
    <w:p>
      <w:pPr>
        <w:spacing w:after="0" w:line="200" w:lineRule="exact"/>
        <w:rPr>
          <w:sz w:val="20"/>
          <w:szCs w:val="20"/>
          <w:color w:val="auto"/>
        </w:rPr>
      </w:pPr>
    </w:p>
    <w:p>
      <w:pPr>
        <w:spacing w:after="0" w:line="3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64</w:t>
      </w:r>
    </w:p>
    <w:p>
      <w:pPr>
        <w:sectPr>
          <w:pgSz w:w="12240" w:h="15840" w:orient="portrait"/>
          <w:cols w:equalWidth="0" w:num="1">
            <w:col w:w="9900"/>
          </w:cols>
          <w:pgMar w:left="1180" w:top="208" w:right="1160" w:bottom="0" w:gutter="0" w:footer="0" w:header="0"/>
          <w:type w:val="continuous"/>
        </w:sectPr>
      </w:pPr>
    </w:p>
    <w:bookmarkStart w:id="64" w:name="page65"/>
    <w:bookmarkEnd w:id="64"/>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40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potential unauthorized disclosure or misappropriation of our intellectual property by CROs, which may reduce our trade secret protection and allow our potential competitors to access and exploit our proprietary technology. CROs also may use our proprietary information and intellectual property in such a way as to result in litigation or other intellectual property-related proceedings that could jeopardize or invalidate our proprietary information and intellectual property. If our CROs do not successfully carry out their contractual duties or obligations, fail to meet expected deadlines, or if the quality or accuracy of the clinical data they obtain is compromised due to the failure to adhere to our clinical protocols or regulatory requirements or for any other reason, our clinical trials may be extended, delayed or terminated, the clinical data generated in our clinical trials may be deemed unreliable, and we may not be able to obtain regulatory approval for, or successfully commercialize any product candidate that we develop. If our CROs become subject to regulatory investigations or sanctions or are otherwise prevented or restricted from performing their business, this may result in a material delay to our development and/or commercial activities, add significant additional cost, require that we move our non-clinical and/or clinical development activities to alternative vendors, in each case, which may materially and adversely impact our ability to conduct our clinical trials and/or develop or commercialize our products in a timely manner or at all. As a result, our financial results and the commercial prospects for any product candidate that we develop would be harmed, our costs could increase, and our ability to generate revenue could be delayed.</w:t>
      </w:r>
    </w:p>
    <w:p>
      <w:pPr>
        <w:spacing w:after="0" w:line="218" w:lineRule="exact"/>
        <w:rPr>
          <w:sz w:val="20"/>
          <w:szCs w:val="20"/>
          <w:color w:val="auto"/>
        </w:rPr>
      </w:pPr>
    </w:p>
    <w:p>
      <w:pPr>
        <w:jc w:val="both"/>
        <w:ind w:right="20" w:firstLine="720"/>
        <w:spacing w:after="0" w:line="255" w:lineRule="auto"/>
        <w:rPr>
          <w:sz w:val="20"/>
          <w:szCs w:val="20"/>
          <w:color w:val="auto"/>
        </w:rPr>
      </w:pPr>
      <w:r>
        <w:rPr>
          <w:rFonts w:ascii="Times New Roman" w:cs="Times New Roman" w:eastAsia="Times New Roman" w:hAnsi="Times New Roman"/>
          <w:sz w:val="20"/>
          <w:szCs w:val="20"/>
          <w:color w:val="auto"/>
        </w:rPr>
        <w:t>If our relationships with these CROs terminate, we may not be able to enter into arrangements with alternative CROs or do so on commercially reasonable terms. Switching or adding additional CROs involves substantial cost and requires management time and focus, and could delay development and commercialization of our product candidates. In addition, there is a natural transition period when a new CRO commences work. As a result, delays occur, which can negatively impact our ability to meet our desired clinical development timelines. Though we intend to carefully manage our relationships with our CROs, there can be no assurance that we will not encounter challenges or delays in the future or that these delays or challenges will not have a negative impact on our business and financial condition.</w:t>
      </w:r>
    </w:p>
    <w:p>
      <w:pPr>
        <w:spacing w:after="0" w:line="320"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could experience manufacturing problems that result in delays or other material disruptions in our development or commercialization of our programs or otherwise harm our business.</w:t>
      </w:r>
    </w:p>
    <w:p>
      <w:pPr>
        <w:spacing w:after="0" w:line="57" w:lineRule="exact"/>
        <w:rPr>
          <w:sz w:val="20"/>
          <w:szCs w:val="20"/>
          <w:color w:val="auto"/>
        </w:rPr>
      </w:pPr>
    </w:p>
    <w:p>
      <w:pPr>
        <w:jc w:val="both"/>
        <w:ind w:firstLine="720"/>
        <w:spacing w:after="0" w:line="253" w:lineRule="auto"/>
        <w:rPr>
          <w:sz w:val="20"/>
          <w:szCs w:val="20"/>
          <w:color w:val="auto"/>
        </w:rPr>
      </w:pPr>
      <w:r>
        <w:rPr>
          <w:rFonts w:ascii="Times New Roman" w:cs="Times New Roman" w:eastAsia="Times New Roman" w:hAnsi="Times New Roman"/>
          <w:sz w:val="20"/>
          <w:szCs w:val="20"/>
          <w:color w:val="auto"/>
        </w:rPr>
        <w:t>The manufacturing processes our CMOs use to produce our and our affiliates’ product candidates are complex. Several factors could cause production interruptions, including inability to develop novel manufacturing processes, equipment malfunctions, facility contamination, raw material shortages or contamination, natural disasters, disruption in utility services, human error or disruptions in the operations of our suppliers, including acquisition of the supplier by a third party or declaration of bankruptcy. The expertise required to manufacture these product candidates may be unique to a particular CMO, and as a result, it would be difficult and time consuming to find an alternative CMO. If our CMOs become subject to regulatory investigations or sanctions or are otherwise prevented or restricted from performing their business, this may result in material delay or other disruption to our development and / or commercial activities, add significant additional cost, require that we move our non-clinical and/or clinical development and/or manufacturing activities to alternative vendors, in each case, which may materially and adversely impact our ability to develop and manufacture our product candidates, conduct our clinical trials and/or commercialize our products in a timely manner, or at all, or result in unacceptable additional costs.</w:t>
      </w:r>
    </w:p>
    <w:p>
      <w:pPr>
        <w:spacing w:after="0" w:line="211" w:lineRule="exact"/>
        <w:rPr>
          <w:sz w:val="20"/>
          <w:szCs w:val="20"/>
          <w:color w:val="auto"/>
        </w:rPr>
      </w:pPr>
    </w:p>
    <w:p>
      <w:pPr>
        <w:jc w:val="both"/>
        <w:ind w:right="20" w:firstLine="720"/>
        <w:spacing w:after="0" w:line="254" w:lineRule="auto"/>
        <w:rPr>
          <w:sz w:val="20"/>
          <w:szCs w:val="20"/>
          <w:color w:val="auto"/>
        </w:rPr>
      </w:pPr>
      <w:r>
        <w:rPr>
          <w:rFonts w:ascii="Times New Roman" w:cs="Times New Roman" w:eastAsia="Times New Roman" w:hAnsi="Times New Roman"/>
          <w:sz w:val="20"/>
          <w:szCs w:val="20"/>
          <w:color w:val="auto"/>
        </w:rPr>
        <w:t>Some of our product candidates may include biologics, some of which may have physical and chemical properties that cannot be fully characterized. As a result, assays of the finished product may not be sufficient to ensure that the product is consistent from lot-to-lot or will perform in the intended manner. Accordingly, our CMOs must employ multiple steps to control the manufacturing process to assure that the process is reproducible and the product candidate is made strictly and consistently in compliance with the process. Problems with the manufacturing process, even minor deviations from the normal process, could result in product defects or manufacturing failures that result in lot failures, product recalls, product liability claims or insufficient inventory to conduct clinical trials or supply commercial markets. We may encounter problems achieving adequate quantities and quality of clinical-grade materials that meet the FDA, the EMA, the MHRA or other applicable standards or specifications with consistent and acceptable production yields and costs.</w:t>
      </w:r>
    </w:p>
    <w:p>
      <w:pPr>
        <w:spacing w:after="0" w:line="209" w:lineRule="exact"/>
        <w:rPr>
          <w:sz w:val="20"/>
          <w:szCs w:val="20"/>
          <w:color w:val="auto"/>
        </w:rPr>
      </w:pPr>
    </w:p>
    <w:p>
      <w:pPr>
        <w:jc w:val="both"/>
        <w:ind w:right="20" w:firstLine="720"/>
        <w:spacing w:after="0" w:line="255" w:lineRule="auto"/>
        <w:rPr>
          <w:sz w:val="20"/>
          <w:szCs w:val="20"/>
          <w:color w:val="auto"/>
        </w:rPr>
      </w:pPr>
      <w:r>
        <w:rPr>
          <w:rFonts w:ascii="Times New Roman" w:cs="Times New Roman" w:eastAsia="Times New Roman" w:hAnsi="Times New Roman"/>
          <w:sz w:val="20"/>
          <w:szCs w:val="20"/>
          <w:color w:val="auto"/>
        </w:rPr>
        <w:t>In addition, the FDA, the EMA, the MHRA and other foreign regulatory authorities may require us to submit samples of any lot of any approved product together with the protocols showing the results of applicable tests at any time. Under some circumstances, the FDA, the EMA, the MHRA or other foreign regulatory authorities may require that we not distribute a lot until the relevant authority authorizes its release. Slight deviations in the manufacturing process, including those affecting quality attributes and stability, may result in unacceptable changes in the product that could result in lot failures or product recalls. Lot failures or product recalls could cause us to delay product launches or clinical trials, which could be costly to us and otherwise harm our business, financial condition, results of operations and prospects.</w:t>
      </w:r>
    </w:p>
    <w:p>
      <w:pPr>
        <w:sectPr>
          <w:pgSz w:w="12240" w:h="15840" w:orient="portrait"/>
          <w:cols w:equalWidth="0" w:num="1">
            <w:col w:w="9900"/>
          </w:cols>
          <w:pgMar w:left="1180" w:top="20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65</w:t>
      </w:r>
    </w:p>
    <w:p>
      <w:pPr>
        <w:sectPr>
          <w:pgSz w:w="12240" w:h="15840" w:orient="portrait"/>
          <w:cols w:equalWidth="0" w:num="1">
            <w:col w:w="9900"/>
          </w:cols>
          <w:pgMar w:left="1180" w:top="208" w:right="1160" w:bottom="0" w:gutter="0" w:footer="0" w:header="0"/>
          <w:type w:val="continuous"/>
        </w:sectPr>
      </w:pPr>
    </w:p>
    <w:bookmarkStart w:id="65" w:name="page66"/>
    <w:bookmarkEnd w:id="65"/>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400" w:lineRule="exact"/>
        <w:rPr>
          <w:sz w:val="20"/>
          <w:szCs w:val="20"/>
          <w:color w:val="auto"/>
        </w:rPr>
      </w:pPr>
    </w:p>
    <w:p>
      <w:pPr>
        <w:jc w:val="both"/>
        <w:ind w:right="20" w:firstLine="720"/>
        <w:spacing w:after="0" w:line="266" w:lineRule="auto"/>
        <w:rPr>
          <w:sz w:val="20"/>
          <w:szCs w:val="20"/>
          <w:color w:val="auto"/>
        </w:rPr>
      </w:pPr>
      <w:r>
        <w:rPr>
          <w:rFonts w:ascii="Times New Roman" w:cs="Times New Roman" w:eastAsia="Times New Roman" w:hAnsi="Times New Roman"/>
          <w:sz w:val="20"/>
          <w:szCs w:val="20"/>
          <w:color w:val="auto"/>
        </w:rPr>
        <w:t>Our CMOs also may encounter problems hiring and retaining the experienced scientific, quality assurance, quality-control and manufacturing personnel needed to operate our manufacturing processes, which could result in delays in production or difficulties in maintaining compliance with applicable regulatory requirements.</w:t>
      </w:r>
    </w:p>
    <w:p>
      <w:pPr>
        <w:spacing w:after="0" w:line="195"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Any problems in our CMOs’ supply chain, manufacturing process or facilities could result in delays in planned clinical trials and increased costs, and could make us a less attractive collaborator for potential partners, including larger biotechnology companies and academic research institutions, which could limit access to additional attractive development programs. Problems in our manufacturing process could restrict our ability to meet potential future market demand for products.</w:t>
      </w:r>
    </w:p>
    <w:p>
      <w:pPr>
        <w:spacing w:after="0" w:line="315"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20"/>
          <w:szCs w:val="20"/>
          <w:b w:val="1"/>
          <w:bCs w:val="1"/>
          <w:i w:val="1"/>
          <w:iCs w:val="1"/>
          <w:color w:val="auto"/>
        </w:rPr>
        <w:t>We currently rely and expect to rely in the future on the use of third parties to manufacture our product candidates. Our business could be harmed if the third-party manufacturers experience supply chain shortages, fail to provide us with sufficient quantities of our product candidates or fail to do so at acceptable quality levels or prices or deliver defective products.</w:t>
      </w:r>
    </w:p>
    <w:p>
      <w:pPr>
        <w:spacing w:after="0" w:line="81" w:lineRule="exact"/>
        <w:rPr>
          <w:sz w:val="20"/>
          <w:szCs w:val="20"/>
          <w:color w:val="auto"/>
        </w:rPr>
      </w:pPr>
    </w:p>
    <w:p>
      <w:pPr>
        <w:jc w:val="both"/>
        <w:ind w:right="20" w:firstLine="720"/>
        <w:spacing w:after="0" w:line="258" w:lineRule="auto"/>
        <w:rPr>
          <w:sz w:val="20"/>
          <w:szCs w:val="20"/>
          <w:color w:val="auto"/>
        </w:rPr>
      </w:pPr>
      <w:r>
        <w:rPr>
          <w:rFonts w:ascii="Times New Roman" w:cs="Times New Roman" w:eastAsia="Times New Roman" w:hAnsi="Times New Roman"/>
          <w:sz w:val="20"/>
          <w:szCs w:val="20"/>
          <w:color w:val="auto"/>
        </w:rPr>
        <w:t>We do not currently own any facility that may be used as our clinical-scale manufacturing and processing facility and must currently rely on outside vendors to manufacture our product candidates. We will need to negotiate and maintain contractual arrangements with these outside vendors for the supply of our product candidates and we may not be able to do so on favorable terms. We have not yet caused our product candidates to be manufactured on a commercial scale and may not be able to do so for any of our product candidates.</w:t>
      </w:r>
    </w:p>
    <w:p>
      <w:pPr>
        <w:spacing w:after="0" w:line="204" w:lineRule="exact"/>
        <w:rPr>
          <w:sz w:val="20"/>
          <w:szCs w:val="20"/>
          <w:color w:val="auto"/>
        </w:rPr>
      </w:pPr>
    </w:p>
    <w:p>
      <w:pPr>
        <w:jc w:val="both"/>
        <w:ind w:right="20" w:firstLine="720"/>
        <w:spacing w:after="0" w:line="281" w:lineRule="auto"/>
        <w:rPr>
          <w:sz w:val="20"/>
          <w:szCs w:val="20"/>
          <w:color w:val="auto"/>
        </w:rPr>
      </w:pPr>
      <w:r>
        <w:rPr>
          <w:rFonts w:ascii="Times New Roman" w:cs="Times New Roman" w:eastAsia="Times New Roman" w:hAnsi="Times New Roman"/>
          <w:sz w:val="20"/>
          <w:szCs w:val="20"/>
          <w:color w:val="auto"/>
        </w:rPr>
        <w:t>Our reliance on a limited number of third-party manufacturers exposes us to a number of risks, including the following:</w:t>
      </w:r>
    </w:p>
    <w:p>
      <w:pPr>
        <w:spacing w:after="0" w:line="1" w:lineRule="exact"/>
        <w:rPr>
          <w:sz w:val="20"/>
          <w:szCs w:val="20"/>
          <w:color w:val="auto"/>
        </w:rPr>
      </w:pPr>
    </w:p>
    <w:p>
      <w:pPr>
        <w:jc w:val="both"/>
        <w:ind w:left="1080" w:hanging="370"/>
        <w:spacing w:after="0" w:line="266" w:lineRule="auto"/>
        <w:tabs>
          <w:tab w:leader="none" w:pos="108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contract manufacturer may fail to perform its obligations, and we may be forced to enter into an agreement with a different CMO, which we may not be able to do on reasonable terms, if at all, and our clinical supply could be delayed significantly as we establish alternative supply sources;</w:t>
      </w:r>
    </w:p>
    <w:p>
      <w:pPr>
        <w:spacing w:after="0" w:line="15" w:lineRule="exact"/>
        <w:rPr>
          <w:rFonts w:ascii="Times New Roman" w:cs="Times New Roman" w:eastAsia="Times New Roman" w:hAnsi="Times New Roman"/>
          <w:sz w:val="20"/>
          <w:szCs w:val="20"/>
          <w:color w:val="auto"/>
        </w:rPr>
      </w:pPr>
    </w:p>
    <w:p>
      <w:pPr>
        <w:jc w:val="both"/>
        <w:ind w:left="1080" w:right="20" w:hanging="370"/>
        <w:spacing w:after="0" w:line="257" w:lineRule="auto"/>
        <w:tabs>
          <w:tab w:leader="none" w:pos="108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be unable to identify manufacturers on acceptable terms or at all because the number of potential manufacturers is limited and the FDA must inspect any manufacturers for current cGMP compliance as part of our marketing application;</w:t>
      </w:r>
    </w:p>
    <w:p>
      <w:pPr>
        <w:spacing w:after="0" w:line="1" w:lineRule="exact"/>
        <w:rPr>
          <w:rFonts w:ascii="Times New Roman" w:cs="Times New Roman" w:eastAsia="Times New Roman" w:hAnsi="Times New Roman"/>
          <w:sz w:val="20"/>
          <w:szCs w:val="20"/>
          <w:color w:val="auto"/>
        </w:rPr>
      </w:pPr>
    </w:p>
    <w:p>
      <w:pPr>
        <w:jc w:val="both"/>
        <w:ind w:left="1080" w:hanging="370"/>
        <w:spacing w:after="0" w:line="250" w:lineRule="auto"/>
        <w:tabs>
          <w:tab w:leader="none" w:pos="108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new manufacturer would have to be educated in, or develop substantially equivalent processes for, the production of our product candidates and in some cases, the technical skills required to manufacture our product candidates may be unique or proprietary to the original CMO and we may have difficulty, or there may be contractual restrictions prohibiting us from, transferring such skills, knowledge or know-how to a back-up or alternate supplier, or we may be unable to transfer such skills, knowledge or know-how at all or, an original CMO may refuse to cooperate with us to enable a timely and successful transition to a new or alternate CMO;</w:t>
      </w:r>
    </w:p>
    <w:p>
      <w:pPr>
        <w:spacing w:after="0" w:line="3" w:lineRule="exact"/>
        <w:rPr>
          <w:rFonts w:ascii="Times New Roman" w:cs="Times New Roman" w:eastAsia="Times New Roman" w:hAnsi="Times New Roman"/>
          <w:sz w:val="20"/>
          <w:szCs w:val="20"/>
          <w:color w:val="auto"/>
        </w:rPr>
      </w:pPr>
    </w:p>
    <w:p>
      <w:pPr>
        <w:jc w:val="both"/>
        <w:ind w:left="1080" w:right="100" w:hanging="370"/>
        <w:spacing w:after="0" w:line="250" w:lineRule="auto"/>
        <w:tabs>
          <w:tab w:leader="none" w:pos="108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change in manufacturer will require us to verify that the new CMO maintains facilities and procedures that comply with quality standards and with all applicable regulations and such verification may result in material delays to our programs;</w:t>
      </w:r>
    </w:p>
    <w:p>
      <w:pPr>
        <w:spacing w:after="0" w:line="1" w:lineRule="exact"/>
        <w:rPr>
          <w:rFonts w:ascii="Times New Roman" w:cs="Times New Roman" w:eastAsia="Times New Roman" w:hAnsi="Times New Roman"/>
          <w:sz w:val="20"/>
          <w:szCs w:val="20"/>
          <w:color w:val="auto"/>
        </w:rPr>
      </w:pPr>
    </w:p>
    <w:p>
      <w:pPr>
        <w:ind w:left="1080" w:right="140" w:hanging="370"/>
        <w:spacing w:after="0" w:line="253" w:lineRule="auto"/>
        <w:tabs>
          <w:tab w:leader="none" w:pos="108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change in manufacturers or certain changes in manufacturing processes/procedures will require that we conduct a manufacturing comparability study to verify that any new manufacturer or manufacturing process/ procedures will produce our product candidate according to the specifications previously submitted to the FDA or other regulatory authority, and such study may be unsuccessful and could require the conduct of additional clinical trials;</w:t>
      </w:r>
    </w:p>
    <w:p>
      <w:pPr>
        <w:spacing w:after="0" w:line="27" w:lineRule="exact"/>
        <w:rPr>
          <w:rFonts w:ascii="Times New Roman" w:cs="Times New Roman" w:eastAsia="Times New Roman" w:hAnsi="Times New Roman"/>
          <w:sz w:val="20"/>
          <w:szCs w:val="20"/>
          <w:color w:val="auto"/>
        </w:rPr>
      </w:pPr>
    </w:p>
    <w:p>
      <w:pPr>
        <w:ind w:left="1080" w:right="20" w:hanging="370"/>
        <w:spacing w:after="0" w:line="281" w:lineRule="auto"/>
        <w:tabs>
          <w:tab w:leader="none" w:pos="108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third-party manufacturers may be unable to timely manufacture our product candidates or produce the quantity and quality required to meet our clinical and commercial needs, if any;</w:t>
      </w:r>
    </w:p>
    <w:p>
      <w:pPr>
        <w:spacing w:after="0" w:line="1" w:lineRule="exact"/>
        <w:rPr>
          <w:rFonts w:ascii="Times New Roman" w:cs="Times New Roman" w:eastAsia="Times New Roman" w:hAnsi="Times New Roman"/>
          <w:sz w:val="20"/>
          <w:szCs w:val="20"/>
          <w:color w:val="auto"/>
        </w:rPr>
      </w:pPr>
    </w:p>
    <w:p>
      <w:pPr>
        <w:ind w:left="1080" w:right="20" w:hanging="370"/>
        <w:spacing w:after="0" w:line="281" w:lineRule="auto"/>
        <w:tabs>
          <w:tab w:leader="none" w:pos="108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contract manufacturers may not be able to execute our manufacturing procedures and other logistical support requirements appropriately;</w:t>
      </w:r>
    </w:p>
    <w:p>
      <w:pPr>
        <w:spacing w:after="0" w:line="1" w:lineRule="exact"/>
        <w:rPr>
          <w:rFonts w:ascii="Times New Roman" w:cs="Times New Roman" w:eastAsia="Times New Roman" w:hAnsi="Times New Roman"/>
          <w:sz w:val="20"/>
          <w:szCs w:val="20"/>
          <w:color w:val="auto"/>
        </w:rPr>
      </w:pPr>
    </w:p>
    <w:p>
      <w:pPr>
        <w:jc w:val="both"/>
        <w:ind w:left="1080" w:right="20" w:hanging="370"/>
        <w:spacing w:after="0" w:line="266" w:lineRule="auto"/>
        <w:tabs>
          <w:tab w:leader="none" w:pos="108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future contract manufacturers may not perform as agreed, may not devote sufficient resources to our product candidates or may not remain in the contract manufacturing business for the time required to supply our clinical trials or to successfully produce, store, and distribute our products, if any;</w:t>
      </w:r>
    </w:p>
    <w:p>
      <w:pPr>
        <w:spacing w:after="0" w:line="15" w:lineRule="exact"/>
        <w:rPr>
          <w:rFonts w:ascii="Times New Roman" w:cs="Times New Roman" w:eastAsia="Times New Roman" w:hAnsi="Times New Roman"/>
          <w:sz w:val="20"/>
          <w:szCs w:val="20"/>
          <w:color w:val="auto"/>
        </w:rPr>
      </w:pPr>
    </w:p>
    <w:p>
      <w:pPr>
        <w:jc w:val="both"/>
        <w:ind w:left="1080" w:right="20" w:hanging="370"/>
        <w:spacing w:after="0" w:line="260" w:lineRule="auto"/>
        <w:tabs>
          <w:tab w:leader="none" w:pos="108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manufacturers are subject to ongoing periodic unannounced inspection by the FDA and corresponding state agencies to ensure strict compliance with cGMP and other government regulations and corresponding foreign standards and we have no control over third-party manufacturers’ compliance with these regulations and standards;</w:t>
      </w:r>
    </w:p>
    <w:p>
      <w:pPr>
        <w:sectPr>
          <w:pgSz w:w="12240" w:h="15840" w:orient="portrait"/>
          <w:cols w:equalWidth="0" w:num="1">
            <w:col w:w="9900"/>
          </w:cols>
          <w:pgMar w:left="1180" w:top="20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66</w:t>
      </w:r>
    </w:p>
    <w:p>
      <w:pPr>
        <w:sectPr>
          <w:pgSz w:w="12240" w:h="15840" w:orient="portrait"/>
          <w:cols w:equalWidth="0" w:num="1">
            <w:col w:w="9900"/>
          </w:cols>
          <w:pgMar w:left="1180" w:top="208" w:right="1160" w:bottom="0" w:gutter="0" w:footer="0" w:header="0"/>
          <w:type w:val="continuous"/>
        </w:sectPr>
      </w:pPr>
    </w:p>
    <w:bookmarkStart w:id="66" w:name="page67"/>
    <w:bookmarkEnd w:id="66"/>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400" w:lineRule="exact"/>
        <w:rPr>
          <w:sz w:val="20"/>
          <w:szCs w:val="20"/>
          <w:color w:val="auto"/>
        </w:rPr>
      </w:pPr>
    </w:p>
    <w:p>
      <w:pPr>
        <w:jc w:val="both"/>
        <w:ind w:left="1080" w:right="20" w:hanging="370"/>
        <w:spacing w:after="0" w:line="266" w:lineRule="auto"/>
        <w:tabs>
          <w:tab w:leader="none" w:pos="108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not own, or may have to share, or obtain a license to, the intellectual property rights to any improvements made by our third-party manufacturers in the manufacturing process for our product candidates;</w:t>
      </w:r>
    </w:p>
    <w:p>
      <w:pPr>
        <w:spacing w:after="0" w:line="15" w:lineRule="exact"/>
        <w:rPr>
          <w:rFonts w:ascii="Times New Roman" w:cs="Times New Roman" w:eastAsia="Times New Roman" w:hAnsi="Times New Roman"/>
          <w:sz w:val="20"/>
          <w:szCs w:val="20"/>
          <w:color w:val="auto"/>
        </w:rPr>
      </w:pPr>
    </w:p>
    <w:p>
      <w:pPr>
        <w:ind w:left="1080" w:hanging="370"/>
        <w:spacing w:after="0"/>
        <w:tabs>
          <w:tab w:leader="none" w:pos="108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third-party manufacturers could breach or terminate their agreements with us;</w:t>
      </w:r>
    </w:p>
    <w:p>
      <w:pPr>
        <w:spacing w:after="0" w:line="70" w:lineRule="exact"/>
        <w:rPr>
          <w:rFonts w:ascii="Times New Roman" w:cs="Times New Roman" w:eastAsia="Times New Roman" w:hAnsi="Times New Roman"/>
          <w:sz w:val="20"/>
          <w:szCs w:val="20"/>
          <w:color w:val="auto"/>
        </w:rPr>
      </w:pPr>
    </w:p>
    <w:p>
      <w:pPr>
        <w:jc w:val="both"/>
        <w:ind w:left="1080" w:right="20" w:hanging="370"/>
        <w:spacing w:after="0" w:line="266" w:lineRule="auto"/>
        <w:tabs>
          <w:tab w:leader="none" w:pos="108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raw materials and components used in the manufacturing process, particularly those for which we have no other source or supplier, may not be available or may not be suitable or acceptable for use due to material or component defects;</w:t>
      </w:r>
    </w:p>
    <w:p>
      <w:pPr>
        <w:spacing w:after="0" w:line="15" w:lineRule="exact"/>
        <w:rPr>
          <w:rFonts w:ascii="Times New Roman" w:cs="Times New Roman" w:eastAsia="Times New Roman" w:hAnsi="Times New Roman"/>
          <w:sz w:val="20"/>
          <w:szCs w:val="20"/>
          <w:color w:val="auto"/>
        </w:rPr>
      </w:pPr>
    </w:p>
    <w:p>
      <w:pPr>
        <w:ind w:left="1080" w:right="20" w:hanging="370"/>
        <w:spacing w:after="0" w:line="281" w:lineRule="auto"/>
        <w:tabs>
          <w:tab w:leader="none" w:pos="108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contract manufacturers and critical reagent suppliers may be subject to inclement weather, as well as natural or man-made disasters; and</w:t>
      </w:r>
    </w:p>
    <w:p>
      <w:pPr>
        <w:spacing w:after="0" w:line="1" w:lineRule="exact"/>
        <w:rPr>
          <w:rFonts w:ascii="Times New Roman" w:cs="Times New Roman" w:eastAsia="Times New Roman" w:hAnsi="Times New Roman"/>
          <w:sz w:val="20"/>
          <w:szCs w:val="20"/>
          <w:color w:val="auto"/>
        </w:rPr>
      </w:pPr>
    </w:p>
    <w:p>
      <w:pPr>
        <w:jc w:val="both"/>
        <w:ind w:left="1080" w:right="20" w:hanging="370"/>
        <w:spacing w:after="0" w:line="266" w:lineRule="auto"/>
        <w:tabs>
          <w:tab w:leader="none" w:pos="108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contract manufacturers may have unacceptable or inconsistent product quality success rates and yields, and we have no direct control over our contract manufacturers’ ability to maintain adequate quality control, quality assurance and qualified personnel.</w:t>
      </w:r>
    </w:p>
    <w:p>
      <w:pPr>
        <w:spacing w:after="0" w:line="75" w:lineRule="exact"/>
        <w:rPr>
          <w:sz w:val="20"/>
          <w:szCs w:val="20"/>
          <w:color w:val="auto"/>
        </w:rPr>
      </w:pPr>
    </w:p>
    <w:p>
      <w:pPr>
        <w:jc w:val="both"/>
        <w:ind w:right="20" w:firstLine="720"/>
        <w:spacing w:after="0" w:line="254" w:lineRule="auto"/>
        <w:rPr>
          <w:sz w:val="20"/>
          <w:szCs w:val="20"/>
          <w:color w:val="auto"/>
        </w:rPr>
      </w:pPr>
      <w:r>
        <w:rPr>
          <w:rFonts w:ascii="Times New Roman" w:cs="Times New Roman" w:eastAsia="Times New Roman" w:hAnsi="Times New Roman"/>
          <w:sz w:val="20"/>
          <w:szCs w:val="20"/>
          <w:color w:val="auto"/>
        </w:rPr>
        <w:t>Each of these risks could delay or prevent the completion of our clinical trials or the approval of any of our product candidates by the FDA or any other regulatory authority, result in higher costs (including resulting from batch failures) or adversely impact commercialization of our product candidates. In addition, we will rely on third parties to perform certain specification tests on our product candidates prior to delivery to patients. If these tests are not appropriately done and test data are not reliable, patients could be put at risk of serious harm and the FDA could place significant restrictions on our company until deficiencies are remedied. Moreover, because each of our programs have separate manufacturing processes, we will not benefit from any synergies related to manufacturing costs. We may also face logistical problems in managing different CMOs and processes for all of our Centessa Subsidiaries.</w:t>
      </w:r>
    </w:p>
    <w:p>
      <w:pPr>
        <w:spacing w:after="0" w:line="324"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Certain third parties upon whom we rely for the supply of the active pharmaceutical ingredient used in our product candidates are our sole source of supply, and the loss of any of these suppliers could significantly harm our business.</w:t>
      </w:r>
    </w:p>
    <w:p>
      <w:pPr>
        <w:spacing w:after="0" w:line="57" w:lineRule="exact"/>
        <w:rPr>
          <w:sz w:val="20"/>
          <w:szCs w:val="20"/>
          <w:color w:val="auto"/>
        </w:rPr>
      </w:pPr>
    </w:p>
    <w:p>
      <w:pPr>
        <w:jc w:val="both"/>
        <w:ind w:firstLine="720"/>
        <w:spacing w:after="0" w:line="251" w:lineRule="auto"/>
        <w:rPr>
          <w:sz w:val="20"/>
          <w:szCs w:val="20"/>
          <w:color w:val="auto"/>
        </w:rPr>
      </w:pPr>
      <w:r>
        <w:rPr>
          <w:rFonts w:ascii="Times New Roman" w:cs="Times New Roman" w:eastAsia="Times New Roman" w:hAnsi="Times New Roman"/>
          <w:sz w:val="20"/>
          <w:szCs w:val="20"/>
          <w:color w:val="auto"/>
        </w:rPr>
        <w:t>Certain of the third parties upon whom we rely for the supply of the active pharmaceutical ingredient used in our product candidates are our sole source of supply, and the loss of any of these suppliers could significantly harm our business. The active pharmaceutical ingredients (“API”) used in certain of our product candidates are supplied to us from single-source suppliers. Our ability to successfully develop our product candidates, and to ultimately supply our commercial products in quantities sufficient to meet the market demand, depends in part on our ability to obtain the API for these products in accordance with regulatory requirements and in sufficient quantities for clinical testing and commercialization. We do not currently have arrangements in place for a redundant or second-source supply of any such API in the event any of our current suppliers of such API cease their operations, or fail or refuse to supply us for any reason. We are also unable to predict how changing global economic conditions or potential global health concerns will affect our third-party suppliers and manufacturers. Any negative impact of such matters on our third-party suppliers and manufacturers may also have an adverse impact on our results of operations or financial condition. For all of our product candidates, we intend to identify and qualify additional manufacturers to provide such API prior to submission of an NDA or BLA (as applicable) to the FDA and/or EMA, MHRA or other applicable regulatory bodies. We are not certain, however, that our single-source suppliers will be able to meet our demand for their products, either because of the nature of our agreements with those suppliers, our limited experience with those suppliers or our relative importance as a customer to those suppliers. It may be difficult for us to assess their ability to timely meet our demand in the future based on past performance. While our suppliers have generally met our demand for their products on a timely basis in the past, they may subordinate our needs in the future to their other customers or otherwise fail or refuse to supply us for any reason. Establishing additional or replacement suppliers for the API used in our product candidates, if required, may not be accomplished quickly and it may take a significant amount of expense to implement and execute the necessary technology transfer to, and to qualify, a new supplier. If we are able to find a replacement supplier, such replacement supplier would need to be qualified and may require additional regulatory inspection or approval, which could result in further delay. While we seek to maintain adequate inventory of the API used in our product candidates, any interruption or delay in the supply of components or materials, or our inability to obtain such API from alternate sources at acceptable prices in a timely manner could impede, delay, limit or prevent our development efforts, which could harm our business, results of operations, financial condition and prospects.</w:t>
      </w:r>
    </w:p>
    <w:p>
      <w:pPr>
        <w:spacing w:after="0" w:line="227" w:lineRule="exact"/>
        <w:rPr>
          <w:sz w:val="20"/>
          <w:szCs w:val="20"/>
          <w:color w:val="auto"/>
        </w:rPr>
      </w:pPr>
    </w:p>
    <w:p>
      <w:pPr>
        <w:jc w:val="both"/>
        <w:ind w:right="20" w:firstLine="720"/>
        <w:spacing w:after="0" w:line="272" w:lineRule="auto"/>
        <w:rPr>
          <w:sz w:val="20"/>
          <w:szCs w:val="20"/>
          <w:color w:val="auto"/>
        </w:rPr>
      </w:pPr>
      <w:r>
        <w:rPr>
          <w:rFonts w:ascii="Times New Roman" w:cs="Times New Roman" w:eastAsia="Times New Roman" w:hAnsi="Times New Roman"/>
          <w:sz w:val="19"/>
          <w:szCs w:val="19"/>
          <w:color w:val="auto"/>
        </w:rPr>
        <w:t>In the U.S., legislative proposals are pending that, if enacted, could negatively impact U.S. funding for certain biotechnology providers that have relationships with certain foreign governments or which pose a threat to national security. If these proposals become law, the potential downstream adverse impacts on entities having commercial relationships with any impacted biotechnology provider is unknown but may include supply chain disruptions or delays. If these proposals become law and any of our vendors become subject to any such laws, this may result in material delays or other disruptions to our development and/or commercial activities, add significant additional cost, require that we move our</w:t>
      </w:r>
    </w:p>
    <w:p>
      <w:pPr>
        <w:sectPr>
          <w:pgSz w:w="12240" w:h="15840" w:orient="portrait"/>
          <w:cols w:equalWidth="0" w:num="1">
            <w:col w:w="9900"/>
          </w:cols>
          <w:pgMar w:left="1180" w:top="208" w:right="1160" w:bottom="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67</w:t>
      </w:r>
    </w:p>
    <w:p>
      <w:pPr>
        <w:sectPr>
          <w:pgSz w:w="12240" w:h="15840" w:orient="portrait"/>
          <w:cols w:equalWidth="0" w:num="1">
            <w:col w:w="9900"/>
          </w:cols>
          <w:pgMar w:left="1180" w:top="208" w:right="1160" w:bottom="0" w:gutter="0" w:footer="0" w:header="0"/>
          <w:type w:val="continuous"/>
        </w:sectPr>
      </w:pPr>
    </w:p>
    <w:bookmarkStart w:id="67" w:name="page68"/>
    <w:bookmarkEnd w:id="67"/>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40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non-clinical and/or clinical development and/or manufacturing activities to alternative vendors, in each case, which may materially and adversely impact our ability to develop and manufacture our product candidates, conduct our clinical trials and/or commercialize our products in a timely manner, or at all, or result in unacceptable additional costs.</w:t>
      </w:r>
    </w:p>
    <w:p>
      <w:pPr>
        <w:spacing w:after="0" w:line="186"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If our third-party manufacturers use hazardous and biological materials in a manner that causes injury or violates applicable law, we may be liable for damages.</w:t>
      </w:r>
    </w:p>
    <w:p>
      <w:pPr>
        <w:spacing w:after="0" w:line="57" w:lineRule="exact"/>
        <w:rPr>
          <w:sz w:val="20"/>
          <w:szCs w:val="20"/>
          <w:color w:val="auto"/>
        </w:rPr>
      </w:pPr>
    </w:p>
    <w:p>
      <w:pPr>
        <w:jc w:val="both"/>
        <w:ind w:right="20" w:firstLine="720"/>
        <w:spacing w:after="0" w:line="253" w:lineRule="auto"/>
        <w:rPr>
          <w:sz w:val="20"/>
          <w:szCs w:val="20"/>
          <w:color w:val="auto"/>
        </w:rPr>
      </w:pPr>
      <w:r>
        <w:rPr>
          <w:rFonts w:ascii="Times New Roman" w:cs="Times New Roman" w:eastAsia="Times New Roman" w:hAnsi="Times New Roman"/>
          <w:sz w:val="20"/>
          <w:szCs w:val="20"/>
          <w:color w:val="auto"/>
        </w:rPr>
        <w:t>Our research and development activities involve the controlled use of potentially hazardous substances, including chemical and biological materials, by our third-party manufacturers. Our manufacturers are subject to federal, state and local laws and regulations in the United States governing the use, manufacture, storage, handling and disposal of medical and hazardous materials. Although we believe that our manufacturers’ procedures for using, handling, storing and disposing of these materials comply with legally prescribed standards, we cannot completely eliminate the risk of contamination or injury resulting from medical or hazardous materials. As a result of any such contamination or injury, we may incur liability or local, city, state or federal authorities may curtail the use of these materials and interrupt our business operations. In the event of an accident, we could be held liable for damages or penalized with fines, and the liability could exceed our resources. We do not have any insurance for liabilities arising from medical or hazardous materials. Compliance with applicable environmental laws and regulations is expensive, and current or future environmental regulations may impair our research, development and production efforts, which could harm our business, prospects, financial condition or results of operations.</w:t>
      </w:r>
    </w:p>
    <w:p>
      <w:pPr>
        <w:spacing w:after="0" w:line="322"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If we are unable to obtain licenses from third parties on commercially reasonable terms or fail to comply with our obligations under such agreements, our business could be harmed.</w:t>
      </w:r>
    </w:p>
    <w:p>
      <w:pPr>
        <w:spacing w:after="0" w:line="57"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It may be necessary for us to use the patented or proprietary technology of third parties to commercialize our products, in which case we would be required to obtain a license from these third parties. If we are unable to license such technology, or if we are forced to license such technology, on unfavorable terms, our business could be materially harmed. If we are unable to obtain a necessary license, we may be unable to develop or commercialize the affected product candidates, which could materially harm our business, and the third parties owning such intellectual property rights could seek either an injunction prohibiting our sales, or, with respect to our sales, an obligation on our part to pay royalties and/or other forms of compensation. Even if we are able to obtain a license, it may be non-exclusive, thereby giving our competitors access to the same technologies licensed to us.</w:t>
      </w:r>
    </w:p>
    <w:p>
      <w:pPr>
        <w:spacing w:after="0" w:line="213" w:lineRule="exact"/>
        <w:rPr>
          <w:sz w:val="20"/>
          <w:szCs w:val="20"/>
          <w:color w:val="auto"/>
        </w:rPr>
      </w:pPr>
    </w:p>
    <w:p>
      <w:pPr>
        <w:jc w:val="both"/>
        <w:ind w:right="20" w:firstLine="720"/>
        <w:spacing w:after="0" w:line="270" w:lineRule="auto"/>
        <w:rPr>
          <w:sz w:val="20"/>
          <w:szCs w:val="20"/>
          <w:color w:val="auto"/>
        </w:rPr>
      </w:pPr>
      <w:r>
        <w:rPr>
          <w:rFonts w:ascii="Times New Roman" w:cs="Times New Roman" w:eastAsia="Times New Roman" w:hAnsi="Times New Roman"/>
          <w:sz w:val="19"/>
          <w:szCs w:val="19"/>
          <w:color w:val="auto"/>
        </w:rPr>
        <w:t>If we fail to comply with our obligations under our license agreements, our counterparties may have the right to terminate these agreements, in which event we might not be able to develop, manufacture or market, or may be forced to cease developing, manufacturing or marketing, any product that is covered by these agreements or may face other penalties under such agreements. Such an occurrence could materially adversely affect the value of the product candidate being developed under any such agreement. Termination of these agreements or reduction or elimination of our rights under these agreements may result in our having to negotiate new or reinstated agreements with less favorable terms, cause us to lose our rights under these agreements, including our rights to important intellectual property or technology, or impede, delay or prohibit the further development or commercialization of one or more product candidates that rely on such agreements.</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Intellectual Property</w:t>
      </w:r>
    </w:p>
    <w:p>
      <w:pPr>
        <w:spacing w:after="0" w:line="128"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If we are unable to obtain and maintain sufficient patent and other intellectual property protection for our product candidates and technology or other product candidates that may be identified, or if the scope of the intellectual property protection obtained is not sufficiently broad, our competitors could develop and commercialize product candidates similar or identical to the product candidates, and our ability to successfully commercialize the product candidates and other product candidates that we may pursue may be impaired.</w:t>
      </w:r>
    </w:p>
    <w:p>
      <w:pPr>
        <w:spacing w:after="0" w:line="88"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As is the case with other pharmaceutical and biopharmaceutical companies, our success depends in significant part on our ability and the ability of our licensors and collaborators to obtain, maintain, enforce and defend patents and other intellectual property rights with respect to our product candidates and technology and to operate our business without infringing, misappropriating, or otherwise violating the intellectual property rights of others. We have and expect to continue to maintain and expand our own patent estate.</w:t>
      </w:r>
    </w:p>
    <w:p>
      <w:pPr>
        <w:spacing w:after="0" w:line="204" w:lineRule="exact"/>
        <w:rPr>
          <w:sz w:val="20"/>
          <w:szCs w:val="20"/>
          <w:color w:val="auto"/>
        </w:rPr>
      </w:pPr>
    </w:p>
    <w:p>
      <w:pPr>
        <w:jc w:val="both"/>
        <w:ind w:firstLine="720"/>
        <w:spacing w:after="0" w:line="260" w:lineRule="auto"/>
        <w:rPr>
          <w:sz w:val="20"/>
          <w:szCs w:val="20"/>
          <w:color w:val="auto"/>
        </w:rPr>
      </w:pPr>
      <w:r>
        <w:rPr>
          <w:rFonts w:ascii="Times New Roman" w:cs="Times New Roman" w:eastAsia="Times New Roman" w:hAnsi="Times New Roman"/>
          <w:sz w:val="20"/>
          <w:szCs w:val="20"/>
          <w:color w:val="auto"/>
        </w:rPr>
        <w:t>We have also licensed patent and other intellectual property rights to and from our partners. Some of these licenses give us the right to prepare, file and prosecute patent applications and maintain and enforce patents we have licensed, whereas other licenses may not give us such rights. In some circumstances, we may not have the right to control the preparation, filing and prosecution of patent applications or to maintain the patents covering technology that we license</w:t>
      </w:r>
    </w:p>
    <w:p>
      <w:pPr>
        <w:sectPr>
          <w:pgSz w:w="12240" w:h="15840" w:orient="portrait"/>
          <w:cols w:equalWidth="0" w:num="1">
            <w:col w:w="9900"/>
          </w:cols>
          <w:pgMar w:left="1180" w:top="208" w:right="1160" w:bottom="0" w:gutter="0" w:footer="0" w:header="0"/>
        </w:sectPr>
      </w:pPr>
    </w:p>
    <w:p>
      <w:pPr>
        <w:spacing w:after="0" w:line="200" w:lineRule="exact"/>
        <w:rPr>
          <w:sz w:val="20"/>
          <w:szCs w:val="20"/>
          <w:color w:val="auto"/>
        </w:rPr>
      </w:pPr>
    </w:p>
    <w:p>
      <w:pPr>
        <w:spacing w:after="0" w:line="3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68</w:t>
      </w:r>
    </w:p>
    <w:p>
      <w:pPr>
        <w:sectPr>
          <w:pgSz w:w="12240" w:h="15840" w:orient="portrait"/>
          <w:cols w:equalWidth="0" w:num="1">
            <w:col w:w="9900"/>
          </w:cols>
          <w:pgMar w:left="1180" w:top="208" w:right="1160" w:bottom="0" w:gutter="0" w:footer="0" w:header="0"/>
          <w:type w:val="continuous"/>
        </w:sectPr>
      </w:pPr>
    </w:p>
    <w:bookmarkStart w:id="68" w:name="page69"/>
    <w:bookmarkEnd w:id="68"/>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400"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to or from our partners, and we may have to rely on our partners to fulfill these responsibilities. Consequently, these patents and applications may not be prosecuted and enforced in a manner consistent with the best interests of our business. If our current or future licensors, licensees or collaborators fail to establish, maintain or protect such patents and other intellectual property rights, such rights may be reduced or eliminated. If our licensors, licensees or collaborators are not fully cooperative or disagree with us as to the prosecution, maintenance or enforcement of any patent rights, such patent rights could be compromised.</w:t>
      </w:r>
    </w:p>
    <w:p>
      <w:pPr>
        <w:spacing w:after="0" w:line="208" w:lineRule="exact"/>
        <w:rPr>
          <w:sz w:val="20"/>
          <w:szCs w:val="20"/>
          <w:color w:val="auto"/>
        </w:rPr>
      </w:pPr>
    </w:p>
    <w:p>
      <w:pPr>
        <w:jc w:val="both"/>
        <w:ind w:right="20" w:firstLine="720"/>
        <w:spacing w:after="0" w:line="252" w:lineRule="auto"/>
        <w:rPr>
          <w:sz w:val="20"/>
          <w:szCs w:val="20"/>
          <w:color w:val="auto"/>
        </w:rPr>
      </w:pPr>
      <w:r>
        <w:rPr>
          <w:rFonts w:ascii="Times New Roman" w:cs="Times New Roman" w:eastAsia="Times New Roman" w:hAnsi="Times New Roman"/>
          <w:sz w:val="20"/>
          <w:szCs w:val="20"/>
          <w:color w:val="auto"/>
        </w:rPr>
        <w:t>The patent prosecution process is expensive and time-consuming. We and our current or future licensors, licensees or collaborators may not be able to prepare, file and prosecute all necessary or desirable patent applications at a reasonable cost or in a timely manner. It is also possible that we or our licensors will fail to file patent applications covering inventions made in the course of development and commercialization activities before a competitor or another third-party files a patent application covering, or publishes information disclosing, a similar, independently-developed invention. Such competitor’s patent application may pose obstacles to our ability to obtain or limit the scope of patent protection we may obtain. Although we enter into non-disclosure and confidentiality agreements with parties who have access to confidential or patentable aspects of our research and development output, such as our employees, collaborators, CROs, contract manufacturers, consultants, advisors and other third parties, any of these parties may breach the agreements and disclose such output before a patent application is filed, thereby jeopardizing our ability to seek patent protection. In addition,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or our licensors were the first to make the inventions claimed in our owned or licensed patents or pending patent applications, or were the first to file for patent protection of such inventions, or if such licensed patents rights may otherwise become invalid.</w:t>
      </w:r>
    </w:p>
    <w:p>
      <w:pPr>
        <w:spacing w:after="0" w:line="218" w:lineRule="exact"/>
        <w:rPr>
          <w:sz w:val="20"/>
          <w:szCs w:val="20"/>
          <w:color w:val="auto"/>
        </w:rPr>
      </w:pPr>
    </w:p>
    <w:p>
      <w:pPr>
        <w:jc w:val="both"/>
        <w:ind w:right="20" w:firstLine="720"/>
        <w:spacing w:after="0" w:line="253" w:lineRule="auto"/>
        <w:rPr>
          <w:sz w:val="20"/>
          <w:szCs w:val="20"/>
          <w:color w:val="auto"/>
        </w:rPr>
      </w:pPr>
      <w:r>
        <w:rPr>
          <w:rFonts w:ascii="Times New Roman" w:cs="Times New Roman" w:eastAsia="Times New Roman" w:hAnsi="Times New Roman"/>
          <w:sz w:val="20"/>
          <w:szCs w:val="20"/>
          <w:color w:val="auto"/>
        </w:rPr>
        <w:t>The patent position of biotechnology and pharmaceutical companies generally is uncertain, involves complex legal and factual questions and is the subject of much litigation. As a result, the issuance, scope, validity, enforceability and commercial value of our and our current or future licensors’ patent rights are uncertain. Our and our licensors’ pending and future patent applications may not result in patents being issued that protect our technology or products, in whole or in part, or which effectively exclude others from commercializing competitive technologies and products. The patent examination process may require us or our licensors to narrow the scope of the claims of our pending and future patent applications, and therefore, even if such patent applications issue as patents, they may not issue in a form that will provide us with any meaningful protection, prevent competitors or other third parties from competing with us, or otherwise provide us with any competitive advantage. Our and our licensors’ patent applications cannot be enforced against third parties practicing the technology claimed in such applications unless and until a patent issues from such applications, and then only to the extent the issued claims cover such technology. Any of the foregoing could harm our competitive position, business, financial condition, results of operations and prospects.</w:t>
      </w:r>
    </w:p>
    <w:p>
      <w:pPr>
        <w:spacing w:after="0" w:line="322"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If our trademarks and trade names are not adequately protected, then we may not be able to build name recognition in our marks of interest and our business may be adversely affected.</w:t>
      </w:r>
    </w:p>
    <w:p>
      <w:pPr>
        <w:spacing w:after="0" w:line="57" w:lineRule="exact"/>
        <w:rPr>
          <w:sz w:val="20"/>
          <w:szCs w:val="20"/>
          <w:color w:val="auto"/>
        </w:rPr>
      </w:pPr>
    </w:p>
    <w:p>
      <w:pPr>
        <w:jc w:val="both"/>
        <w:ind w:firstLine="720"/>
        <w:spacing w:after="0" w:line="253" w:lineRule="auto"/>
        <w:rPr>
          <w:sz w:val="20"/>
          <w:szCs w:val="20"/>
          <w:color w:val="auto"/>
        </w:rPr>
      </w:pPr>
      <w:r>
        <w:rPr>
          <w:rFonts w:ascii="Times New Roman" w:cs="Times New Roman" w:eastAsia="Times New Roman" w:hAnsi="Times New Roman"/>
          <w:sz w:val="20"/>
          <w:szCs w:val="20"/>
          <w:color w:val="auto"/>
        </w:rPr>
        <w:t>Our trademarks or trade names may be challenged, infringed, diluted, circumvented or declared generic or determined to be infringing on other marks. We intend to rely on both registration and common law protection for our trademarks. We may not be able to protect our rights to these trademarks and trade names or may be forced to stop using these names, which we need for name recognition by potential partners or customers in our markets of interest. During the trademark registration process, we may receive Office Actions from the United States Patent and Trademark Office (“USPTO”), objecting to the registration of our trademark. Although we would be given an opportunity to respond to those objections, we may be unable to overcome such rejections. In addition, in the USPTO and in comparable agencies in many foreign jurisdictions, third parties are given an opportunity to oppose pending trademark applications and/or to seek the cancellation of registered trademarks. Opposition or cancellation proceedings may be filed against our trademarks, and our trademarks may not survive such proceedings. If we are unable to obtain a registered trademark or establish name recognition based on our trademarks and trade names, we may not be able to compete effectively and our business may be adversely affected.</w:t>
      </w:r>
    </w:p>
    <w:p>
      <w:pPr>
        <w:spacing w:after="0" w:line="322"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If we are unable to protect the confidentiality of our trade secrets, our business and competitive position would be harmed.</w:t>
      </w:r>
    </w:p>
    <w:p>
      <w:pPr>
        <w:spacing w:after="0" w:line="57" w:lineRule="exact"/>
        <w:rPr>
          <w:sz w:val="20"/>
          <w:szCs w:val="20"/>
          <w:color w:val="auto"/>
        </w:rPr>
      </w:pPr>
    </w:p>
    <w:p>
      <w:pPr>
        <w:jc w:val="both"/>
        <w:ind w:right="20" w:firstLine="720"/>
        <w:spacing w:after="0" w:line="286" w:lineRule="auto"/>
        <w:rPr>
          <w:sz w:val="20"/>
          <w:szCs w:val="20"/>
          <w:color w:val="auto"/>
        </w:rPr>
      </w:pPr>
      <w:r>
        <w:rPr>
          <w:rFonts w:ascii="Times New Roman" w:cs="Times New Roman" w:eastAsia="Times New Roman" w:hAnsi="Times New Roman"/>
          <w:sz w:val="19"/>
          <w:szCs w:val="19"/>
          <w:color w:val="auto"/>
        </w:rPr>
        <w:t>We rely on trade secrets and confidentiality agreements to protect our unpatented know-how, technology and other proprietary information and to maintain our competitive position. Trade secrets and know-how can be difficult to protect. We seek to protect these trade secrets and other proprietary technology, in part, by entering into non-disclosure and</w:t>
      </w:r>
    </w:p>
    <w:p>
      <w:pPr>
        <w:sectPr>
          <w:pgSz w:w="12240" w:h="15840" w:orient="portrait"/>
          <w:cols w:equalWidth="0" w:num="1">
            <w:col w:w="9900"/>
          </w:cols>
          <w:pgMar w:left="1180" w:top="208" w:right="1160" w:bottom="0" w:gutter="0" w:footer="0" w:header="0"/>
        </w:sectPr>
      </w:pPr>
    </w:p>
    <w:p>
      <w:pPr>
        <w:spacing w:after="0" w:line="200" w:lineRule="exact"/>
        <w:rPr>
          <w:sz w:val="20"/>
          <w:szCs w:val="20"/>
          <w:color w:val="auto"/>
        </w:rPr>
      </w:pPr>
    </w:p>
    <w:p>
      <w:pPr>
        <w:spacing w:after="0" w:line="3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69</w:t>
      </w:r>
    </w:p>
    <w:p>
      <w:pPr>
        <w:sectPr>
          <w:pgSz w:w="12240" w:h="15840" w:orient="portrait"/>
          <w:cols w:equalWidth="0" w:num="1">
            <w:col w:w="9900"/>
          </w:cols>
          <w:pgMar w:left="1180" w:top="208" w:right="1160" w:bottom="0" w:gutter="0" w:footer="0" w:header="0"/>
          <w:type w:val="continuous"/>
        </w:sectPr>
      </w:pPr>
    </w:p>
    <w:bookmarkStart w:id="69" w:name="page70"/>
    <w:bookmarkEnd w:id="69"/>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400"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20"/>
          <w:szCs w:val="20"/>
          <w:color w:val="auto"/>
        </w:rPr>
        <w:t>confidentiality agreements with parties who have access to them, such as our employees, collaborators, CROs, contract manufacturers, consultants, advisors and other third parties. We also enter into confidentiality and invention or patent assignment agreements with our employees and consultants. We cannot guarantee that we have entered into such agreements with each party that may have or has had access to our trade secrets or proprietary technology and processes. Despite these efforts, any of these parties may breach the agreements and disclose our proprietary information, including our trade secrets, and we may not be able to obtain adequate remedies for such breaches. These risks are heightened due to our reliance on third parties, including third party consultants, CROs and CMOs, for certain aspects of our business. The activities conducted by our third party vendors require us to share our trade secrets with them, which increases the possibility that a competitor will discover them or that our trade secrets will be misappropriated or disclosed. Enforcing a claim that a party illegally disclosed or misappropriated a trade secret is difficult, expensive and time-consuming, and the outcome is unpredictable. In addition, some courts inside and outside the United States are less willing or unwilling to protect trade secrets. If any of our trade secrets were to be lawfully obtained or independently developed by a competitor or other third party, we would have no right to prevent them from using that technology or information to compete with us. If any of our trade secrets were to be disclosed to or independently developed by a competitor or other third party, our competitive position would be materially and adversely harmed.</w:t>
      </w:r>
    </w:p>
    <w:p>
      <w:pPr>
        <w:spacing w:after="0" w:line="329"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Third-party claims of intellectual property infringement, misappropriation or other violations may be costly and time consuming and may prevent or delay our product discovery and development efforts.</w:t>
      </w:r>
    </w:p>
    <w:p>
      <w:pPr>
        <w:spacing w:after="0" w:line="57" w:lineRule="exact"/>
        <w:rPr>
          <w:sz w:val="20"/>
          <w:szCs w:val="20"/>
          <w:color w:val="auto"/>
        </w:rPr>
      </w:pPr>
    </w:p>
    <w:p>
      <w:pPr>
        <w:jc w:val="both"/>
        <w:ind w:right="20" w:firstLine="720"/>
        <w:spacing w:after="0" w:line="253" w:lineRule="auto"/>
        <w:rPr>
          <w:sz w:val="20"/>
          <w:szCs w:val="20"/>
          <w:color w:val="auto"/>
        </w:rPr>
      </w:pPr>
      <w:r>
        <w:rPr>
          <w:rFonts w:ascii="Times New Roman" w:cs="Times New Roman" w:eastAsia="Times New Roman" w:hAnsi="Times New Roman"/>
          <w:sz w:val="20"/>
          <w:szCs w:val="20"/>
          <w:color w:val="auto"/>
        </w:rPr>
        <w:t>Third parties may initiate legal proceedings alleging that we are infringing, misappropriating, or otherwise violating their intellectual property rights, the outcome of which would be uncertain and could have a material adverse effect on the success of our business. Our commercial success depends upon our ability to develop, manufacture, market and sell our current and future product candidates and use our proprietary technologies without infringing, misappropriating or otherwise violating the intellectual property rights of third parties. There is a substantial amount of litigation involving patents and other intellectual property rights in the biotechnology and pharmaceutical industries, as well as administrative proceedings for challenging patents, including derivation, interference, reexamination, inter partes review, and post grant review proceedings before the USPTO or oppositions and other comparable proceedings in foreign jurisdictions. We or any of our future licensors or strategic partners may be party to, exposed to, or threatened with, future adversarial proceedings or litigation by third parties having patent or other intellectual property rights alleging that our current or future product candidates and/or proprietary technologies infringe, misappropriate or otherwise violate their intellectual property rights. Even if we believe third-party intellectual property claims are without merit, there is no assurance that a court would find in our favor on questions of infringement, validity, enforceability, or priority.</w:t>
      </w:r>
    </w:p>
    <w:p>
      <w:pPr>
        <w:spacing w:after="0" w:line="208"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We cannot assure that our product candidates and other technologies that we have developed, are developing or may develop in the future do not or will not infringe, misappropriate or otherwise violate existing or future patents or other intellectual property rights owned by third parties. Numerous U.S. and foreign issued patents and pending patent applications, which are owned by third parties, exist in the fields in which we are developing our product candidates. As the biotechnology and pharmaceutical industries expand and more patents are issued, the risk increases that our product candidates may give rise to claims of infringement of the patent rights of others. Moreover, it is not always clear to industry participants, including us, which patents cover various types of drugs, products or their methods of use or manufacture. Thus, because of the large number of patents issued and patent applications filed in our fields, there may be a risk that third parties may allege they have patent rights encompassing our product candidates, technologies or methods.</w:t>
      </w:r>
    </w:p>
    <w:p>
      <w:pPr>
        <w:spacing w:after="0" w:line="209" w:lineRule="exact"/>
        <w:rPr>
          <w:sz w:val="20"/>
          <w:szCs w:val="20"/>
          <w:color w:val="auto"/>
        </w:rPr>
      </w:pPr>
    </w:p>
    <w:p>
      <w:pPr>
        <w:jc w:val="both"/>
        <w:ind w:right="20" w:firstLine="720"/>
        <w:spacing w:after="0" w:line="281" w:lineRule="auto"/>
        <w:rPr>
          <w:sz w:val="20"/>
          <w:szCs w:val="20"/>
          <w:color w:val="auto"/>
        </w:rPr>
      </w:pPr>
      <w:r>
        <w:rPr>
          <w:rFonts w:ascii="Times New Roman" w:cs="Times New Roman" w:eastAsia="Times New Roman" w:hAnsi="Times New Roman"/>
          <w:sz w:val="20"/>
          <w:szCs w:val="20"/>
          <w:color w:val="auto"/>
        </w:rPr>
        <w:t>If a third party claims that we infringe, misappropriate or otherwise violate its intellectual property rights, we may face a number of issues, including, but not limited to:</w:t>
      </w:r>
    </w:p>
    <w:p>
      <w:pPr>
        <w:spacing w:after="0" w:line="61" w:lineRule="exact"/>
        <w:rPr>
          <w:sz w:val="20"/>
          <w:szCs w:val="20"/>
          <w:color w:val="auto"/>
        </w:rPr>
      </w:pPr>
    </w:p>
    <w:p>
      <w:pPr>
        <w:jc w:val="both"/>
        <w:ind w:left="1080" w:right="20" w:hanging="370"/>
        <w:spacing w:after="0" w:line="266" w:lineRule="auto"/>
        <w:tabs>
          <w:tab w:leader="none" w:pos="108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infringement, misappropriation and other intellectual property claims which, regardless of merit, may be expensive and time-consuming to litigate and may divert our management’s attention from our core business and may impact our reputation;</w:t>
      </w:r>
    </w:p>
    <w:p>
      <w:pPr>
        <w:spacing w:after="0" w:line="75" w:lineRule="exact"/>
        <w:rPr>
          <w:rFonts w:ascii="Times New Roman" w:cs="Times New Roman" w:eastAsia="Times New Roman" w:hAnsi="Times New Roman"/>
          <w:sz w:val="20"/>
          <w:szCs w:val="20"/>
          <w:color w:val="auto"/>
        </w:rPr>
      </w:pPr>
    </w:p>
    <w:p>
      <w:pPr>
        <w:jc w:val="both"/>
        <w:ind w:left="1080" w:right="20" w:hanging="370"/>
        <w:spacing w:after="0" w:line="260" w:lineRule="auto"/>
        <w:tabs>
          <w:tab w:leader="none" w:pos="108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substantial damages for infringement, misappropriation or other violations, which we may have to pay if a court decides that the product candidate or technology at issue infringes, misappropriates or violates the third party’s rights, and, if the court finds that the infringement was willful, we could be ordered to pay treble damages and the patent owner’s attorneys’ fees;</w:t>
      </w:r>
    </w:p>
    <w:p>
      <w:pPr>
        <w:spacing w:after="0" w:line="83" w:lineRule="exact"/>
        <w:rPr>
          <w:rFonts w:ascii="Times New Roman" w:cs="Times New Roman" w:eastAsia="Times New Roman" w:hAnsi="Times New Roman"/>
          <w:sz w:val="20"/>
          <w:szCs w:val="20"/>
          <w:color w:val="auto"/>
        </w:rPr>
      </w:pPr>
    </w:p>
    <w:p>
      <w:pPr>
        <w:jc w:val="both"/>
        <w:ind w:left="1080" w:right="20" w:hanging="370"/>
        <w:spacing w:after="0" w:line="266" w:lineRule="auto"/>
        <w:tabs>
          <w:tab w:leader="none" w:pos="108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court prohibiting us from developing, manufacturing, marketing or selling our product candidates, or from using our proprietary technologies, unless the third party licenses its product rights to us, which it is not required to do, on commercially reasonable terms or at all;</w:t>
      </w:r>
    </w:p>
    <w:p>
      <w:pPr>
        <w:sectPr>
          <w:pgSz w:w="12240" w:h="15840" w:orient="portrait"/>
          <w:cols w:equalWidth="0" w:num="1">
            <w:col w:w="9900"/>
          </w:cols>
          <w:pgMar w:left="1180" w:top="20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70</w:t>
      </w:r>
    </w:p>
    <w:p>
      <w:pPr>
        <w:sectPr>
          <w:pgSz w:w="12240" w:h="15840" w:orient="portrait"/>
          <w:cols w:equalWidth="0" w:num="1">
            <w:col w:w="9900"/>
          </w:cols>
          <w:pgMar w:left="1180" w:top="208" w:right="1160" w:bottom="0" w:gutter="0" w:footer="0" w:header="0"/>
          <w:type w:val="continuous"/>
        </w:sectPr>
      </w:pPr>
    </w:p>
    <w:bookmarkStart w:id="70" w:name="page71"/>
    <w:bookmarkEnd w:id="70"/>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400" w:lineRule="exact"/>
        <w:rPr>
          <w:sz w:val="20"/>
          <w:szCs w:val="20"/>
          <w:color w:val="auto"/>
        </w:rPr>
      </w:pPr>
    </w:p>
    <w:p>
      <w:pPr>
        <w:jc w:val="both"/>
        <w:ind w:left="1080" w:right="20" w:hanging="370"/>
        <w:spacing w:after="0" w:line="266" w:lineRule="auto"/>
        <w:tabs>
          <w:tab w:leader="none" w:pos="108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 license is available from a third party, we may have to pay substantial royalties, upfront fees and other amounts, and/or grant cross-licenses to intellectual property rights for our products, or the license to us may be non-exclusive, which would permit third parties to use the same intellectual property to compete with us;</w:t>
      </w:r>
    </w:p>
    <w:p>
      <w:pPr>
        <w:spacing w:after="0" w:line="75" w:lineRule="exact"/>
        <w:rPr>
          <w:rFonts w:ascii="Times New Roman" w:cs="Times New Roman" w:eastAsia="Times New Roman" w:hAnsi="Times New Roman"/>
          <w:sz w:val="20"/>
          <w:szCs w:val="20"/>
          <w:color w:val="auto"/>
        </w:rPr>
      </w:pPr>
    </w:p>
    <w:p>
      <w:pPr>
        <w:jc w:val="both"/>
        <w:ind w:left="1080" w:right="20" w:hanging="370"/>
        <w:spacing w:after="0" w:line="266" w:lineRule="auto"/>
        <w:tabs>
          <w:tab w:leader="none" w:pos="108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redesigning our product candidates or processes so they do not infringe, misappropriate or violate third party intellectual property rights, which may not be possible or may require substantial monetary expenditures and time; and</w:t>
      </w:r>
    </w:p>
    <w:p>
      <w:pPr>
        <w:spacing w:after="0" w:line="75" w:lineRule="exact"/>
        <w:rPr>
          <w:rFonts w:ascii="Times New Roman" w:cs="Times New Roman" w:eastAsia="Times New Roman" w:hAnsi="Times New Roman"/>
          <w:sz w:val="20"/>
          <w:szCs w:val="20"/>
          <w:color w:val="auto"/>
        </w:rPr>
      </w:pPr>
    </w:p>
    <w:p>
      <w:pPr>
        <w:jc w:val="both"/>
        <w:ind w:left="1080" w:right="20" w:hanging="370"/>
        <w:spacing w:after="0" w:line="266" w:lineRule="auto"/>
        <w:tabs>
          <w:tab w:leader="none" w:pos="108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could be public announcements of the results of hearings, motions or other interim proceedings or developments, and, if securities analysts or investors perceive these results to be negative, it could have a substantial adverse effect on the price of our ADSs.</w:t>
      </w:r>
    </w:p>
    <w:p>
      <w:pPr>
        <w:spacing w:after="0" w:line="195" w:lineRule="exact"/>
        <w:rPr>
          <w:sz w:val="20"/>
          <w:szCs w:val="20"/>
          <w:color w:val="auto"/>
        </w:rPr>
      </w:pPr>
    </w:p>
    <w:p>
      <w:pPr>
        <w:jc w:val="both"/>
        <w:ind w:firstLine="720"/>
        <w:spacing w:after="0" w:line="256" w:lineRule="auto"/>
        <w:rPr>
          <w:sz w:val="20"/>
          <w:szCs w:val="20"/>
          <w:color w:val="auto"/>
        </w:rPr>
      </w:pPr>
      <w:r>
        <w:rPr>
          <w:rFonts w:ascii="Times New Roman" w:cs="Times New Roman" w:eastAsia="Times New Roman" w:hAnsi="Times New Roman"/>
          <w:sz w:val="20"/>
          <w:szCs w:val="20"/>
          <w:color w:val="auto"/>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results of operations, financial condition and prospects. The occurrence of any of the foregoing could have a material adverse effect on our business, financial condition, results of operations or prospects.</w:t>
      </w:r>
    </w:p>
    <w:p>
      <w:pPr>
        <w:spacing w:after="0" w:line="208"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We may choose to challenge the patentability of claims in a third party’s U.S. patent by requesting that the USPTO review the patent claims in an ex parte re-exam, inter partes review or post-grant review proceedings. These proceedings are expensive and may consume our time or other resources. We may choose to challenge a third party’s patent in patent opposition proceedings in the European Patent Office (“EPO”), or other foreign patent office. The costs of these opposition proceedings could be substantial, and may consume our time or other resources. If we fail to obtain a favorable result at the USPTO, EPO or other patent office then we may be exposed to litigation by a third party alleging that the patent may be infringed by our product candidates or proprietary technologies.</w:t>
      </w:r>
    </w:p>
    <w:p>
      <w:pPr>
        <w:spacing w:after="0" w:line="210" w:lineRule="exact"/>
        <w:rPr>
          <w:sz w:val="20"/>
          <w:szCs w:val="20"/>
          <w:color w:val="auto"/>
        </w:rPr>
      </w:pPr>
    </w:p>
    <w:p>
      <w:pPr>
        <w:jc w:val="both"/>
        <w:ind w:firstLine="720"/>
        <w:spacing w:after="0" w:line="253" w:lineRule="auto"/>
        <w:rPr>
          <w:sz w:val="20"/>
          <w:szCs w:val="20"/>
          <w:color w:val="auto"/>
        </w:rPr>
      </w:pPr>
      <w:r>
        <w:rPr>
          <w:rFonts w:ascii="Times New Roman" w:cs="Times New Roman" w:eastAsia="Times New Roman" w:hAnsi="Times New Roman"/>
          <w:sz w:val="20"/>
          <w:szCs w:val="20"/>
          <w:color w:val="auto"/>
        </w:rPr>
        <w:t>Third parties may assert that we are employing their proprietary technology without authorization. Patents issued in the United States by law enjoy a presumption of validity that can be rebutted only with evidence that is “clear and convincing,” a heightened standard of proof. There may be issued third-party patents of which we are currently unaware with claims to compositions, formulations, methods of manufacture or methods for treatment related to the use or manufacture of our product candidates. Patent applications can take many years to issue. In addition, because some patent applications in the United States may be maintained in secrecy until the patents are issued, patent applications in the United States and many foreign jurisdictions are typically not published until 18 months after filing, and publications in the scientific literature often lag behind actual discoveries, we cannot be certain that others have not filed patent applications covering our product candidates or technology. If any such patent applications issue as patents, and if such patents have priority over our patent applications or patents we may own or in-license, we may be required to obtain rights to such patents owned by third parties which may not be available on commercially reasonable terms or at all, or may only be available on a non-exclusive basis.</w:t>
      </w:r>
    </w:p>
    <w:p>
      <w:pPr>
        <w:spacing w:after="0" w:line="211"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There may be currently pending patent applications which may later result in issued patents that our product candidates may infringe. It is also possible that patents owned by third parties of which we are aware, but which we do not believe are relevant to our product candidates or other technologies, could be found to be infringed by our product candidates or other technologies. In addition, third parties may obtain patents in the future and claim that use of our technologies infringes upon these patents. Moreover, we may fail to identify relevant patents or incorrectly conclude that a patent is invalid, not enforceable, exhausted, or not infringed by our activities. If any third-party patents were held by a court of competent jurisdiction to cover the manufacturing process of our product candidates, molecules used in or formed during the manufacturing process, or any final product itself, the holders of any such patents may be able to block our ability to commercialize the product candidate unless we obtained a license under the applicable patents, or until such patents expire or they are finally determined to be held invalid or unenforceable. Similarly, if any third-party patent were held by a court of competent jurisdiction to cover aspects of our formulations, processes for manufacture or methods of use, including combination therapy or patient selection methods, the holders of any such patent may be able to block our ability to develop and commercialize the product candidate unless we obtained a license or until such patent expires or is finally determined to be held invalid or unenforceable. In either case, such a license may not be available on commercially reasonable terms or at all. If we are unable to obtain a necessary license to a third-party patent on commercially reasonable terms, or at all, our ability to commercialize our product candidates may be impaired or delayed, which could in turn significantly harm our business. Even if we obtain a license, it may be nonexclusive, thereby giving our competitors access to the same technologies licensed to us. In addition, if the breadth or strength of protection provided by our patent</w:t>
      </w:r>
    </w:p>
    <w:p>
      <w:pPr>
        <w:sectPr>
          <w:pgSz w:w="12240" w:h="15840" w:orient="portrait"/>
          <w:cols w:equalWidth="0" w:num="1">
            <w:col w:w="9900"/>
          </w:cols>
          <w:pgMar w:left="1180" w:top="20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71</w:t>
      </w:r>
    </w:p>
    <w:p>
      <w:pPr>
        <w:sectPr>
          <w:pgSz w:w="12240" w:h="15840" w:orient="portrait"/>
          <w:cols w:equalWidth="0" w:num="1">
            <w:col w:w="9900"/>
          </w:cols>
          <w:pgMar w:left="1180" w:top="208" w:right="1160" w:bottom="0" w:gutter="0" w:footer="0" w:header="0"/>
          <w:type w:val="continuous"/>
        </w:sectPr>
      </w:pPr>
    </w:p>
    <w:bookmarkStart w:id="71" w:name="page72"/>
    <w:bookmarkEnd w:id="71"/>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400"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applications or any patents we may own or in-license in the future is threatened, it could dissuade companies from collaborating with us to license, develop or commercialize current or future product candidates.</w:t>
      </w:r>
    </w:p>
    <w:p>
      <w:pPr>
        <w:spacing w:after="0" w:line="181" w:lineRule="exact"/>
        <w:rPr>
          <w:sz w:val="20"/>
          <w:szCs w:val="20"/>
          <w:color w:val="auto"/>
        </w:rPr>
      </w:pPr>
    </w:p>
    <w:p>
      <w:pPr>
        <w:jc w:val="both"/>
        <w:ind w:firstLine="720"/>
        <w:spacing w:after="0" w:line="253" w:lineRule="auto"/>
        <w:rPr>
          <w:sz w:val="20"/>
          <w:szCs w:val="20"/>
          <w:color w:val="auto"/>
        </w:rPr>
      </w:pPr>
      <w:r>
        <w:rPr>
          <w:rFonts w:ascii="Times New Roman" w:cs="Times New Roman" w:eastAsia="Times New Roman" w:hAnsi="Times New Roman"/>
          <w:sz w:val="20"/>
          <w:szCs w:val="20"/>
          <w:color w:val="auto"/>
        </w:rPr>
        <w:t>Parties making claims against us may seek and obtain injunctive or other equitable relief, which could effectively block our ability to further develop and commercialize our product candidates. Defense of these claims, regardless of their merit, could involve substantial litigation expense and would be a substantial diversion of employee resources from our business. In the event of a successful claim of infringement, misappropriation or other violation against us, we may have to pay substantial damages, including treble damages and attorneys’ fees for willful infringement, obtain one or more licenses from third parties, pay royalties or redesign our infringing products, which may be impossible or require substantial time and monetary expenditure. We cannot predict whether any such license would be available at all or whether it would be available on commercially reasonable terms. Furthermore, even in the absence of litigation, we may need or may choose to obtain licenses from third parties to advance our research or allow commercialization of our product candidates. We may fail to obtain any of these licenses at a reasonable cost or on reasonable terms, if at all. In that event, we would be unable to further develop and commercialize our product candidates, which could harm our business significantly.</w:t>
      </w:r>
    </w:p>
    <w:p>
      <w:pPr>
        <w:spacing w:after="0" w:line="324"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We may become involved in lawsuits to protect or enforce our patents or other intellectual property, which could be expensive, time-consuming and unsuccessful, and issued patents covering our technology and product candidates could be found invalid or unenforceable if challenged.</w:t>
      </w:r>
    </w:p>
    <w:p>
      <w:pPr>
        <w:spacing w:after="0" w:line="76" w:lineRule="exact"/>
        <w:rPr>
          <w:sz w:val="20"/>
          <w:szCs w:val="20"/>
          <w:color w:val="auto"/>
        </w:rPr>
      </w:pPr>
    </w:p>
    <w:p>
      <w:pPr>
        <w:jc w:val="both"/>
        <w:ind w:right="20" w:firstLine="720"/>
        <w:spacing w:after="0" w:line="253" w:lineRule="auto"/>
        <w:rPr>
          <w:sz w:val="20"/>
          <w:szCs w:val="20"/>
          <w:color w:val="auto"/>
        </w:rPr>
      </w:pPr>
      <w:r>
        <w:rPr>
          <w:rFonts w:ascii="Times New Roman" w:cs="Times New Roman" w:eastAsia="Times New Roman" w:hAnsi="Times New Roman"/>
          <w:sz w:val="20"/>
          <w:szCs w:val="20"/>
          <w:color w:val="auto"/>
        </w:rPr>
        <w:t>Competitors and other third parties may infringe or otherwise violate our issued patents or other intellectual property or the patents or other intellectual property of our licensors. In addition, our patents or the patents of our licensors may become involved in inventorship or priority disputes. Our pending patent applications cannot be enforced against third parties practicing the technology claimed in such applications unless and until a patent issues from such applications. To counter infringement or other unauthorized use, we may be required to file infringement claims, which can be expensive and time-consuming. Any claims we assert against perceived infringers could provoke these parties to assert counterclaims against us alleging that we infringe their patents or that our patents or our licensed patents are invalid or unenforceable. In a patent infringement proceeding, a court may decide that a patent of ours or a licensed patent is invalid or unenforceable, in whole or in part, construe the patent’s claims narrowly or refuse to stop the other party from using the technology at issue on the grounds that our patents do not cover the technology. An adverse result in any litigation proceeding could put one or more of our owned or licensed patents at risk of being invalidated, held unenforceable or interpreted narrowly. We may find it impractical or undesirable to enforce our intellectual property against some third parties.</w:t>
      </w:r>
    </w:p>
    <w:p>
      <w:pPr>
        <w:spacing w:after="0" w:line="211" w:lineRule="exact"/>
        <w:rPr>
          <w:sz w:val="20"/>
          <w:szCs w:val="20"/>
          <w:color w:val="auto"/>
        </w:rPr>
      </w:pPr>
    </w:p>
    <w:p>
      <w:pPr>
        <w:jc w:val="both"/>
        <w:ind w:right="20" w:firstLine="720"/>
        <w:spacing w:after="0" w:line="252" w:lineRule="auto"/>
        <w:rPr>
          <w:sz w:val="20"/>
          <w:szCs w:val="20"/>
          <w:color w:val="auto"/>
        </w:rPr>
      </w:pPr>
      <w:r>
        <w:rPr>
          <w:rFonts w:ascii="Times New Roman" w:cs="Times New Roman" w:eastAsia="Times New Roman" w:hAnsi="Times New Roman"/>
          <w:sz w:val="20"/>
          <w:szCs w:val="20"/>
          <w:color w:val="auto"/>
        </w:rPr>
        <w:t>If we were to initiate legal proceedings against a third party to enforce a patent directed to our product candidates, or one of our future product candidates, the defendant could counterclaim that our patent is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non-enablement or insufficient written description. Grounds for an unenforceability assertion could be an allegation that someone connected with prosecution of the patent withheld relevant information from the USPTO or made a misleading statement during prosecution. Third parties may also raise similar claims before the USPTO or an equivalent foreign body, even outside the context of litigation. Potential proceedings include re-examination, post-grant review, inter partes review, interference proceedings, derivation proceedings and equivalent proceedings in foreign jurisdictions (e.g., opposition proceedings). Such proceedings could result in the revocation of, cancellation of, or amendment to our patents in such a way that they no longer cover our technology or any product candidates that we may develop. The outcome following legal assertions of invalidity and unenforceability is unpredictable. With respect to the validity question, for example, we cannot be certain that there is no invalidating prior art of which we and the patent examiner were unaware during prosecution. If a defendant were to prevail on a legal assertion of invalidity or unenforceability, we would lose at least part, and perhaps all, of the patent protection on the applicable product candidates or technology covered by the patent rendered invalid or unenforceable. Such a loss of patent protection would materially harm our business, financial condition, results of operations and prospects.</w:t>
      </w:r>
    </w:p>
    <w:p>
      <w:pPr>
        <w:spacing w:after="0" w:line="215" w:lineRule="exact"/>
        <w:rPr>
          <w:sz w:val="20"/>
          <w:szCs w:val="20"/>
          <w:color w:val="auto"/>
        </w:rPr>
      </w:pPr>
    </w:p>
    <w:p>
      <w:pPr>
        <w:jc w:val="both"/>
        <w:ind w:right="20" w:firstLine="720"/>
        <w:spacing w:after="0" w:line="260" w:lineRule="auto"/>
        <w:rPr>
          <w:sz w:val="20"/>
          <w:szCs w:val="20"/>
          <w:color w:val="auto"/>
        </w:rPr>
      </w:pPr>
      <w:r>
        <w:rPr>
          <w:rFonts w:ascii="Times New Roman" w:cs="Times New Roman" w:eastAsia="Times New Roman" w:hAnsi="Times New Roman"/>
          <w:sz w:val="20"/>
          <w:szCs w:val="20"/>
          <w:color w:val="auto"/>
        </w:rPr>
        <w:t>Interference proceedings provoked by third parties or brought by us or declared by the USPTO may be necessary to determine the priority of inventions with respect to our patents or patent applications. An unfavorable outcome could require us to cease using the related technology or to attempt to license rights to it from the prevailing party. Our business could be materially harmed if the prevailing party does not offer us a license on commercially reasonable terms.</w:t>
      </w:r>
    </w:p>
    <w:p>
      <w:pPr>
        <w:spacing w:after="0" w:line="203" w:lineRule="exact"/>
        <w:rPr>
          <w:sz w:val="20"/>
          <w:szCs w:val="20"/>
          <w:color w:val="auto"/>
        </w:rPr>
      </w:pPr>
    </w:p>
    <w:p>
      <w:pPr>
        <w:jc w:val="both"/>
        <w:ind w:firstLine="720"/>
        <w:spacing w:after="0" w:line="266" w:lineRule="auto"/>
        <w:rPr>
          <w:sz w:val="20"/>
          <w:szCs w:val="20"/>
          <w:color w:val="auto"/>
        </w:rPr>
      </w:pPr>
      <w:r>
        <w:rPr>
          <w:rFonts w:ascii="Times New Roman" w:cs="Times New Roman" w:eastAsia="Times New Roman" w:hAnsi="Times New Roman"/>
          <w:sz w:val="20"/>
          <w:szCs w:val="20"/>
          <w:color w:val="auto"/>
        </w:rPr>
        <w:t>Furthermore, because of the substantial amount of discovery required in connection with intellectual property litigation, there is a risk that some of our confidential information could be compromised by disclosure during this type of litigation.</w:t>
      </w:r>
    </w:p>
    <w:p>
      <w:pPr>
        <w:sectPr>
          <w:pgSz w:w="12240" w:h="15840" w:orient="portrait"/>
          <w:cols w:equalWidth="0" w:num="1">
            <w:col w:w="9900"/>
          </w:cols>
          <w:pgMar w:left="1180" w:top="208" w:right="1160" w:bottom="0" w:gutter="0" w:footer="0" w:header="0"/>
        </w:sectPr>
      </w:pPr>
    </w:p>
    <w:p>
      <w:pPr>
        <w:spacing w:after="0" w:line="200" w:lineRule="exact"/>
        <w:rPr>
          <w:sz w:val="20"/>
          <w:szCs w:val="20"/>
          <w:color w:val="auto"/>
        </w:rPr>
      </w:pPr>
    </w:p>
    <w:p>
      <w:pPr>
        <w:spacing w:after="0" w:line="3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72</w:t>
      </w:r>
    </w:p>
    <w:p>
      <w:pPr>
        <w:sectPr>
          <w:pgSz w:w="12240" w:h="15840" w:orient="portrait"/>
          <w:cols w:equalWidth="0" w:num="1">
            <w:col w:w="9900"/>
          </w:cols>
          <w:pgMar w:left="1180" w:top="208" w:right="1160" w:bottom="0" w:gutter="0" w:footer="0" w:header="0"/>
          <w:type w:val="continuous"/>
        </w:sectPr>
      </w:pPr>
    </w:p>
    <w:bookmarkStart w:id="72" w:name="page73"/>
    <w:bookmarkEnd w:id="72"/>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400" w:lineRule="exact"/>
        <w:rPr>
          <w:sz w:val="20"/>
          <w:szCs w:val="20"/>
          <w:color w:val="auto"/>
        </w:rPr>
      </w:pPr>
    </w:p>
    <w:p>
      <w:pPr>
        <w:jc w:val="both"/>
        <w:ind w:right="20" w:firstLine="720"/>
        <w:spacing w:after="0" w:line="253" w:lineRule="auto"/>
        <w:rPr>
          <w:sz w:val="20"/>
          <w:szCs w:val="20"/>
          <w:color w:val="auto"/>
        </w:rPr>
      </w:pPr>
      <w:r>
        <w:rPr>
          <w:rFonts w:ascii="Times New Roman" w:cs="Times New Roman" w:eastAsia="Times New Roman" w:hAnsi="Times New Roman"/>
          <w:sz w:val="20"/>
          <w:szCs w:val="20"/>
          <w:color w:val="auto"/>
        </w:rPr>
        <w:t>Our competitors maybe larger than we are and may have substantially greater resources. They are, therefore, likely to be able to sustain the costs of complex patent litigation or proceedings more effectively than we can because of their greater financial resources and more mature and developed intellectual property portfolios. Accordingly, despite our efforts, we may not be able to prevent third parties from infringing upon, misappropriating or otherwise violating our intellectual property. Even if resolved in our favor, litigation or other legal proceedings relating to intellectual property claims could result in substantial costs and diversion of management resources, which could harm our business. In addition, the uncertainties associated with litigation could compromise our ability to raise the funds necessary to continue our clinical trials, continue our internal research programs, or in-license needed technology or other product candidates. There could also be public announcements of the results of the hearing, motions, or other interim proceedings or developments. If securities analysts or investors perceive those results to be negative, it could cause the price of shares of our ADSs to decline. Any of the foregoing events could harm our business, financial condition, results of operation and prospects.</w:t>
      </w:r>
    </w:p>
    <w:p>
      <w:pPr>
        <w:spacing w:after="0" w:line="322"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Intellectual property litigation could cause us to spend substantial resources and distract our personnel from their normal responsibilities.</w:t>
      </w:r>
    </w:p>
    <w:p>
      <w:pPr>
        <w:spacing w:after="0" w:line="57" w:lineRule="exact"/>
        <w:rPr>
          <w:sz w:val="20"/>
          <w:szCs w:val="20"/>
          <w:color w:val="auto"/>
        </w:rPr>
      </w:pPr>
    </w:p>
    <w:p>
      <w:pPr>
        <w:jc w:val="both"/>
        <w:ind w:firstLine="720"/>
        <w:spacing w:after="0" w:line="253" w:lineRule="auto"/>
        <w:rPr>
          <w:sz w:val="20"/>
          <w:szCs w:val="20"/>
          <w:color w:val="auto"/>
        </w:rPr>
      </w:pPr>
      <w:r>
        <w:rPr>
          <w:rFonts w:ascii="Times New Roman" w:cs="Times New Roman" w:eastAsia="Times New Roman" w:hAnsi="Times New Roman"/>
          <w:sz w:val="20"/>
          <w:szCs w:val="20"/>
          <w:color w:val="auto"/>
        </w:rPr>
        <w:t>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ADSs.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 including compromising our ability to raise the funds necessary to continue our clinical trials, continue our research programs, license necessary technology from third parties, or enter into development collaborations that would help us commercialize our product candidates, if approved. Any of the foregoing events would harm our business, financial condition, results of operations and prospects.</w:t>
      </w:r>
    </w:p>
    <w:p>
      <w:pPr>
        <w:spacing w:after="0" w:line="319"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The patent protection we obtain for our product candidates and technology may be challenged or not sufficient enough to provide us with any competitive advantage.</w:t>
      </w:r>
    </w:p>
    <w:p>
      <w:pPr>
        <w:spacing w:after="0" w:line="57" w:lineRule="exact"/>
        <w:rPr>
          <w:sz w:val="20"/>
          <w:szCs w:val="20"/>
          <w:color w:val="auto"/>
        </w:rPr>
      </w:pPr>
    </w:p>
    <w:p>
      <w:pPr>
        <w:jc w:val="both"/>
        <w:ind w:right="20" w:firstLine="720"/>
        <w:spacing w:after="0" w:line="256" w:lineRule="auto"/>
        <w:rPr>
          <w:sz w:val="20"/>
          <w:szCs w:val="20"/>
          <w:color w:val="auto"/>
        </w:rPr>
      </w:pPr>
      <w:r>
        <w:rPr>
          <w:rFonts w:ascii="Times New Roman" w:cs="Times New Roman" w:eastAsia="Times New Roman" w:hAnsi="Times New Roman"/>
          <w:sz w:val="20"/>
          <w:szCs w:val="20"/>
          <w:color w:val="auto"/>
        </w:rPr>
        <w:t>Even if our owned or licensed patent applications issue as patents, the issuance of any such patents is not conclusive as to their inventorship, scope, validity, or enforceability, and such patents may be challenged, invalidated or held to be unenforceable, including in the courts or patent offices in the United States and abroad, or circumvented. We may be subject to a third party pre-issuance submission of prior art to the USPTO, or equivalent foreign bodies, or become involved in opposition, derivation, revocation, re-examination, post-grant and inter partes review, or interference proceedings challenging our patent rights or the patent rights of others.</w:t>
      </w:r>
    </w:p>
    <w:p>
      <w:pPr>
        <w:spacing w:after="0" w:line="208" w:lineRule="exact"/>
        <w:rPr>
          <w:sz w:val="20"/>
          <w:szCs w:val="20"/>
          <w:color w:val="auto"/>
        </w:rPr>
      </w:pPr>
    </w:p>
    <w:p>
      <w:pPr>
        <w:jc w:val="both"/>
        <w:ind w:firstLine="720"/>
        <w:spacing w:after="0" w:line="253" w:lineRule="auto"/>
        <w:rPr>
          <w:sz w:val="20"/>
          <w:szCs w:val="20"/>
          <w:color w:val="auto"/>
        </w:rPr>
      </w:pPr>
      <w:r>
        <w:rPr>
          <w:rFonts w:ascii="Times New Roman" w:cs="Times New Roman" w:eastAsia="Times New Roman" w:hAnsi="Times New Roman"/>
          <w:sz w:val="20"/>
          <w:szCs w:val="20"/>
          <w:color w:val="auto"/>
        </w:rPr>
        <w:t>An adverse determination in any such submission, proceeding or litigation could reduce the scope of, or invalidate, our patent rights, allow third parties to commercialize our technology or products and compete directly with us, without payment to us, or result in our inability to manufacture or commercialize products without infringing third-party patent rights. Moreover, we, or one of our licensors, may have to participate in interference proceedings declared by the USPTO to determine priority of invention or in post-grant challenge proceedings, such as oppositions in a foreign patent office, that challenge priority of invention or other features of patentability. Such proceedings and any other patent challenges may result in loss of patent rights, loss of exclusivity, loss of priority, or in patent claims being narrowed, invalidated, or held unenforceable, which could limit our ability to stop others from using or commercializing similar or identical technology and products, or limit the duration of the patent protection of our technology and product candidates. Such proceedings also may result in substantial cost and require significant time from our scientists and management, even if the eventual outcome is favorable to us. Any of the foregoing could harm our business, financial condition, results of operations and prospects.</w:t>
      </w:r>
    </w:p>
    <w:p>
      <w:pPr>
        <w:spacing w:after="0" w:line="211" w:lineRule="exact"/>
        <w:rPr>
          <w:sz w:val="20"/>
          <w:szCs w:val="20"/>
          <w:color w:val="auto"/>
        </w:rPr>
      </w:pPr>
    </w:p>
    <w:p>
      <w:pPr>
        <w:jc w:val="both"/>
        <w:ind w:firstLine="720"/>
        <w:spacing w:after="0" w:line="275" w:lineRule="auto"/>
        <w:rPr>
          <w:sz w:val="20"/>
          <w:szCs w:val="20"/>
          <w:color w:val="auto"/>
        </w:rPr>
      </w:pPr>
      <w:r>
        <w:rPr>
          <w:rFonts w:ascii="Times New Roman" w:cs="Times New Roman" w:eastAsia="Times New Roman" w:hAnsi="Times New Roman"/>
          <w:sz w:val="19"/>
          <w:szCs w:val="19"/>
          <w:color w:val="auto"/>
        </w:rPr>
        <w:t>Furthermore, given the amount of time required for the development, testing and regulatory review of new product candidates, patents protecting such candidates might expire before or shortly after such candidates are commercialized. As a result, our owned and licensed patent portfolios may not provide us with adequate protection against third parties seeking to commercialize products similar or identical to ours. We expect to request extensions of patent terms to the extent available in countries where we obtain issued patents. In the United States, the Drug Price Competition and Patent Term</w:t>
      </w:r>
    </w:p>
    <w:p>
      <w:pPr>
        <w:sectPr>
          <w:pgSz w:w="12240" w:h="15840" w:orient="portrait"/>
          <w:cols w:equalWidth="0" w:num="1">
            <w:col w:w="9900"/>
          </w:cols>
          <w:pgMar w:left="1180" w:top="208" w:right="1160" w:bottom="0" w:gutter="0" w:footer="0" w:header="0"/>
        </w:sectPr>
      </w:pPr>
    </w:p>
    <w:p>
      <w:pPr>
        <w:spacing w:after="0" w:line="200" w:lineRule="exact"/>
        <w:rPr>
          <w:sz w:val="20"/>
          <w:szCs w:val="20"/>
          <w:color w:val="auto"/>
        </w:rPr>
      </w:pPr>
    </w:p>
    <w:p>
      <w:pPr>
        <w:spacing w:after="0" w:line="3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73</w:t>
      </w:r>
    </w:p>
    <w:p>
      <w:pPr>
        <w:sectPr>
          <w:pgSz w:w="12240" w:h="15840" w:orient="portrait"/>
          <w:cols w:equalWidth="0" w:num="1">
            <w:col w:w="9900"/>
          </w:cols>
          <w:pgMar w:left="1180" w:top="208" w:right="1160" w:bottom="0" w:gutter="0" w:footer="0" w:header="0"/>
          <w:type w:val="continuous"/>
        </w:sectPr>
      </w:pPr>
    </w:p>
    <w:bookmarkStart w:id="73" w:name="page74"/>
    <w:bookmarkEnd w:id="73"/>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40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Restoration Act of 1984 permits a patent term extension of up to five years beyond the expiration of the patent. However, there are no assurances that the FDA or any comparable foreign regulatory authority or national patent office will grant such extensions, in whole or in part. In such case, our competitors may launch their products earlier than might otherwise be anticipated. Moreover, some of our owned or in-licensed patents and patent applications are, and may in the future be, co-owned with third parties. If we are unable to obtain an exclusive license to any such co-owners’ interest in such patents or patent applications, such co-owners may be able to license their rights to other third parties, including our competitors, and our competitors could market competing products and technology. In addition, we may need the cooperation of any such co-owners in order to enforce such patents against third parties, and such cooperation may not be provided to us.</w:t>
      </w:r>
    </w:p>
    <w:p>
      <w:pPr>
        <w:spacing w:after="0" w:line="200" w:lineRule="exact"/>
        <w:rPr>
          <w:sz w:val="20"/>
          <w:szCs w:val="20"/>
          <w:color w:val="auto"/>
        </w:rPr>
      </w:pPr>
    </w:p>
    <w:p>
      <w:pPr>
        <w:spacing w:after="0" w:line="253" w:lineRule="exact"/>
        <w:rPr>
          <w:sz w:val="20"/>
          <w:szCs w:val="20"/>
          <w:color w:val="auto"/>
        </w:rPr>
      </w:pPr>
    </w:p>
    <w:p>
      <w:pPr>
        <w:jc w:val="both"/>
        <w:ind w:firstLine="720"/>
        <w:spacing w:after="0" w:line="253" w:lineRule="auto"/>
        <w:rPr>
          <w:sz w:val="20"/>
          <w:szCs w:val="20"/>
          <w:color w:val="auto"/>
        </w:rPr>
      </w:pPr>
      <w:r>
        <w:rPr>
          <w:rFonts w:ascii="Times New Roman" w:cs="Times New Roman" w:eastAsia="Times New Roman" w:hAnsi="Times New Roman"/>
          <w:sz w:val="20"/>
          <w:szCs w:val="20"/>
          <w:color w:val="auto"/>
        </w:rPr>
        <w:t>In addition, our owned and in-licensed patents may be subject to a reservation of rights by the licensor, its affiliates and one or more third parties. When new technologies are developed with government funding, the government generally obtains certain rights in any resulting patents, including a non-exclusive license authorizing the government to use the invention for noncommercial purposes. These rights may permit the government to disclose our confidential information to third parties or allow third parties to use our licensed technology. The government can also exercise its march-in rights if it determines that action is necessary because we fail to achieve practical application of the government-funded technology, because action is necessary to alleviate health or safety needs, to meet requirements of federal regulations, or to give preference to U.S. industry. In addition, our rights in such inventions may be subject to certain requirements to manufacture products embodying such inventions in the United States. Any of the foregoing could harm our competitive position, business, financial condition, results of operations and prospects.</w:t>
      </w:r>
    </w:p>
    <w:p>
      <w:pPr>
        <w:spacing w:after="0" w:line="326"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We may be subject to claims by third parties asserting that we or our employees have infringed upon, misappropriated or otherwise violated their intellectual property rights, or claiming ownership of what we regard as our own intellectual property.</w:t>
      </w:r>
    </w:p>
    <w:p>
      <w:pPr>
        <w:spacing w:after="0" w:line="76" w:lineRule="exact"/>
        <w:rPr>
          <w:sz w:val="20"/>
          <w:szCs w:val="20"/>
          <w:color w:val="auto"/>
        </w:rPr>
      </w:pPr>
    </w:p>
    <w:p>
      <w:pPr>
        <w:jc w:val="both"/>
        <w:ind w:right="20" w:firstLine="720"/>
        <w:spacing w:after="0" w:line="258" w:lineRule="auto"/>
        <w:rPr>
          <w:sz w:val="20"/>
          <w:szCs w:val="20"/>
          <w:color w:val="auto"/>
        </w:rPr>
      </w:pPr>
      <w:r>
        <w:rPr>
          <w:rFonts w:ascii="Times New Roman" w:cs="Times New Roman" w:eastAsia="Times New Roman" w:hAnsi="Times New Roman"/>
          <w:sz w:val="20"/>
          <w:szCs w:val="20"/>
          <w:color w:val="auto"/>
        </w:rPr>
        <w:t>Many of our employees were previously employed at other biotechnology or pharmaceutical companies. Although we try to ensure that our employees, consultants and advisors do not use the proprietary information or know-how of others in their work for us, we may be subject to claims that we or these individuals have used or disclosed intellectual property, including trade secrets or other proprietary information, of any such individual’s former employer. Litigation may be necessary to defend against these claims.</w:t>
      </w:r>
    </w:p>
    <w:p>
      <w:pPr>
        <w:spacing w:after="0" w:line="204" w:lineRule="exact"/>
        <w:rPr>
          <w:sz w:val="20"/>
          <w:szCs w:val="20"/>
          <w:color w:val="auto"/>
        </w:rPr>
      </w:pPr>
    </w:p>
    <w:p>
      <w:pPr>
        <w:jc w:val="both"/>
        <w:ind w:right="20" w:firstLine="720"/>
        <w:spacing w:after="0" w:line="255" w:lineRule="auto"/>
        <w:rPr>
          <w:sz w:val="20"/>
          <w:szCs w:val="20"/>
          <w:color w:val="auto"/>
        </w:rPr>
      </w:pPr>
      <w:r>
        <w:rPr>
          <w:rFonts w:ascii="Times New Roman" w:cs="Times New Roman" w:eastAsia="Times New Roman" w:hAnsi="Times New Roman"/>
          <w:sz w:val="20"/>
          <w:szCs w:val="20"/>
          <w:color w:val="auto"/>
        </w:rPr>
        <w:t>In addition, we or our licensors may be subject to claims that former employees, collaborators, or other third parties have an interest in our owned or in-licensed patents or other intellectual property as an inventor or co-inventor. While it is our policy to require our employees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Our and their assignment agreements may not be self-executing or may be breached, and we may be forced to bring claims against third parties, or defend claims they may bring against us, to determine the ownership of what we regard as our intellectual property.</w:t>
      </w:r>
    </w:p>
    <w:p>
      <w:pPr>
        <w:spacing w:after="0" w:line="200" w:lineRule="exact"/>
        <w:rPr>
          <w:sz w:val="20"/>
          <w:szCs w:val="20"/>
          <w:color w:val="auto"/>
        </w:rPr>
      </w:pPr>
    </w:p>
    <w:p>
      <w:pPr>
        <w:spacing w:after="0" w:line="250" w:lineRule="exact"/>
        <w:rPr>
          <w:sz w:val="20"/>
          <w:szCs w:val="20"/>
          <w:color w:val="auto"/>
        </w:rPr>
      </w:pPr>
    </w:p>
    <w:p>
      <w:pPr>
        <w:jc w:val="both"/>
        <w:ind w:right="20" w:firstLine="720"/>
        <w:spacing w:after="0" w:line="258" w:lineRule="auto"/>
        <w:rPr>
          <w:sz w:val="20"/>
          <w:szCs w:val="20"/>
          <w:color w:val="auto"/>
        </w:rPr>
      </w:pPr>
      <w:r>
        <w:rPr>
          <w:rFonts w:ascii="Times New Roman" w:cs="Times New Roman" w:eastAsia="Times New Roman" w:hAnsi="Times New Roman"/>
          <w:sz w:val="20"/>
          <w:szCs w:val="20"/>
          <w:color w:val="auto"/>
        </w:rPr>
        <w:t>If we fail in prosecuting or defending any such claims, in addition to paying monetary damages, we may lose valuable intellectual property rights or personnel. Even if we are successful in prosecuting or defending against such claims, litigation could result in substantial costs, delay development of our product candidates and be a distraction to management. Any of the foregoing events would harm our business, financial condition, results of operations and prospects.</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may not be able to protect our intellectual property rights throughout the world.</w:t>
      </w:r>
    </w:p>
    <w:p>
      <w:pPr>
        <w:spacing w:after="0" w:line="139" w:lineRule="exact"/>
        <w:rPr>
          <w:sz w:val="20"/>
          <w:szCs w:val="20"/>
          <w:color w:val="auto"/>
        </w:rPr>
      </w:pPr>
    </w:p>
    <w:p>
      <w:pPr>
        <w:jc w:val="both"/>
        <w:ind w:right="20" w:firstLine="720"/>
        <w:spacing w:after="0" w:line="253" w:lineRule="auto"/>
        <w:rPr>
          <w:sz w:val="20"/>
          <w:szCs w:val="20"/>
          <w:color w:val="auto"/>
        </w:rPr>
      </w:pPr>
      <w:r>
        <w:rPr>
          <w:rFonts w:ascii="Times New Roman" w:cs="Times New Roman" w:eastAsia="Times New Roman" w:hAnsi="Times New Roman"/>
          <w:sz w:val="20"/>
          <w:szCs w:val="20"/>
          <w:color w:val="auto"/>
        </w:rPr>
        <w:t>Filing, prosecuting, maintaining, defending and enforcing patents on our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drugs and may export otherwise infringing drugs to territories where we have patent protection, but enforcement rights are not as strong as those in the United States. These drugs may compete with our product candidates and our patents or other intellectual property rights may not be effective or sufficient to prevent them from competing.</w:t>
      </w:r>
    </w:p>
    <w:p>
      <w:pPr>
        <w:sectPr>
          <w:pgSz w:w="12240" w:h="15840" w:orient="portrait"/>
          <w:cols w:equalWidth="0" w:num="1">
            <w:col w:w="9900"/>
          </w:cols>
          <w:pgMar w:left="1180" w:top="208" w:right="1160" w:bottom="0" w:gutter="0" w:footer="0" w:header="0"/>
        </w:sectPr>
      </w:pPr>
    </w:p>
    <w:p>
      <w:pPr>
        <w:spacing w:after="0" w:line="200" w:lineRule="exact"/>
        <w:rPr>
          <w:sz w:val="20"/>
          <w:szCs w:val="20"/>
          <w:color w:val="auto"/>
        </w:rPr>
      </w:pPr>
    </w:p>
    <w:p>
      <w:pPr>
        <w:spacing w:after="0" w:line="34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74</w:t>
      </w:r>
    </w:p>
    <w:p>
      <w:pPr>
        <w:sectPr>
          <w:pgSz w:w="12240" w:h="15840" w:orient="portrait"/>
          <w:cols w:equalWidth="0" w:num="1">
            <w:col w:w="9900"/>
          </w:cols>
          <w:pgMar w:left="1180" w:top="208" w:right="1160" w:bottom="0" w:gutter="0" w:footer="0" w:header="0"/>
          <w:type w:val="continuous"/>
        </w:sectPr>
      </w:pPr>
    </w:p>
    <w:bookmarkStart w:id="74" w:name="page75"/>
    <w:bookmarkEnd w:id="74"/>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400" w:lineRule="exact"/>
        <w:rPr>
          <w:sz w:val="20"/>
          <w:szCs w:val="20"/>
          <w:color w:val="auto"/>
        </w:rPr>
      </w:pPr>
    </w:p>
    <w:p>
      <w:pPr>
        <w:jc w:val="both"/>
        <w:ind w:right="20" w:firstLine="720"/>
        <w:spacing w:after="0" w:line="255" w:lineRule="auto"/>
        <w:rPr>
          <w:sz w:val="20"/>
          <w:szCs w:val="20"/>
          <w:color w:val="auto"/>
        </w:rPr>
      </w:pPr>
      <w:r>
        <w:rPr>
          <w:rFonts w:ascii="Times New Roman" w:cs="Times New Roman" w:eastAsia="Times New Roman" w:hAnsi="Times New Roman"/>
          <w:sz w:val="20"/>
          <w:szCs w:val="20"/>
          <w:color w:val="auto"/>
        </w:rPr>
        <w:t>Many companies have encountered significant problems in protecting and defending intellectual property rights in foreign jurisdictions. The legal systems of some countries do not favor the enforcement of patents and other intellectual property protection, which could make it difficult for us to stop the infringement of our patents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w:t>
      </w:r>
    </w:p>
    <w:p>
      <w:pPr>
        <w:spacing w:after="0" w:line="210"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Many countries, including major European Union countries, India, Japan and China, have compulsory licensing laws under which a patent owner may be compelled under specified circumstances to grant licenses to third parties. In addition, many countries limit the enforceability of patents against government agencies or government contractors. In those countries, we may have limited remedies if patents are infringed or if we are compelled to grant a license to a third party, which could materially diminish the value of those patents. This could limit our potential revenue opportunities. Accordingly, our efforts to enforce our intellectual property rights around the world may be inadequate to obtain a significant commercial advantage from the intellectual property that we develop or license, which could adversely affect our business, financial condition, results of operations and prospects.</w:t>
      </w:r>
    </w:p>
    <w:p>
      <w:pPr>
        <w:spacing w:after="0" w:line="324"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A number of our programs and associated product candidates are heavily dependent on licensed intellectual property. If we were to lose our rights to licensed intellectual property, we may not be able to continue developing or commercializing our product candidates, if approved. If we breach any of the agreements under which we license the use, development and commercialization rights to our product candidates or technology from third parties or, in certain cases, we fail to meet certain development deadlines, we could lose license rights that are important to our business.</w:t>
      </w:r>
    </w:p>
    <w:p>
      <w:pPr>
        <w:spacing w:after="0" w:line="88" w:lineRule="exact"/>
        <w:rPr>
          <w:sz w:val="20"/>
          <w:szCs w:val="20"/>
          <w:color w:val="auto"/>
        </w:rPr>
      </w:pPr>
    </w:p>
    <w:p>
      <w:pPr>
        <w:jc w:val="both"/>
        <w:ind w:right="20" w:firstLine="720"/>
        <w:spacing w:after="0" w:line="253" w:lineRule="auto"/>
        <w:rPr>
          <w:sz w:val="20"/>
          <w:szCs w:val="20"/>
          <w:color w:val="auto"/>
        </w:rPr>
      </w:pPr>
      <w:r>
        <w:rPr>
          <w:rFonts w:ascii="Times New Roman" w:cs="Times New Roman" w:eastAsia="Times New Roman" w:hAnsi="Times New Roman"/>
          <w:sz w:val="20"/>
          <w:szCs w:val="20"/>
          <w:color w:val="auto"/>
        </w:rPr>
        <w:t>We are heavily reliant upon licenses to certain patent rights and other intellectual property from third parties that are important or necessary to the development of our product candidates. We may also need to obtain additional licenses to advance the development and commercialization of other product candidates we may develop. We expect that future license agreements will impose upon us, various development, regulatory and or commercial diligence obligations, payment of milestones and/or royalties and other obligations. If we fail to comply with our obligations under these agreements, or we are subject to a bankruptcy-related event, the licensor may have the right to terminate the license, in which event we would not be able to develop, market or otherwise commercialize products covered by the license, and in some instances, may be also obligated to transfer back to licensor our developments related to the licensed product and associated regulatory rights. Our business could suffer, for example, if any current or future licenses terminate, if the licensors fail to abide by the terms of the license, if the licensed patents or other rights are found to be invalid or unenforceable, or if we are unable to enter into necessary licenses on acceptable terms.</w:t>
      </w:r>
    </w:p>
    <w:p>
      <w:pPr>
        <w:spacing w:after="0" w:line="213" w:lineRule="exact"/>
        <w:rPr>
          <w:sz w:val="20"/>
          <w:szCs w:val="20"/>
          <w:color w:val="auto"/>
        </w:rPr>
      </w:pPr>
    </w:p>
    <w:p>
      <w:pPr>
        <w:jc w:val="both"/>
        <w:ind w:firstLine="720"/>
        <w:spacing w:after="0" w:line="260" w:lineRule="auto"/>
        <w:rPr>
          <w:sz w:val="20"/>
          <w:szCs w:val="20"/>
          <w:color w:val="auto"/>
        </w:rPr>
      </w:pPr>
      <w:r>
        <w:rPr>
          <w:rFonts w:ascii="Times New Roman" w:cs="Times New Roman" w:eastAsia="Times New Roman" w:hAnsi="Times New Roman"/>
          <w:sz w:val="20"/>
          <w:szCs w:val="20"/>
          <w:color w:val="auto"/>
        </w:rPr>
        <w:t>Licensing of intellectual property is of critical importance to our business and involves complex legal, business and scientific issues and certain provisions in intellectual property license agreements may be susceptible to multiple interpretations. Disputes may arise between us and our licensors regarding intellectual property subject to a license agreement, including:</w:t>
      </w:r>
    </w:p>
    <w:p>
      <w:pPr>
        <w:spacing w:after="0" w:line="83" w:lineRule="exact"/>
        <w:rPr>
          <w:sz w:val="20"/>
          <w:szCs w:val="20"/>
          <w:color w:val="auto"/>
        </w:rPr>
      </w:pPr>
    </w:p>
    <w:p>
      <w:pPr>
        <w:ind w:left="1080" w:hanging="370"/>
        <w:spacing w:after="0"/>
        <w:tabs>
          <w:tab w:leader="none" w:pos="108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scope of rights granted under the license agreement and other interpretation-related issues;</w:t>
      </w:r>
    </w:p>
    <w:p>
      <w:pPr>
        <w:spacing w:after="0" w:line="130" w:lineRule="exact"/>
        <w:rPr>
          <w:rFonts w:ascii="Times New Roman" w:cs="Times New Roman" w:eastAsia="Times New Roman" w:hAnsi="Times New Roman"/>
          <w:sz w:val="20"/>
          <w:szCs w:val="20"/>
          <w:color w:val="auto"/>
        </w:rPr>
      </w:pPr>
    </w:p>
    <w:p>
      <w:pPr>
        <w:ind w:left="1080" w:right="20" w:hanging="370"/>
        <w:spacing w:after="0" w:line="281" w:lineRule="auto"/>
        <w:tabs>
          <w:tab w:leader="none" w:pos="108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whether and the extent to which our technology and processes infringe on intellectual property of the licensor that is not subject to the licensing agreement;</w:t>
      </w:r>
    </w:p>
    <w:p>
      <w:pPr>
        <w:spacing w:after="0" w:line="61" w:lineRule="exact"/>
        <w:rPr>
          <w:rFonts w:ascii="Times New Roman" w:cs="Times New Roman" w:eastAsia="Times New Roman" w:hAnsi="Times New Roman"/>
          <w:sz w:val="20"/>
          <w:szCs w:val="20"/>
          <w:color w:val="auto"/>
        </w:rPr>
      </w:pPr>
    </w:p>
    <w:p>
      <w:pPr>
        <w:ind w:left="1080" w:hanging="370"/>
        <w:spacing w:after="0"/>
        <w:tabs>
          <w:tab w:leader="none" w:pos="108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right to transfer, assign, or sublicense patent and other rights to third parties;</w:t>
      </w:r>
    </w:p>
    <w:p>
      <w:pPr>
        <w:spacing w:after="0" w:line="130" w:lineRule="exact"/>
        <w:rPr>
          <w:rFonts w:ascii="Times New Roman" w:cs="Times New Roman" w:eastAsia="Times New Roman" w:hAnsi="Times New Roman"/>
          <w:sz w:val="20"/>
          <w:szCs w:val="20"/>
          <w:color w:val="auto"/>
        </w:rPr>
      </w:pPr>
    </w:p>
    <w:p>
      <w:pPr>
        <w:ind w:left="1080" w:right="20" w:hanging="370"/>
        <w:spacing w:after="0" w:line="281" w:lineRule="auto"/>
        <w:tabs>
          <w:tab w:leader="none" w:pos="108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diligence obligations with respect to the use of the licensed technology in relation to our development and commercialization of our product candidates, and what activities satisfy those diligence obligations;</w:t>
      </w:r>
    </w:p>
    <w:p>
      <w:pPr>
        <w:spacing w:after="0" w:line="61" w:lineRule="exact"/>
        <w:rPr>
          <w:rFonts w:ascii="Times New Roman" w:cs="Times New Roman" w:eastAsia="Times New Roman" w:hAnsi="Times New Roman"/>
          <w:sz w:val="20"/>
          <w:szCs w:val="20"/>
          <w:color w:val="auto"/>
        </w:rPr>
      </w:pPr>
    </w:p>
    <w:p>
      <w:pPr>
        <w:ind w:left="1080" w:right="20" w:hanging="370"/>
        <w:spacing w:after="0" w:line="281" w:lineRule="auto"/>
        <w:tabs>
          <w:tab w:leader="none" w:pos="108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ownership of inventions and know-how resulting from the joint creation or use of intellectual property by our licensors and us and our partners;</w:t>
      </w:r>
    </w:p>
    <w:p>
      <w:pPr>
        <w:spacing w:after="0" w:line="61" w:lineRule="exact"/>
        <w:rPr>
          <w:rFonts w:ascii="Times New Roman" w:cs="Times New Roman" w:eastAsia="Times New Roman" w:hAnsi="Times New Roman"/>
          <w:sz w:val="20"/>
          <w:szCs w:val="20"/>
          <w:color w:val="auto"/>
        </w:rPr>
      </w:pPr>
    </w:p>
    <w:p>
      <w:pPr>
        <w:ind w:left="1080" w:hanging="370"/>
        <w:spacing w:after="0"/>
        <w:tabs>
          <w:tab w:leader="none" w:pos="108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right to transfer or assign the license;</w:t>
      </w:r>
    </w:p>
    <w:p>
      <w:pPr>
        <w:spacing w:after="0" w:line="130" w:lineRule="exact"/>
        <w:rPr>
          <w:rFonts w:ascii="Times New Roman" w:cs="Times New Roman" w:eastAsia="Times New Roman" w:hAnsi="Times New Roman"/>
          <w:sz w:val="20"/>
          <w:szCs w:val="20"/>
          <w:color w:val="auto"/>
        </w:rPr>
      </w:pPr>
    </w:p>
    <w:p>
      <w:pPr>
        <w:ind w:left="1080" w:hanging="370"/>
        <w:spacing w:after="0"/>
        <w:tabs>
          <w:tab w:leader="none" w:pos="108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ability and effects of termination; and</w:t>
      </w:r>
    </w:p>
    <w:p>
      <w:pPr>
        <w:spacing w:after="0" w:line="130" w:lineRule="exact"/>
        <w:rPr>
          <w:rFonts w:ascii="Times New Roman" w:cs="Times New Roman" w:eastAsia="Times New Roman" w:hAnsi="Times New Roman"/>
          <w:sz w:val="20"/>
          <w:szCs w:val="20"/>
          <w:color w:val="auto"/>
        </w:rPr>
      </w:pPr>
    </w:p>
    <w:p>
      <w:pPr>
        <w:ind w:left="1080" w:hanging="370"/>
        <w:spacing w:after="0"/>
        <w:tabs>
          <w:tab w:leader="none" w:pos="108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restrictive covenants that may restrict our abilities to compete or market competing products.</w:t>
      </w:r>
    </w:p>
    <w:p>
      <w:pPr>
        <w:spacing w:after="0" w:line="250" w:lineRule="exact"/>
        <w:rPr>
          <w:sz w:val="20"/>
          <w:szCs w:val="20"/>
          <w:color w:val="auto"/>
        </w:rPr>
      </w:pPr>
    </w:p>
    <w:p>
      <w:pPr>
        <w:jc w:val="both"/>
        <w:ind w:right="20" w:firstLine="720"/>
        <w:spacing w:after="0" w:line="266" w:lineRule="auto"/>
        <w:rPr>
          <w:sz w:val="20"/>
          <w:szCs w:val="20"/>
          <w:color w:val="auto"/>
        </w:rPr>
      </w:pPr>
      <w:r>
        <w:rPr>
          <w:rFonts w:ascii="Times New Roman" w:cs="Times New Roman" w:eastAsia="Times New Roman" w:hAnsi="Times New Roman"/>
          <w:sz w:val="20"/>
          <w:szCs w:val="20"/>
          <w:color w:val="auto"/>
        </w:rPr>
        <w:t>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harm our business, financial condition, results of</w:t>
      </w:r>
    </w:p>
    <w:p>
      <w:pPr>
        <w:sectPr>
          <w:pgSz w:w="12240" w:h="15840" w:orient="portrait"/>
          <w:cols w:equalWidth="0" w:num="1">
            <w:col w:w="9900"/>
          </w:cols>
          <w:pgMar w:left="1180" w:top="208" w:right="1160" w:bottom="0" w:gutter="0" w:footer="0" w:header="0"/>
        </w:sectPr>
      </w:pPr>
    </w:p>
    <w:p>
      <w:pPr>
        <w:spacing w:after="0" w:line="200" w:lineRule="exact"/>
        <w:rPr>
          <w:sz w:val="20"/>
          <w:szCs w:val="20"/>
          <w:color w:val="auto"/>
        </w:rPr>
      </w:pPr>
    </w:p>
    <w:p>
      <w:pPr>
        <w:spacing w:after="0" w:line="3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75</w:t>
      </w:r>
    </w:p>
    <w:p>
      <w:pPr>
        <w:sectPr>
          <w:pgSz w:w="12240" w:h="15840" w:orient="portrait"/>
          <w:cols w:equalWidth="0" w:num="1">
            <w:col w:w="9900"/>
          </w:cols>
          <w:pgMar w:left="1180" w:top="208" w:right="1160" w:bottom="0" w:gutter="0" w:footer="0" w:header="0"/>
          <w:type w:val="continuous"/>
        </w:sectPr>
      </w:pPr>
    </w:p>
    <w:bookmarkStart w:id="75" w:name="page76"/>
    <w:bookmarkEnd w:id="75"/>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40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operations and prospects. Moreover, if disputes over intellectual property that we have licensed prevent or impair our ability to maintain our current licensing arrangements on acceptable terms, we may be unable to successfully develop and commercialize the affected product candidates.</w:t>
      </w:r>
    </w:p>
    <w:p>
      <w:pPr>
        <w:spacing w:after="0" w:line="195" w:lineRule="exact"/>
        <w:rPr>
          <w:sz w:val="20"/>
          <w:szCs w:val="20"/>
          <w:color w:val="auto"/>
        </w:rPr>
      </w:pPr>
    </w:p>
    <w:p>
      <w:pPr>
        <w:jc w:val="both"/>
        <w:ind w:firstLine="720"/>
        <w:spacing w:after="0" w:line="253" w:lineRule="auto"/>
        <w:rPr>
          <w:sz w:val="20"/>
          <w:szCs w:val="20"/>
          <w:color w:val="auto"/>
        </w:rPr>
      </w:pPr>
      <w:r>
        <w:rPr>
          <w:rFonts w:ascii="Times New Roman" w:cs="Times New Roman" w:eastAsia="Times New Roman" w:hAnsi="Times New Roman"/>
          <w:sz w:val="20"/>
          <w:szCs w:val="20"/>
          <w:color w:val="auto"/>
        </w:rPr>
        <w:t>We may enter into additional licenses to third-party intellectual property that are necessary or useful to our business. Our current licenses and any future licenses that we may enter into impose various fees, royalty payment, milestone and other obligations on us. Under some license agreements, we may not control prosecution of the licensed intellectual property, or may not have the first right to enforce the intellectual property. In those cases, we may not be able to adequately influence patent prosecution or enforcement, or prevent inadvertent lapses of coverage due to failure to pay maintenance fees. If we fail to comply with any of our obligations under a current or future license agreement, the licensor may allege that we have breached our license agreement, and may accordingly seek to terminate our license. Termination of any of our current or future licenses could result in our loss of the right to use the licensed intellectual property, which could materially adversely affect our ability to develop and commercialize a product candidate or product, if approved, as well as harm our competitive business position and our business prospects. Under some license agreements, termination may also result in the transfer or granting of rights under certain of our intellectual property and information related to the product candidate being developed under the license, such as regulatory information.</w:t>
      </w:r>
    </w:p>
    <w:p>
      <w:pPr>
        <w:spacing w:after="0" w:line="211" w:lineRule="exact"/>
        <w:rPr>
          <w:sz w:val="20"/>
          <w:szCs w:val="20"/>
          <w:color w:val="auto"/>
        </w:rPr>
      </w:pPr>
    </w:p>
    <w:p>
      <w:pPr>
        <w:jc w:val="both"/>
        <w:ind w:right="20" w:firstLine="720"/>
        <w:spacing w:after="0" w:line="260" w:lineRule="auto"/>
        <w:rPr>
          <w:sz w:val="20"/>
          <w:szCs w:val="20"/>
          <w:color w:val="auto"/>
        </w:rPr>
      </w:pPr>
      <w:r>
        <w:rPr>
          <w:rFonts w:ascii="Times New Roman" w:cs="Times New Roman" w:eastAsia="Times New Roman" w:hAnsi="Times New Roman"/>
          <w:sz w:val="20"/>
          <w:szCs w:val="20"/>
          <w:color w:val="auto"/>
        </w:rPr>
        <w:t>In addition, if our licensors fail to abide by the terms of the license, if the licensors fail to prevent infringement by third parties, if the licensed patents or other rights are found to be invalid or unenforceable, or if we are unable to enter into necessary licenses on acceptable terms, our business, competitive position, financial condition, results of operations and prospects could be materially harmed.</w:t>
      </w:r>
    </w:p>
    <w:p>
      <w:pPr>
        <w:spacing w:after="0" w:line="314"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20"/>
          <w:szCs w:val="20"/>
          <w:b w:val="1"/>
          <w:bCs w:val="1"/>
          <w:i w:val="1"/>
          <w:iCs w:val="1"/>
          <w:color w:val="auto"/>
        </w:rPr>
        <w:t>Patent terms may be inadequate to protect our competitive position on our product candidates for an adequate amount of time. If we are not able to obtain patent term extension or non-patent exclusivity in the United States under the Hatch-Waxman Act and in foreign countries under similar legislation, thereby potentially extending the marketing exclusivity term of our product candidates, our business may be materially harmed.</w:t>
      </w:r>
    </w:p>
    <w:p>
      <w:pPr>
        <w:spacing w:after="0" w:line="81" w:lineRule="exact"/>
        <w:rPr>
          <w:sz w:val="20"/>
          <w:szCs w:val="20"/>
          <w:color w:val="auto"/>
        </w:rPr>
      </w:pPr>
    </w:p>
    <w:p>
      <w:pPr>
        <w:jc w:val="both"/>
        <w:ind w:right="20" w:firstLine="720"/>
        <w:spacing w:after="0" w:line="254" w:lineRule="auto"/>
        <w:rPr>
          <w:sz w:val="20"/>
          <w:szCs w:val="20"/>
          <w:color w:val="auto"/>
        </w:rPr>
      </w:pPr>
      <w:r>
        <w:rPr>
          <w:rFonts w:ascii="Times New Roman" w:cs="Times New Roman" w:eastAsia="Times New Roman" w:hAnsi="Times New Roman"/>
          <w:sz w:val="20"/>
          <w:szCs w:val="20"/>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for a product candidate, we may be open to competition from competitive medications, including generic medications. Given the amount of time required for the development, testing and regulatory review of new product candidates, patents protecting such product candidates might expire before or shortly after such product candidates are commercialized. As a result, our owned and licensed patent portfolio may not provide us with sufficient rights to exclude others from commercializing product candidates similar or identical to ours.</w:t>
      </w:r>
    </w:p>
    <w:p>
      <w:pPr>
        <w:spacing w:after="0" w:line="213" w:lineRule="exact"/>
        <w:rPr>
          <w:sz w:val="20"/>
          <w:szCs w:val="20"/>
          <w:color w:val="auto"/>
        </w:rPr>
      </w:pPr>
    </w:p>
    <w:p>
      <w:pPr>
        <w:jc w:val="both"/>
        <w:ind w:right="20" w:firstLine="720"/>
        <w:spacing w:after="0" w:line="260" w:lineRule="auto"/>
        <w:rPr>
          <w:sz w:val="20"/>
          <w:szCs w:val="20"/>
          <w:color w:val="auto"/>
        </w:rPr>
      </w:pPr>
      <w:r>
        <w:rPr>
          <w:rFonts w:ascii="Times New Roman" w:cs="Times New Roman" w:eastAsia="Times New Roman" w:hAnsi="Times New Roman"/>
          <w:sz w:val="20"/>
          <w:szCs w:val="20"/>
          <w:color w:val="auto"/>
        </w:rPr>
        <w:t>Our in-licensed patents may expire before, or soon after, our first product achieves marketing approval in the United States or foreign jurisdictions. Upon the expiration of our current patents, we may lose the right to exclude others from practicing these inventions. The expiration of these patents could also have a similar material adverse effect on our business, financial condition, prospects and results of operations.</w:t>
      </w:r>
    </w:p>
    <w:p>
      <w:pPr>
        <w:spacing w:after="0" w:line="203" w:lineRule="exact"/>
        <w:rPr>
          <w:sz w:val="20"/>
          <w:szCs w:val="20"/>
          <w:color w:val="auto"/>
        </w:rPr>
      </w:pPr>
    </w:p>
    <w:p>
      <w:pPr>
        <w:jc w:val="both"/>
        <w:ind w:right="20" w:firstLine="720"/>
        <w:spacing w:after="0" w:line="260" w:lineRule="auto"/>
        <w:rPr>
          <w:sz w:val="20"/>
          <w:szCs w:val="20"/>
          <w:color w:val="auto"/>
        </w:rPr>
      </w:pPr>
      <w:r>
        <w:rPr>
          <w:rFonts w:ascii="Times New Roman" w:cs="Times New Roman" w:eastAsia="Times New Roman" w:hAnsi="Times New Roman"/>
          <w:sz w:val="20"/>
          <w:szCs w:val="20"/>
          <w:color w:val="auto"/>
        </w:rPr>
        <w:t>With respect to our biologics products, we hope to take advantage of enhanced regulatory exclusivity periods, such as the 12 years of regulatory exclusivity available to biologics manufacturers under the Biologics Competition and Innovation Act of 2009. However, despite these measures, we may still lose the right the exclude others from practicing these inventions, which may negatively impact our business.</w:t>
      </w:r>
    </w:p>
    <w:p>
      <w:pPr>
        <w:spacing w:after="0" w:line="203" w:lineRule="exact"/>
        <w:rPr>
          <w:sz w:val="20"/>
          <w:szCs w:val="20"/>
          <w:color w:val="auto"/>
        </w:rPr>
      </w:pPr>
    </w:p>
    <w:p>
      <w:pPr>
        <w:jc w:val="both"/>
        <w:ind w:firstLine="720"/>
        <w:spacing w:after="0" w:line="253" w:lineRule="auto"/>
        <w:rPr>
          <w:sz w:val="20"/>
          <w:szCs w:val="20"/>
          <w:color w:val="auto"/>
        </w:rPr>
      </w:pPr>
      <w:r>
        <w:rPr>
          <w:rFonts w:ascii="Times New Roman" w:cs="Times New Roman" w:eastAsia="Times New Roman" w:hAnsi="Times New Roman"/>
          <w:sz w:val="20"/>
          <w:szCs w:val="20"/>
          <w:color w:val="auto"/>
        </w:rPr>
        <w:t>Depending upon the timing, duration and conditions of any FDA marketing approval of our product candidates, one or more of our U.S. patents may be eligible for limited patent term extension under the Drug Price Competition and Patent Term Restoration Act of 1984, referred to as the Hatch-Waxman Amendments, and similar legislation in the European Union. The Hatch-Waxman Amendments permit a patent term extension of up to five years for a patent covering an approved product as compensation for effective patent term lost during product development and the FDA regulatory review process. However, we may not receive an extension if we fail to exercise due diligence during the testing phase or regulatory review process, fail to apply within applicable deadlines, fail to apply prior to expiration of relevant patents or otherwise fail to satisfy applicable requirements. Moreover, the length of the extension could be less than we request. Only one patent per approved product can be extended, the extension cannot extend the total patent term beyond 14 years from approval and only those claims covering the approved drug, a method for using it or a method for manufacturing it may be extended. If we are unable to obtain patent term extension or the term of any such extension is less than we request, the period during which we can enforce our patent rights for the applicable product candidate will be shortened and our</w:t>
      </w:r>
    </w:p>
    <w:p>
      <w:pPr>
        <w:sectPr>
          <w:pgSz w:w="12240" w:h="15840" w:orient="portrait"/>
          <w:cols w:equalWidth="0" w:num="1">
            <w:col w:w="9900"/>
          </w:cols>
          <w:pgMar w:left="1180" w:top="208" w:right="1160" w:bottom="0" w:gutter="0" w:footer="0" w:header="0"/>
        </w:sectPr>
      </w:pPr>
    </w:p>
    <w:p>
      <w:pPr>
        <w:spacing w:after="0" w:line="200" w:lineRule="exact"/>
        <w:rPr>
          <w:sz w:val="20"/>
          <w:szCs w:val="20"/>
          <w:color w:val="auto"/>
        </w:rPr>
      </w:pPr>
    </w:p>
    <w:p>
      <w:pPr>
        <w:spacing w:after="0" w:line="3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76</w:t>
      </w:r>
    </w:p>
    <w:p>
      <w:pPr>
        <w:sectPr>
          <w:pgSz w:w="12240" w:h="15840" w:orient="portrait"/>
          <w:cols w:equalWidth="0" w:num="1">
            <w:col w:w="9900"/>
          </w:cols>
          <w:pgMar w:left="1180" w:top="208" w:right="1160" w:bottom="0" w:gutter="0" w:footer="0" w:header="0"/>
          <w:type w:val="continuous"/>
        </w:sectPr>
      </w:pPr>
    </w:p>
    <w:bookmarkStart w:id="76" w:name="page77"/>
    <w:bookmarkEnd w:id="76"/>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400"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competitors may obtain approval to market competing products sooner. As a result, our revenue from applicable products could be reduced. Further, if this occurs, our competitors may take advantage of our investment in development and trials by referencing our clinical and preclinical data and launch their product earlier than might otherwise be the case, and our competitive position, business, financial condition, results of operations and prospects could be materially harmed.</w:t>
      </w:r>
    </w:p>
    <w:p>
      <w:pPr>
        <w:spacing w:after="0" w:line="314"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Changes in patent law could diminish the value of patents in general, thereby impairing our ability to protect our product candidates.</w:t>
      </w:r>
    </w:p>
    <w:p>
      <w:pPr>
        <w:spacing w:after="0" w:line="57" w:lineRule="exact"/>
        <w:rPr>
          <w:sz w:val="20"/>
          <w:szCs w:val="20"/>
          <w:color w:val="auto"/>
        </w:rPr>
      </w:pPr>
    </w:p>
    <w:p>
      <w:pPr>
        <w:jc w:val="both"/>
        <w:ind w:right="20" w:firstLine="720"/>
        <w:spacing w:after="0" w:line="254" w:lineRule="auto"/>
        <w:rPr>
          <w:sz w:val="20"/>
          <w:szCs w:val="20"/>
          <w:color w:val="auto"/>
        </w:rPr>
      </w:pPr>
      <w:r>
        <w:rPr>
          <w:rFonts w:ascii="Times New Roman" w:cs="Times New Roman" w:eastAsia="Times New Roman" w:hAnsi="Times New Roman"/>
          <w:sz w:val="20"/>
          <w:szCs w:val="20"/>
          <w:color w:val="auto"/>
        </w:rPr>
        <w:t>Obtaining and enforcing patents in the pharmaceutical industry is inherently uncertain, due in part to ongoing changes in the patent laws. Depending on decisions by Congress, the federal courts, and the USPTO, the laws and regulations governing patents, and interpretation thereof, could change in unpredictable ways that could weaken our and our licensors’ or collaborators’ ability to obtain new patents or to enforce existing or future patents. For example, the Supreme Court has ruled on several patent cases in recent years, either narrowing the scope of patent protection available in certain circumstances or weakening the rights of patent owners in certain situations. Therefore, there is increased uncertainty with regard to our and our licensors’ or collaborators’ ability to obtain patents in the future, as well as uncertainty with respect to the value of patents once obtained.</w:t>
      </w:r>
    </w:p>
    <w:p>
      <w:pPr>
        <w:spacing w:after="0" w:line="213"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Recent patent reform legislation could increase the uncertainties and costs surrounding the prosecution of our and our licensors’ or collaborators’ patent applications and the enforcement or defense of our or our licensors’ or collaborators’ issued patents. Assuming that other requirements for patentability are met, prior to March 2013, in the United States, the first to invent the claimed invention was entitled to the patent, while outside the United States, the first to file a patent application was entitled to the patent. After March 2013, under the Leahy-Smith America Invents Act (the “Leahy-Smith Act”), enacted in September 2011, the United States transitioned to a first inventor to file system in which, assuming that other requirements for patentability are met, the first inventor to file a patent application will be entitled to the patent on an invention regardless of whether a third party was the first to invent the claimed invention. The Leahy-Smith Act also includes a number of significant changes that affect the way patent applications are prosecuted and may also affect patent litigation. These include allowing third party submission of prior art to the USPTO during patent prosecution and additional procedures to attack the validity of a patent by USPTO-administered post-grant proceedings, including post-grant review, inter partes review and derivation proceedings. The USPTO recently developed new regulations and procedures to govern administration of the Leahy-Smith Act, and many of the substantive changes to patent law associated with the Leahy-Smith Act, particularly the first inventor-to-file provisions. Accordingly, it is not clear what, if any, impact the Leahy-Smith Act will have on the operation of our business. However, the Leahy-Smith Act and its implementation could increase the uncertainties and costs surrounding the prosecution of our or our licensors’ patent applications and the enforcement or defense of our or our licensors’ issued patents, all of which could harm our business, financial condition, results of operations and prospects.</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Intellectual property rights do not necessarily address all potential threats.</w:t>
      </w:r>
    </w:p>
    <w:p>
      <w:pPr>
        <w:spacing w:after="0" w:line="139" w:lineRule="exact"/>
        <w:rPr>
          <w:sz w:val="20"/>
          <w:szCs w:val="20"/>
          <w:color w:val="auto"/>
        </w:rPr>
      </w:pPr>
    </w:p>
    <w:p>
      <w:pPr>
        <w:jc w:val="both"/>
        <w:ind w:right="20" w:firstLine="720"/>
        <w:spacing w:after="0" w:line="266" w:lineRule="auto"/>
        <w:rPr>
          <w:sz w:val="20"/>
          <w:szCs w:val="20"/>
          <w:color w:val="auto"/>
        </w:rPr>
      </w:pPr>
      <w:r>
        <w:rPr>
          <w:rFonts w:ascii="Times New Roman" w:cs="Times New Roman" w:eastAsia="Times New Roman" w:hAnsi="Times New Roman"/>
          <w:sz w:val="20"/>
          <w:szCs w:val="20"/>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75" w:lineRule="exact"/>
        <w:rPr>
          <w:sz w:val="20"/>
          <w:szCs w:val="20"/>
          <w:color w:val="auto"/>
        </w:rPr>
      </w:pPr>
    </w:p>
    <w:p>
      <w:pPr>
        <w:jc w:val="both"/>
        <w:ind w:left="1080" w:hanging="370"/>
        <w:spacing w:after="0" w:line="266" w:lineRule="auto"/>
        <w:tabs>
          <w:tab w:leader="none" w:pos="108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others may be able to make products that are similar to any product candidates we may develop or utilize similar technology but that are not covered by the claims of the patents that we license or may own in the future;</w:t>
      </w:r>
    </w:p>
    <w:p>
      <w:pPr>
        <w:spacing w:after="0" w:line="75" w:lineRule="exact"/>
        <w:rPr>
          <w:rFonts w:ascii="Times New Roman" w:cs="Times New Roman" w:eastAsia="Times New Roman" w:hAnsi="Times New Roman"/>
          <w:sz w:val="20"/>
          <w:szCs w:val="20"/>
          <w:color w:val="auto"/>
        </w:rPr>
      </w:pPr>
    </w:p>
    <w:p>
      <w:pPr>
        <w:ind w:left="1080" w:right="20" w:hanging="370"/>
        <w:spacing w:after="0" w:line="281" w:lineRule="auto"/>
        <w:tabs>
          <w:tab w:leader="none" w:pos="108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or our current or future licensors might not have been the first to make the inventions covered by the issued patent or pending patent application that we license or may own in the future;</w:t>
      </w:r>
    </w:p>
    <w:p>
      <w:pPr>
        <w:spacing w:after="0" w:line="61" w:lineRule="exact"/>
        <w:rPr>
          <w:rFonts w:ascii="Times New Roman" w:cs="Times New Roman" w:eastAsia="Times New Roman" w:hAnsi="Times New Roman"/>
          <w:sz w:val="20"/>
          <w:szCs w:val="20"/>
          <w:color w:val="auto"/>
        </w:rPr>
      </w:pPr>
    </w:p>
    <w:p>
      <w:pPr>
        <w:ind w:left="1080" w:right="20" w:hanging="370"/>
        <w:spacing w:after="0" w:line="281" w:lineRule="auto"/>
        <w:tabs>
          <w:tab w:leader="none" w:pos="108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or our current or future licensors might not have been the first to file patent applications covering certain of our or their inventions;</w:t>
      </w:r>
    </w:p>
    <w:p>
      <w:pPr>
        <w:spacing w:after="0" w:line="61" w:lineRule="exact"/>
        <w:rPr>
          <w:rFonts w:ascii="Times New Roman" w:cs="Times New Roman" w:eastAsia="Times New Roman" w:hAnsi="Times New Roman"/>
          <w:sz w:val="20"/>
          <w:szCs w:val="20"/>
          <w:color w:val="auto"/>
        </w:rPr>
      </w:pPr>
    </w:p>
    <w:p>
      <w:pPr>
        <w:ind w:left="1080" w:hanging="370"/>
        <w:spacing w:after="0" w:line="281" w:lineRule="auto"/>
        <w:tabs>
          <w:tab w:leader="none" w:pos="108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others may independently develop similar or alternative technologies or duplicate any of our technologies without infringing our owned or licensed intellectual property rights;</w:t>
      </w:r>
    </w:p>
    <w:p>
      <w:pPr>
        <w:spacing w:after="0" w:line="61" w:lineRule="exact"/>
        <w:rPr>
          <w:rFonts w:ascii="Times New Roman" w:cs="Times New Roman" w:eastAsia="Times New Roman" w:hAnsi="Times New Roman"/>
          <w:sz w:val="20"/>
          <w:szCs w:val="20"/>
          <w:color w:val="auto"/>
        </w:rPr>
      </w:pPr>
    </w:p>
    <w:p>
      <w:pPr>
        <w:ind w:left="1080" w:right="20" w:hanging="370"/>
        <w:spacing w:after="0" w:line="281" w:lineRule="auto"/>
        <w:tabs>
          <w:tab w:leader="none" w:pos="108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is possible that our pending owned or licensed patent applications or those that we may own or license in the future will not lead to issued patents;</w:t>
      </w:r>
    </w:p>
    <w:p>
      <w:pPr>
        <w:spacing w:after="0" w:line="61" w:lineRule="exact"/>
        <w:rPr>
          <w:rFonts w:ascii="Times New Roman" w:cs="Times New Roman" w:eastAsia="Times New Roman" w:hAnsi="Times New Roman"/>
          <w:sz w:val="20"/>
          <w:szCs w:val="20"/>
          <w:color w:val="auto"/>
        </w:rPr>
      </w:pPr>
    </w:p>
    <w:p>
      <w:pPr>
        <w:ind w:left="1080" w:right="20" w:hanging="370"/>
        <w:spacing w:after="0" w:line="281" w:lineRule="auto"/>
        <w:tabs>
          <w:tab w:leader="none" w:pos="108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issued patents that we hold rights to may be held invalid or unenforceable, including as a result of legal challenges by our competitors;</w:t>
      </w:r>
    </w:p>
    <w:p>
      <w:pPr>
        <w:sectPr>
          <w:pgSz w:w="12240" w:h="15840" w:orient="portrait"/>
          <w:cols w:equalWidth="0" w:num="1">
            <w:col w:w="9900"/>
          </w:cols>
          <w:pgMar w:left="1180" w:top="20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77</w:t>
      </w:r>
    </w:p>
    <w:p>
      <w:pPr>
        <w:sectPr>
          <w:pgSz w:w="12240" w:h="15840" w:orient="portrait"/>
          <w:cols w:equalWidth="0" w:num="1">
            <w:col w:w="9900"/>
          </w:cols>
          <w:pgMar w:left="1180" w:top="208" w:right="1160" w:bottom="0" w:gutter="0" w:footer="0" w:header="0"/>
          <w:type w:val="continuous"/>
        </w:sectPr>
      </w:pPr>
    </w:p>
    <w:bookmarkStart w:id="77" w:name="page78"/>
    <w:bookmarkEnd w:id="77"/>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400" w:lineRule="exact"/>
        <w:rPr>
          <w:sz w:val="20"/>
          <w:szCs w:val="20"/>
          <w:color w:val="auto"/>
        </w:rPr>
      </w:pPr>
    </w:p>
    <w:p>
      <w:pPr>
        <w:jc w:val="both"/>
        <w:ind w:left="1080" w:right="20" w:hanging="370"/>
        <w:spacing w:after="0" w:line="266" w:lineRule="auto"/>
        <w:tabs>
          <w:tab w:leader="none" w:pos="108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75" w:lineRule="exact"/>
        <w:rPr>
          <w:rFonts w:ascii="Times New Roman" w:cs="Times New Roman" w:eastAsia="Times New Roman" w:hAnsi="Times New Roman"/>
          <w:sz w:val="20"/>
          <w:szCs w:val="20"/>
          <w:color w:val="auto"/>
        </w:rPr>
      </w:pPr>
    </w:p>
    <w:p>
      <w:pPr>
        <w:ind w:left="1080" w:hanging="370"/>
        <w:spacing w:after="0"/>
        <w:tabs>
          <w:tab w:leader="none" w:pos="108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not develop additional proprietary technologies that are patentable;</w:t>
      </w:r>
    </w:p>
    <w:p>
      <w:pPr>
        <w:spacing w:after="0" w:line="130" w:lineRule="exact"/>
        <w:rPr>
          <w:rFonts w:ascii="Times New Roman" w:cs="Times New Roman" w:eastAsia="Times New Roman" w:hAnsi="Times New Roman"/>
          <w:sz w:val="20"/>
          <w:szCs w:val="20"/>
          <w:color w:val="auto"/>
        </w:rPr>
      </w:pPr>
    </w:p>
    <w:p>
      <w:pPr>
        <w:ind w:left="1080" w:hanging="370"/>
        <w:spacing w:after="0"/>
        <w:tabs>
          <w:tab w:leader="none" w:pos="108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patents of others may harm our business; and</w:t>
      </w:r>
    </w:p>
    <w:p>
      <w:pPr>
        <w:spacing w:after="0" w:line="130" w:lineRule="exact"/>
        <w:rPr>
          <w:rFonts w:ascii="Times New Roman" w:cs="Times New Roman" w:eastAsia="Times New Roman" w:hAnsi="Times New Roman"/>
          <w:sz w:val="20"/>
          <w:szCs w:val="20"/>
          <w:color w:val="auto"/>
        </w:rPr>
      </w:pPr>
    </w:p>
    <w:p>
      <w:pPr>
        <w:ind w:left="1080" w:right="20" w:hanging="370"/>
        <w:spacing w:after="0" w:line="281" w:lineRule="auto"/>
        <w:tabs>
          <w:tab w:leader="none" w:pos="108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choose not to file a patent in order to maintain certain trade secrets or know-how, and a third party may subsequently file a patent covering such intellectual property.</w:t>
      </w:r>
    </w:p>
    <w:p>
      <w:pPr>
        <w:spacing w:after="0" w:line="181" w:lineRule="exact"/>
        <w:rPr>
          <w:sz w:val="20"/>
          <w:szCs w:val="20"/>
          <w:color w:val="auto"/>
        </w:rPr>
      </w:pPr>
    </w:p>
    <w:p>
      <w:pPr>
        <w:jc w:val="both"/>
        <w:ind w:firstLine="720"/>
        <w:spacing w:after="0" w:line="281" w:lineRule="auto"/>
        <w:rPr>
          <w:sz w:val="20"/>
          <w:szCs w:val="20"/>
          <w:color w:val="auto"/>
        </w:rPr>
      </w:pPr>
      <w:r>
        <w:rPr>
          <w:rFonts w:ascii="Times New Roman" w:cs="Times New Roman" w:eastAsia="Times New Roman" w:hAnsi="Times New Roman"/>
          <w:sz w:val="20"/>
          <w:szCs w:val="20"/>
          <w:color w:val="auto"/>
        </w:rPr>
        <w:t>Should any of these events occur, they could harm our business, financial condition, results of operations and prospects.</w:t>
      </w:r>
    </w:p>
    <w:p>
      <w:pPr>
        <w:spacing w:after="0" w:line="292"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76" w:lineRule="exact"/>
        <w:rPr>
          <w:sz w:val="20"/>
          <w:szCs w:val="20"/>
          <w:color w:val="auto"/>
        </w:rPr>
      </w:pPr>
    </w:p>
    <w:p>
      <w:pPr>
        <w:jc w:val="both"/>
        <w:ind w:firstLine="720"/>
        <w:spacing w:after="0" w:line="253" w:lineRule="auto"/>
        <w:rPr>
          <w:sz w:val="20"/>
          <w:szCs w:val="20"/>
          <w:color w:val="auto"/>
        </w:rPr>
      </w:pPr>
      <w:r>
        <w:rPr>
          <w:rFonts w:ascii="Times New Roman" w:cs="Times New Roman" w:eastAsia="Times New Roman" w:hAnsi="Times New Roman"/>
          <w:sz w:val="20"/>
          <w:szCs w:val="20"/>
          <w:color w:val="auto"/>
        </w:rPr>
        <w:t>Periodic maintenance fees, renewal fees, annuity fees and various other governmental fees on patents and/or applications will be due to be paid to the USPTO and various governmental patent agencies outside of the United States in several stages over the lifetime of the patents and/or applications. We have systems in place to remind us to pay these fees, and we employ an outside firm and rely on our outside counsel to pay these fees due to non-U.S. patent agencies. The USPTO and various non-U.S. governmental patent agencies require compliance with a number of procedural, documentary, fee payment and other similar provisions during the patent application process. We employ reputable law firms and other professionals to help us comply, and in many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In such an event, our competitors might be able to enter the market and this circumstance would have a material adverse effect on our business.</w:t>
      </w:r>
    </w:p>
    <w:p>
      <w:pPr>
        <w:spacing w:after="0" w:line="324"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We engage consultants employed by academic institutions in jurisdictions that contain inventorship laws mandating that any inventions developed by such consultants while performing consultancy services automatically or otherwise shall reside in the employing institution and granting such institutions the first right to develop and/or commercialize such inventions. We may not be able to secure rights (whether through ownership or license interest) in inventions developed by such consultants during performance of consulting services for our companies.</w:t>
      </w:r>
    </w:p>
    <w:p>
      <w:pPr>
        <w:spacing w:after="0" w:line="88"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We enter into confidentiality and intellectual property assignment agreements with our employees, consultants, outside scientific collaborators, sponsored researchers and other advisors. These agreements generally provide that inventions conceived by the party in the course of rendering services to us will be our exclusive property. However, these agreements may not be honored and may not effectively assign intellectual property rights to us. For example, even if we have a consulting agreement in place with an academic advisor pursuant to which such academic advisor is required to assign any inventions developed in connection with providing services to us, such academic advisor may not have the right to assign such inventions to us, as it may conflict with his or her obligations to assign their intellectual property to his or her employing institution.</w:t>
      </w:r>
    </w:p>
    <w:p>
      <w:pPr>
        <w:spacing w:after="0" w:line="213" w:lineRule="exact"/>
        <w:rPr>
          <w:sz w:val="20"/>
          <w:szCs w:val="20"/>
          <w:color w:val="auto"/>
        </w:rPr>
      </w:pPr>
    </w:p>
    <w:p>
      <w:pPr>
        <w:jc w:val="both"/>
        <w:ind w:right="20" w:firstLine="720"/>
        <w:spacing w:after="0" w:line="255" w:lineRule="auto"/>
        <w:rPr>
          <w:sz w:val="20"/>
          <w:szCs w:val="20"/>
          <w:color w:val="auto"/>
        </w:rPr>
      </w:pPr>
      <w:r>
        <w:rPr>
          <w:rFonts w:ascii="Times New Roman" w:cs="Times New Roman" w:eastAsia="Times New Roman" w:hAnsi="Times New Roman"/>
          <w:sz w:val="20"/>
          <w:szCs w:val="20"/>
          <w:color w:val="auto"/>
        </w:rPr>
        <w:t>Despite our undertaking of the measures listed above, we may be subject to claims challenging the inventorship or ownership of our patents and other intellectual property and may be subject to further claims in the future. Litigation may be necessary to defend against claims challenging inventorship or ownership.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ectPr>
          <w:pgSz w:w="12240" w:h="15840" w:orient="portrait"/>
          <w:cols w:equalWidth="0" w:num="1">
            <w:col w:w="9900"/>
          </w:cols>
          <w:pgMar w:left="1180" w:top="20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78</w:t>
      </w:r>
    </w:p>
    <w:p>
      <w:pPr>
        <w:sectPr>
          <w:pgSz w:w="12240" w:h="15840" w:orient="portrait"/>
          <w:cols w:equalWidth="0" w:num="1">
            <w:col w:w="9900"/>
          </w:cols>
          <w:pgMar w:left="1180" w:top="208" w:right="1160" w:bottom="0" w:gutter="0" w:footer="0" w:header="0"/>
          <w:type w:val="continuous"/>
        </w:sectPr>
      </w:pPr>
    </w:p>
    <w:bookmarkStart w:id="78" w:name="page79"/>
    <w:bookmarkEnd w:id="78"/>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Commercialization</w:t>
      </w:r>
    </w:p>
    <w:p>
      <w:pPr>
        <w:spacing w:after="0" w:line="12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We have never commercialized a product candidate and we may lack the necessary expertise, personnel and resources to successfully commercialize any of our products that receive regulatory approval on our own or together with collaborators.</w:t>
      </w:r>
    </w:p>
    <w:p>
      <w:pPr>
        <w:spacing w:after="0" w:line="76" w:lineRule="exact"/>
        <w:rPr>
          <w:sz w:val="20"/>
          <w:szCs w:val="20"/>
          <w:color w:val="auto"/>
        </w:rPr>
      </w:pPr>
    </w:p>
    <w:p>
      <w:pPr>
        <w:jc w:val="both"/>
        <w:ind w:right="20" w:firstLine="720"/>
        <w:spacing w:after="0" w:line="258" w:lineRule="auto"/>
        <w:rPr>
          <w:sz w:val="20"/>
          <w:szCs w:val="20"/>
          <w:color w:val="auto"/>
        </w:rPr>
      </w:pPr>
      <w:r>
        <w:rPr>
          <w:rFonts w:ascii="Times New Roman" w:cs="Times New Roman" w:eastAsia="Times New Roman" w:hAnsi="Times New Roman"/>
          <w:sz w:val="20"/>
          <w:szCs w:val="20"/>
          <w:color w:val="auto"/>
        </w:rPr>
        <w:t>We have never commercialized a product candidate. Our operations to date have been limited to organizing and staffing our company, business planning, raising capital, acquiring the rights to our product candidates and undertaking preclinical studies and clinical trials of our product candidates. We currently have no sales force, marketing or distribution capabilities. To achieve commercial success of our product candidates, if any are approved, we will have to develop our own sales, marketing and supply capabilities or outsource these activities to a third party.</w:t>
      </w:r>
    </w:p>
    <w:p>
      <w:pPr>
        <w:spacing w:after="0" w:line="204" w:lineRule="exact"/>
        <w:rPr>
          <w:sz w:val="20"/>
          <w:szCs w:val="20"/>
          <w:color w:val="auto"/>
        </w:rPr>
      </w:pPr>
    </w:p>
    <w:p>
      <w:pPr>
        <w:jc w:val="both"/>
        <w:ind w:right="20" w:firstLine="720"/>
        <w:spacing w:after="0" w:line="254" w:lineRule="auto"/>
        <w:rPr>
          <w:sz w:val="20"/>
          <w:szCs w:val="20"/>
          <w:color w:val="auto"/>
        </w:rPr>
      </w:pPr>
      <w:r>
        <w:rPr>
          <w:rFonts w:ascii="Times New Roman" w:cs="Times New Roman" w:eastAsia="Times New Roman" w:hAnsi="Times New Roman"/>
          <w:sz w:val="20"/>
          <w:szCs w:val="20"/>
          <w:color w:val="auto"/>
        </w:rPr>
        <w:t>Factors that may affect our ability to commercialize our product candidates on our own include recruiting and retaining adequate numbers of effective sales and marketing personnel, obtaining access to or persuading adequate numbers of physicians to prescribe our product candidates and other unforeseen costs associated with creating an independent sales and marketing organization. Developing a sales and marketing organization requires significant investment, is time-consuming and could delay the launch of our product candidates. We may not be able to build an effective sales and marketing organization in the United States, the European Union, the United Kingdom or other key global markets. If we are unable to build our own distribution and marketing capabilities or to find suitable partners for the commercialization of our product candidates, we may have difficulties generating revenue from them.</w:t>
      </w:r>
    </w:p>
    <w:p>
      <w:pPr>
        <w:spacing w:after="0" w:line="324"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The commercial success of any of our product candidates, if approved, will depend upon its degree of market acceptance by physicians, patients, third-party payors and others in the medical community.</w:t>
      </w:r>
    </w:p>
    <w:p>
      <w:pPr>
        <w:spacing w:after="0" w:line="57" w:lineRule="exact"/>
        <w:rPr>
          <w:sz w:val="20"/>
          <w:szCs w:val="20"/>
          <w:color w:val="auto"/>
        </w:rPr>
      </w:pPr>
    </w:p>
    <w:p>
      <w:pPr>
        <w:jc w:val="both"/>
        <w:ind w:right="20" w:firstLine="720"/>
        <w:spacing w:after="0" w:line="254" w:lineRule="auto"/>
        <w:rPr>
          <w:sz w:val="20"/>
          <w:szCs w:val="20"/>
          <w:color w:val="auto"/>
        </w:rPr>
      </w:pPr>
      <w:r>
        <w:rPr>
          <w:rFonts w:ascii="Times New Roman" w:cs="Times New Roman" w:eastAsia="Times New Roman" w:hAnsi="Times New Roman"/>
          <w:sz w:val="20"/>
          <w:szCs w:val="20"/>
          <w:color w:val="auto"/>
        </w:rPr>
        <w:t>Ethical, social and legal concerns about our product candidates could result in additional regulations restricting or prohibiting our products. Even with the requisite approvals from the FDA in the United States, the European Commission (on the recommendation of the EMA) in the European Economic Area, the MHRA in the United Kingdom and other regulatory authorities internationally, the commercial success of our product candidates will depend, in part, on the acceptance of physicians, patients and health care payors of our product candidates as medically necessary, cost-effective and safe. Any product that we commercialize may not gain acceptance by physicians, patients, health care payors and others in the medical community. If these products do not achieve an adequate level of acceptance, we may not generate significant product revenue and may not become profitable. The degree of market acceptance of our product candidates, if approved for commercial sale, will depend on several factors, including:</w:t>
      </w:r>
    </w:p>
    <w:p>
      <w:pPr>
        <w:spacing w:after="0" w:line="89" w:lineRule="exact"/>
        <w:rPr>
          <w:sz w:val="20"/>
          <w:szCs w:val="20"/>
          <w:color w:val="auto"/>
        </w:rPr>
      </w:pPr>
    </w:p>
    <w:p>
      <w:pPr>
        <w:ind w:left="1080" w:hanging="370"/>
        <w:spacing w:after="0"/>
        <w:tabs>
          <w:tab w:leader="none" w:pos="108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efficacy and safety of such product candidates as demonstrated in clinical trials;</w:t>
      </w:r>
    </w:p>
    <w:p>
      <w:pPr>
        <w:spacing w:after="0" w:line="130" w:lineRule="exact"/>
        <w:rPr>
          <w:rFonts w:ascii="Times New Roman" w:cs="Times New Roman" w:eastAsia="Times New Roman" w:hAnsi="Times New Roman"/>
          <w:sz w:val="20"/>
          <w:szCs w:val="20"/>
          <w:color w:val="auto"/>
        </w:rPr>
      </w:pPr>
    </w:p>
    <w:p>
      <w:pPr>
        <w:ind w:left="1080" w:hanging="370"/>
        <w:spacing w:after="0"/>
        <w:tabs>
          <w:tab w:leader="none" w:pos="108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potential and perceived advantages of product candidates over alternative treatments;</w:t>
      </w:r>
    </w:p>
    <w:p>
      <w:pPr>
        <w:spacing w:after="0" w:line="130" w:lineRule="exact"/>
        <w:rPr>
          <w:rFonts w:ascii="Times New Roman" w:cs="Times New Roman" w:eastAsia="Times New Roman" w:hAnsi="Times New Roman"/>
          <w:sz w:val="20"/>
          <w:szCs w:val="20"/>
          <w:color w:val="auto"/>
        </w:rPr>
      </w:pPr>
    </w:p>
    <w:p>
      <w:pPr>
        <w:ind w:left="1080" w:hanging="370"/>
        <w:spacing w:after="0"/>
        <w:tabs>
          <w:tab w:leader="none" w:pos="108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cost of treatment relative to alternative treatments;</w:t>
      </w:r>
    </w:p>
    <w:p>
      <w:pPr>
        <w:spacing w:after="0" w:line="130" w:lineRule="exact"/>
        <w:rPr>
          <w:rFonts w:ascii="Times New Roman" w:cs="Times New Roman" w:eastAsia="Times New Roman" w:hAnsi="Times New Roman"/>
          <w:sz w:val="20"/>
          <w:szCs w:val="20"/>
          <w:color w:val="auto"/>
        </w:rPr>
      </w:pPr>
    </w:p>
    <w:p>
      <w:pPr>
        <w:ind w:left="1080" w:hanging="370"/>
        <w:spacing w:after="0" w:line="281" w:lineRule="auto"/>
        <w:tabs>
          <w:tab w:leader="none" w:pos="108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clinical indications for which the product candidate is approved by FDA, the European Commission or the MHRA;</w:t>
      </w:r>
    </w:p>
    <w:p>
      <w:pPr>
        <w:spacing w:after="0" w:line="61" w:lineRule="exact"/>
        <w:rPr>
          <w:rFonts w:ascii="Times New Roman" w:cs="Times New Roman" w:eastAsia="Times New Roman" w:hAnsi="Times New Roman"/>
          <w:sz w:val="20"/>
          <w:szCs w:val="20"/>
          <w:color w:val="auto"/>
        </w:rPr>
      </w:pPr>
    </w:p>
    <w:p>
      <w:pPr>
        <w:ind w:left="1080" w:hanging="370"/>
        <w:spacing w:after="0"/>
        <w:tabs>
          <w:tab w:leader="none" w:pos="108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patient awareness of, and willingness to seek, genotyping;</w:t>
      </w:r>
    </w:p>
    <w:p>
      <w:pPr>
        <w:spacing w:after="0" w:line="130" w:lineRule="exact"/>
        <w:rPr>
          <w:rFonts w:ascii="Times New Roman" w:cs="Times New Roman" w:eastAsia="Times New Roman" w:hAnsi="Times New Roman"/>
          <w:sz w:val="20"/>
          <w:szCs w:val="20"/>
          <w:color w:val="auto"/>
        </w:rPr>
      </w:pPr>
    </w:p>
    <w:p>
      <w:pPr>
        <w:ind w:left="1080" w:hanging="370"/>
        <w:spacing w:after="0"/>
        <w:tabs>
          <w:tab w:leader="none" w:pos="108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willingness of physicians to prescribe new therapies;</w:t>
      </w:r>
    </w:p>
    <w:p>
      <w:pPr>
        <w:spacing w:after="0" w:line="130" w:lineRule="exact"/>
        <w:rPr>
          <w:rFonts w:ascii="Times New Roman" w:cs="Times New Roman" w:eastAsia="Times New Roman" w:hAnsi="Times New Roman"/>
          <w:sz w:val="20"/>
          <w:szCs w:val="20"/>
          <w:color w:val="auto"/>
        </w:rPr>
      </w:pPr>
    </w:p>
    <w:p>
      <w:pPr>
        <w:ind w:left="1080" w:hanging="370"/>
        <w:spacing w:after="0"/>
        <w:tabs>
          <w:tab w:leader="none" w:pos="108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willingness of the target patient population to try new therapies;</w:t>
      </w:r>
    </w:p>
    <w:p>
      <w:pPr>
        <w:spacing w:after="0" w:line="130" w:lineRule="exact"/>
        <w:rPr>
          <w:rFonts w:ascii="Times New Roman" w:cs="Times New Roman" w:eastAsia="Times New Roman" w:hAnsi="Times New Roman"/>
          <w:sz w:val="20"/>
          <w:szCs w:val="20"/>
          <w:color w:val="auto"/>
        </w:rPr>
      </w:pPr>
    </w:p>
    <w:p>
      <w:pPr>
        <w:ind w:left="1080" w:hanging="370"/>
        <w:spacing w:after="0"/>
        <w:tabs>
          <w:tab w:leader="none" w:pos="108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prevalence and severity of any side effects;</w:t>
      </w:r>
    </w:p>
    <w:p>
      <w:pPr>
        <w:spacing w:after="0" w:line="130" w:lineRule="exact"/>
        <w:rPr>
          <w:rFonts w:ascii="Times New Roman" w:cs="Times New Roman" w:eastAsia="Times New Roman" w:hAnsi="Times New Roman"/>
          <w:sz w:val="20"/>
          <w:szCs w:val="20"/>
          <w:color w:val="auto"/>
        </w:rPr>
      </w:pPr>
    </w:p>
    <w:p>
      <w:pPr>
        <w:ind w:left="1080" w:right="20" w:hanging="370"/>
        <w:spacing w:after="0" w:line="281" w:lineRule="auto"/>
        <w:tabs>
          <w:tab w:leader="none" w:pos="108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product labeling or product insert requirements of FDA, EMA, MHRA or other regulatory authorities, including any limitations or warnings contained in a product’s approved labeling;</w:t>
      </w:r>
    </w:p>
    <w:p>
      <w:pPr>
        <w:spacing w:after="0" w:line="61" w:lineRule="exact"/>
        <w:rPr>
          <w:rFonts w:ascii="Times New Roman" w:cs="Times New Roman" w:eastAsia="Times New Roman" w:hAnsi="Times New Roman"/>
          <w:sz w:val="20"/>
          <w:szCs w:val="20"/>
          <w:color w:val="auto"/>
        </w:rPr>
      </w:pPr>
    </w:p>
    <w:p>
      <w:pPr>
        <w:ind w:left="1080" w:hanging="370"/>
        <w:spacing w:after="0"/>
        <w:tabs>
          <w:tab w:leader="none" w:pos="108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relative convenience and ease of administration;</w:t>
      </w:r>
    </w:p>
    <w:p>
      <w:pPr>
        <w:spacing w:after="0" w:line="130" w:lineRule="exact"/>
        <w:rPr>
          <w:rFonts w:ascii="Times New Roman" w:cs="Times New Roman" w:eastAsia="Times New Roman" w:hAnsi="Times New Roman"/>
          <w:sz w:val="20"/>
          <w:szCs w:val="20"/>
          <w:color w:val="auto"/>
        </w:rPr>
      </w:pPr>
    </w:p>
    <w:p>
      <w:pPr>
        <w:ind w:left="1080" w:hanging="370"/>
        <w:spacing w:after="0"/>
        <w:tabs>
          <w:tab w:leader="none" w:pos="108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strength of marketing and distribution support;</w:t>
      </w:r>
    </w:p>
    <w:p>
      <w:pPr>
        <w:spacing w:after="0" w:line="130" w:lineRule="exact"/>
        <w:rPr>
          <w:rFonts w:ascii="Times New Roman" w:cs="Times New Roman" w:eastAsia="Times New Roman" w:hAnsi="Times New Roman"/>
          <w:sz w:val="20"/>
          <w:szCs w:val="20"/>
          <w:color w:val="auto"/>
        </w:rPr>
      </w:pPr>
    </w:p>
    <w:p>
      <w:pPr>
        <w:ind w:left="1080" w:hanging="370"/>
        <w:spacing w:after="0"/>
        <w:tabs>
          <w:tab w:leader="none" w:pos="108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timing of market introduction of competitive products;</w:t>
      </w:r>
    </w:p>
    <w:p>
      <w:pPr>
        <w:spacing w:after="0" w:line="130" w:lineRule="exact"/>
        <w:rPr>
          <w:rFonts w:ascii="Times New Roman" w:cs="Times New Roman" w:eastAsia="Times New Roman" w:hAnsi="Times New Roman"/>
          <w:sz w:val="20"/>
          <w:szCs w:val="20"/>
          <w:color w:val="auto"/>
        </w:rPr>
      </w:pPr>
    </w:p>
    <w:p>
      <w:pPr>
        <w:ind w:left="1080" w:hanging="370"/>
        <w:spacing w:after="0"/>
        <w:tabs>
          <w:tab w:leader="none" w:pos="108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publicity concerning our products or competing products and treatments; and</w:t>
      </w:r>
    </w:p>
    <w:p>
      <w:pPr>
        <w:spacing w:after="0" w:line="130" w:lineRule="exact"/>
        <w:rPr>
          <w:rFonts w:ascii="Times New Roman" w:cs="Times New Roman" w:eastAsia="Times New Roman" w:hAnsi="Times New Roman"/>
          <w:sz w:val="20"/>
          <w:szCs w:val="20"/>
          <w:color w:val="auto"/>
        </w:rPr>
      </w:pPr>
    </w:p>
    <w:p>
      <w:pPr>
        <w:ind w:left="1080" w:hanging="370"/>
        <w:spacing w:after="0"/>
        <w:tabs>
          <w:tab w:leader="none" w:pos="108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sufficient third-party payor coverage and reimbursement.</w:t>
      </w:r>
    </w:p>
    <w:p>
      <w:pPr>
        <w:spacing w:after="0" w:line="250" w:lineRule="exact"/>
        <w:rPr>
          <w:sz w:val="20"/>
          <w:szCs w:val="20"/>
          <w:color w:val="auto"/>
        </w:rPr>
      </w:pPr>
    </w:p>
    <w:p>
      <w:pPr>
        <w:ind w:right="20" w:firstLine="720"/>
        <w:spacing w:after="0" w:line="281" w:lineRule="auto"/>
        <w:rPr>
          <w:sz w:val="20"/>
          <w:szCs w:val="20"/>
          <w:color w:val="auto"/>
        </w:rPr>
      </w:pPr>
      <w:r>
        <w:rPr>
          <w:rFonts w:ascii="Times New Roman" w:cs="Times New Roman" w:eastAsia="Times New Roman" w:hAnsi="Times New Roman"/>
          <w:sz w:val="20"/>
          <w:szCs w:val="20"/>
          <w:color w:val="auto"/>
        </w:rPr>
        <w:t>Even if a potential product displays a favorable efficacy and safety profile in preclinical studies and clinical trials, market acceptance of the product will not be fully known until after it is launched.</w:t>
      </w:r>
    </w:p>
    <w:p>
      <w:pPr>
        <w:sectPr>
          <w:pgSz w:w="12240" w:h="15840" w:orient="portrait"/>
          <w:cols w:equalWidth="0" w:num="1">
            <w:col w:w="9900"/>
          </w:cols>
          <w:pgMar w:left="1180" w:top="208" w:right="1160" w:bottom="0" w:gutter="0" w:footer="0" w:header="0"/>
        </w:sectPr>
      </w:pPr>
    </w:p>
    <w:p>
      <w:pPr>
        <w:spacing w:after="0" w:line="200" w:lineRule="exact"/>
        <w:rPr>
          <w:sz w:val="20"/>
          <w:szCs w:val="20"/>
          <w:color w:val="auto"/>
        </w:rPr>
      </w:pPr>
    </w:p>
    <w:p>
      <w:pPr>
        <w:spacing w:after="0" w:line="3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79</w:t>
      </w:r>
    </w:p>
    <w:p>
      <w:pPr>
        <w:sectPr>
          <w:pgSz w:w="12240" w:h="15840" w:orient="portrait"/>
          <w:cols w:equalWidth="0" w:num="1">
            <w:col w:w="9900"/>
          </w:cols>
          <w:pgMar w:left="1180" w:top="208" w:right="1160" w:bottom="0" w:gutter="0" w:footer="0" w:header="0"/>
          <w:type w:val="continuous"/>
        </w:sectPr>
      </w:pPr>
    </w:p>
    <w:bookmarkStart w:id="79" w:name="page80"/>
    <w:bookmarkEnd w:id="79"/>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9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If the market opportunities for our product candidates, if and when approved, are smaller than we believe they are, it may not be financially viable to commercialize, and if we do commercialize, our product revenues for any therapies that are approved for commercial sale may be adversely affected and our business may suffer.</w:t>
      </w:r>
    </w:p>
    <w:p>
      <w:pPr>
        <w:spacing w:after="0" w:line="76" w:lineRule="exact"/>
        <w:rPr>
          <w:sz w:val="20"/>
          <w:szCs w:val="20"/>
          <w:color w:val="auto"/>
        </w:rPr>
      </w:pPr>
    </w:p>
    <w:p>
      <w:pPr>
        <w:jc w:val="both"/>
        <w:ind w:right="20" w:firstLine="720"/>
        <w:spacing w:after="0" w:line="254" w:lineRule="auto"/>
        <w:rPr>
          <w:sz w:val="20"/>
          <w:szCs w:val="20"/>
          <w:color w:val="auto"/>
        </w:rPr>
      </w:pPr>
      <w:r>
        <w:rPr>
          <w:rFonts w:ascii="Times New Roman" w:cs="Times New Roman" w:eastAsia="Times New Roman" w:hAnsi="Times New Roman"/>
          <w:sz w:val="20"/>
          <w:szCs w:val="20"/>
          <w:color w:val="auto"/>
        </w:rPr>
        <w:t>We focus our research and product development on treatments for various diseases. Our understanding of both the number of people who have these diseases, as well as the subset of people with these diseases who have the potential to benefit from treatment with our product candidates, are based on estimates. These estimates may prove to be incorrect and new studies may reduce the estimated incidence or prevalence of these diseases. The number of patients in the United States, the European Union, the United Kingdom and elsewhere may turn out to be lower than expected, may not be otherwise amenable to treatment with our products, patients may become increasingly difficult to identify and access or the rate of diagnosis may decline, all of which would adversely affect our business, financial condition, results of operations and prospects.</w:t>
      </w:r>
    </w:p>
    <w:p>
      <w:pPr>
        <w:spacing w:after="0" w:line="213" w:lineRule="exact"/>
        <w:rPr>
          <w:sz w:val="20"/>
          <w:szCs w:val="20"/>
          <w:color w:val="auto"/>
        </w:rPr>
      </w:pPr>
    </w:p>
    <w:p>
      <w:pPr>
        <w:jc w:val="both"/>
        <w:ind w:right="20" w:firstLine="720"/>
        <w:spacing w:after="0" w:line="260" w:lineRule="auto"/>
        <w:rPr>
          <w:sz w:val="20"/>
          <w:szCs w:val="20"/>
          <w:color w:val="auto"/>
        </w:rPr>
      </w:pPr>
      <w:r>
        <w:rPr>
          <w:rFonts w:ascii="Times New Roman" w:cs="Times New Roman" w:eastAsia="Times New Roman" w:hAnsi="Times New Roman"/>
          <w:sz w:val="20"/>
          <w:szCs w:val="20"/>
          <w:color w:val="auto"/>
        </w:rPr>
        <w:t>Further, there are several factors that could contribute to making the actual number of patients who receive our potential products less than the potentially addressable market. These include the lack of widespread availability of, and limited reimbursement for, new products or therapies in many underdeveloped markets and the approval of competing therapeutics.</w:t>
      </w:r>
    </w:p>
    <w:p>
      <w:pPr>
        <w:spacing w:after="0" w:line="314" w:lineRule="exact"/>
        <w:rPr>
          <w:sz w:val="20"/>
          <w:szCs w:val="20"/>
          <w:color w:val="auto"/>
        </w:rPr>
      </w:pPr>
    </w:p>
    <w:p>
      <w:pPr>
        <w:jc w:val="both"/>
        <w:ind w:right="20"/>
        <w:spacing w:after="0" w:line="316" w:lineRule="auto"/>
        <w:rPr>
          <w:sz w:val="20"/>
          <w:szCs w:val="20"/>
          <w:color w:val="auto"/>
        </w:rPr>
      </w:pPr>
      <w:r>
        <w:rPr>
          <w:rFonts w:ascii="Times New Roman" w:cs="Times New Roman" w:eastAsia="Times New Roman" w:hAnsi="Times New Roman"/>
          <w:sz w:val="19"/>
          <w:szCs w:val="19"/>
          <w:b w:val="1"/>
          <w:bCs w:val="1"/>
          <w:i w:val="1"/>
          <w:iCs w:val="1"/>
          <w:color w:val="auto"/>
        </w:rPr>
        <w:t>If we are unable to establish sales, medical affairs and marketing capabilities or enter into agreements with third parties to market and sell our product candidates, if and when approved, we may be unable to generate any product revenue.</w:t>
      </w:r>
    </w:p>
    <w:p>
      <w:pPr>
        <w:spacing w:after="0" w:line="34"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We currently have no sales and marketing organization. To successfully commercialize any products that may result from our development programs, we will need to develop these capabilities, either on our own or with others. The establishment and development of our own commercial team or the establishment of a contract sales force to market any products we may develop will be expensive and time-consuming and could delay any product launch. Moreover, we cannot be certain that we will be able to successfully develop this capability. We may enter into collaborations regarding our product candidates with entities to utilize their established marketing and distribution capabilities, but we may be unable to enter into such agreements on favorable terms, if at all, and by entering into such collaborations we may lose control over the marketing and distribution of such product candidates in certain jurisdictions which may have a detrimental effect on the sales and marketing of such product candidates in the applicable jurisdictions and materially and adversely effect our revenues in such jurisdictions. If any current or future collaborators do not commit sufficient resources to commercialize our products, or we are unable to develop the necessary capabilities on our own, we will be unable to generate sufficient product revenue to sustain our business. We compete with many companies that currently have extensive, experienced and well-funded medical affairs, marketing and sales operations to recruit, hire, train and retain marketing and sales personnel. We also face competition in our search for third parties to assist us with the sales and marketing efforts of our product candidates. Without an internal team or the support of a third party to perform marketing and sales functions, we may be unable to compete successfully against these more established companies.</w:t>
      </w:r>
    </w:p>
    <w:p>
      <w:pPr>
        <w:spacing w:after="0" w:line="216" w:lineRule="exact"/>
        <w:rPr>
          <w:sz w:val="20"/>
          <w:szCs w:val="20"/>
          <w:color w:val="auto"/>
        </w:rPr>
      </w:pPr>
    </w:p>
    <w:p>
      <w:pPr>
        <w:jc w:val="both"/>
        <w:ind w:firstLine="720"/>
        <w:spacing w:after="0" w:line="256" w:lineRule="auto"/>
        <w:rPr>
          <w:sz w:val="20"/>
          <w:szCs w:val="20"/>
          <w:color w:val="auto"/>
        </w:rPr>
      </w:pPr>
      <w:r>
        <w:rPr>
          <w:rFonts w:ascii="Times New Roman" w:cs="Times New Roman" w:eastAsia="Times New Roman" w:hAnsi="Times New Roman"/>
          <w:sz w:val="20"/>
          <w:szCs w:val="20"/>
          <w:color w:val="auto"/>
        </w:rPr>
        <w:t>Our efforts to educate the medical community and third-party payors on the benefits of our product candidates may require significant resources and may never be successful. Such efforts may require more resources than are typically required due to the complexity and uniqueness of our potential products. If any of our product candidates is approved but fails to achieve market acceptance among physicians, patients or third-party payors, we will not be able to generate significant revenues from such product, which could have a material adverse effect on our business, financial condition, results of operations and prospects.</w:t>
      </w:r>
    </w:p>
    <w:p>
      <w:pPr>
        <w:spacing w:after="0" w:line="319"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Healthcare legislative reform measures may have a material adverse effect on our business and results of operations and may increase the difficulty and cost for us to obtain marketing approval of and commercialize our product candidates and affect the prices we may charge for such product candidates.</w:t>
      </w:r>
    </w:p>
    <w:p>
      <w:pPr>
        <w:spacing w:after="0" w:line="76" w:lineRule="exact"/>
        <w:rPr>
          <w:sz w:val="20"/>
          <w:szCs w:val="20"/>
          <w:color w:val="auto"/>
        </w:rPr>
      </w:pPr>
    </w:p>
    <w:p>
      <w:pPr>
        <w:jc w:val="both"/>
        <w:ind w:firstLine="720"/>
        <w:spacing w:after="0" w:line="271" w:lineRule="auto"/>
        <w:rPr>
          <w:sz w:val="20"/>
          <w:szCs w:val="20"/>
          <w:color w:val="auto"/>
        </w:rPr>
      </w:pPr>
      <w:r>
        <w:rPr>
          <w:rFonts w:ascii="Times New Roman" w:cs="Times New Roman" w:eastAsia="Times New Roman" w:hAnsi="Times New Roman"/>
          <w:sz w:val="19"/>
          <w:szCs w:val="19"/>
          <w:color w:val="auto"/>
        </w:rPr>
        <w:t>In the United States, there have been, and continue to be, several legislative initiatives to contain healthcare costs. These enacted or proposed legislative and regulatory changes affecting the healthcare system could prevent or delay marketing approval of our product candidates, restrict or regulate post-approval activities and affect our ability to profitably sell any product for which we obtain marketing approval. For example, in 2010, the Patient Protection and Affordable Care Act, as amended by the Health Care and Education Reconciliation Act (“ACA”), was passed, which substantially changes the way health care is financed by both the government and private insurers, and significantly impacts the U.S. pharmaceutical industry. See “</w:t>
      </w:r>
      <w:r>
        <w:rPr>
          <w:rFonts w:ascii="Times New Roman" w:cs="Times New Roman" w:eastAsia="Times New Roman" w:hAnsi="Times New Roman"/>
          <w:sz w:val="19"/>
          <w:szCs w:val="19"/>
          <w:b w:val="1"/>
          <w:bCs w:val="1"/>
          <w:i w:val="1"/>
          <w:iCs w:val="1"/>
          <w:color w:val="auto"/>
        </w:rPr>
        <w:t>Business - Government Regulation - Health Reform</w:t>
      </w:r>
      <w:r>
        <w:rPr>
          <w:rFonts w:ascii="Times New Roman" w:cs="Times New Roman" w:eastAsia="Times New Roman" w:hAnsi="Times New Roman"/>
          <w:sz w:val="19"/>
          <w:szCs w:val="19"/>
          <w:color w:val="auto"/>
        </w:rPr>
        <w:t>” in this Annual Report on Form 10-K.</w:t>
      </w:r>
    </w:p>
    <w:p>
      <w:pPr>
        <w:spacing w:after="0" w:line="193" w:lineRule="exact"/>
        <w:rPr>
          <w:sz w:val="20"/>
          <w:szCs w:val="20"/>
          <w:color w:val="auto"/>
        </w:rPr>
      </w:pPr>
    </w:p>
    <w:p>
      <w:pPr>
        <w:jc w:val="both"/>
        <w:ind w:firstLine="720"/>
        <w:spacing w:after="0" w:line="281" w:lineRule="auto"/>
        <w:rPr>
          <w:sz w:val="20"/>
          <w:szCs w:val="20"/>
          <w:color w:val="auto"/>
        </w:rPr>
      </w:pPr>
      <w:r>
        <w:rPr>
          <w:rFonts w:ascii="Times New Roman" w:cs="Times New Roman" w:eastAsia="Times New Roman" w:hAnsi="Times New Roman"/>
          <w:sz w:val="20"/>
          <w:szCs w:val="20"/>
          <w:color w:val="auto"/>
        </w:rPr>
        <w:t>Additional changes that may affect our business include those governing enrollment in federal healthcare programs, reimbursement changes, rules regarding prescription drug benefits under the health insurance exchanges and</w:t>
      </w:r>
    </w:p>
    <w:p>
      <w:pPr>
        <w:sectPr>
          <w:pgSz w:w="12240" w:h="15840" w:orient="portrait"/>
          <w:cols w:equalWidth="0" w:num="1">
            <w:col w:w="9900"/>
          </w:cols>
          <w:pgMar w:left="1180" w:top="208" w:right="1160" w:bottom="0" w:gutter="0" w:footer="0" w:header="0"/>
        </w:sectPr>
      </w:pPr>
    </w:p>
    <w:p>
      <w:pPr>
        <w:spacing w:after="0" w:line="3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80</w:t>
      </w:r>
    </w:p>
    <w:p>
      <w:pPr>
        <w:sectPr>
          <w:pgSz w:w="12240" w:h="15840" w:orient="portrait"/>
          <w:cols w:equalWidth="0" w:num="1">
            <w:col w:w="9900"/>
          </w:cols>
          <w:pgMar w:left="1180" w:top="208" w:right="1160" w:bottom="0" w:gutter="0" w:footer="0" w:header="0"/>
          <w:type w:val="continuous"/>
        </w:sectPr>
      </w:pPr>
    </w:p>
    <w:bookmarkStart w:id="80" w:name="page81"/>
    <w:bookmarkEnd w:id="80"/>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400"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fraud and abuse and enforcement. Continued implementation of the ACA and the passage of additional laws and regulations may result in the expansion of new programs such as Medicare payment for performance initiatives, and may impact existing government healthcare programs, such as by improving the physician quality reporting system and feedback program.</w:t>
      </w:r>
    </w:p>
    <w:p>
      <w:pPr>
        <w:spacing w:after="0" w:line="203" w:lineRule="exact"/>
        <w:rPr>
          <w:sz w:val="20"/>
          <w:szCs w:val="20"/>
          <w:color w:val="auto"/>
        </w:rPr>
      </w:pPr>
    </w:p>
    <w:p>
      <w:pPr>
        <w:jc w:val="both"/>
        <w:ind w:right="20" w:firstLine="720"/>
        <w:spacing w:after="0" w:line="255" w:lineRule="auto"/>
        <w:rPr>
          <w:sz w:val="20"/>
          <w:szCs w:val="20"/>
          <w:color w:val="auto"/>
        </w:rPr>
      </w:pPr>
      <w:r>
        <w:rPr>
          <w:rFonts w:ascii="Times New Roman" w:cs="Times New Roman" w:eastAsia="Times New Roman" w:hAnsi="Times New Roman"/>
          <w:sz w:val="20"/>
          <w:szCs w:val="20"/>
          <w:color w:val="auto"/>
        </w:rPr>
        <w:t>For each state that does not choose to expand its Medicaid program, there likely will be fewer insured patients overall, which could impact the sales, business and financial condition of manufacturers of branded prescription drugs. Where patients receive insurance coverage under any of the new options made available through the ACA, the possibility exists that manufacturers may be required to pay Medicaid rebates on that resulting drug utilization, a decision that could impact manufacturer revenues. The U.S. federal government also has announced delays in the implementation of key provisions of the ACA. The implications of these delays for our and our partners’ business and financial condition, if any, are not yet clear.</w:t>
      </w:r>
    </w:p>
    <w:p>
      <w:pPr>
        <w:spacing w:after="0" w:line="210"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Moreover, increasing efforts by governmental and third-party payors in the United States and abroad to cap or reduce healthcare costs may cause such organizations to limit both coverage and the level of reimbursement for newly approved products and, as a result, they may not cover or provide adequate payment for our product candidates. There has been increasing legislative and enforcement interest in the United States with respect to specialty drug pricing practices. Specifically, there have been several recent U.S. Congressional inquiries and proposed and enacted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 For example, recent CMS proposals, including the GLOBE, GUARD, and GENEROUS, could materially impact the Company’s revenue.</w:t>
      </w:r>
    </w:p>
    <w:p>
      <w:pPr>
        <w:spacing w:after="0" w:line="209" w:lineRule="exact"/>
        <w:rPr>
          <w:sz w:val="20"/>
          <w:szCs w:val="20"/>
          <w:color w:val="auto"/>
        </w:rPr>
      </w:pPr>
    </w:p>
    <w:p>
      <w:pPr>
        <w:jc w:val="both"/>
        <w:ind w:firstLine="720"/>
        <w:spacing w:after="0" w:line="281" w:lineRule="auto"/>
        <w:rPr>
          <w:sz w:val="20"/>
          <w:szCs w:val="20"/>
          <w:color w:val="auto"/>
        </w:rPr>
      </w:pPr>
      <w:r>
        <w:rPr>
          <w:rFonts w:ascii="Times New Roman" w:cs="Times New Roman" w:eastAsia="Times New Roman" w:hAnsi="Times New Roman"/>
          <w:sz w:val="20"/>
          <w:szCs w:val="20"/>
          <w:color w:val="auto"/>
        </w:rPr>
        <w:t>The continuing efforts of the government, insurance companies, managed care organizations and other payers of healthcare services to contain or reduce costs of healthcare may adversely affect:</w:t>
      </w:r>
    </w:p>
    <w:p>
      <w:pPr>
        <w:spacing w:after="0" w:line="1" w:lineRule="exact"/>
        <w:rPr>
          <w:sz w:val="20"/>
          <w:szCs w:val="20"/>
          <w:color w:val="auto"/>
        </w:rPr>
      </w:pPr>
    </w:p>
    <w:p>
      <w:pPr>
        <w:ind w:left="1080" w:hanging="370"/>
        <w:spacing w:after="0"/>
        <w:tabs>
          <w:tab w:leader="none" w:pos="108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demand for any of our product candidates, if approved;</w:t>
      </w:r>
    </w:p>
    <w:p>
      <w:pPr>
        <w:spacing w:after="0" w:line="70" w:lineRule="exact"/>
        <w:rPr>
          <w:rFonts w:ascii="Times New Roman" w:cs="Times New Roman" w:eastAsia="Times New Roman" w:hAnsi="Times New Roman"/>
          <w:sz w:val="20"/>
          <w:szCs w:val="20"/>
          <w:color w:val="auto"/>
        </w:rPr>
      </w:pPr>
    </w:p>
    <w:p>
      <w:pPr>
        <w:ind w:left="1080" w:hanging="370"/>
        <w:spacing w:after="0"/>
        <w:tabs>
          <w:tab w:leader="none" w:pos="108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ability to set a price that we believe is fair for any of our product candidates, if approved;</w:t>
      </w:r>
    </w:p>
    <w:p>
      <w:pPr>
        <w:spacing w:after="0" w:line="70" w:lineRule="exact"/>
        <w:rPr>
          <w:rFonts w:ascii="Times New Roman" w:cs="Times New Roman" w:eastAsia="Times New Roman" w:hAnsi="Times New Roman"/>
          <w:sz w:val="20"/>
          <w:szCs w:val="20"/>
          <w:color w:val="auto"/>
        </w:rPr>
      </w:pPr>
    </w:p>
    <w:p>
      <w:pPr>
        <w:ind w:left="1080" w:hanging="370"/>
        <w:spacing w:after="0"/>
        <w:tabs>
          <w:tab w:leader="none" w:pos="108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generate revenues and achieve or maintain profitability;</w:t>
      </w:r>
    </w:p>
    <w:p>
      <w:pPr>
        <w:spacing w:after="0" w:line="70" w:lineRule="exact"/>
        <w:rPr>
          <w:rFonts w:ascii="Times New Roman" w:cs="Times New Roman" w:eastAsia="Times New Roman" w:hAnsi="Times New Roman"/>
          <w:sz w:val="20"/>
          <w:szCs w:val="20"/>
          <w:color w:val="auto"/>
        </w:rPr>
      </w:pPr>
    </w:p>
    <w:p>
      <w:pPr>
        <w:ind w:left="1080" w:hanging="370"/>
        <w:spacing w:after="0"/>
        <w:tabs>
          <w:tab w:leader="none" w:pos="108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level of taxes that we are required to pay; and</w:t>
      </w:r>
    </w:p>
    <w:p>
      <w:pPr>
        <w:spacing w:after="0" w:line="70" w:lineRule="exact"/>
        <w:rPr>
          <w:rFonts w:ascii="Times New Roman" w:cs="Times New Roman" w:eastAsia="Times New Roman" w:hAnsi="Times New Roman"/>
          <w:sz w:val="20"/>
          <w:szCs w:val="20"/>
          <w:color w:val="auto"/>
        </w:rPr>
      </w:pPr>
    </w:p>
    <w:p>
      <w:pPr>
        <w:ind w:left="1080" w:hanging="370"/>
        <w:spacing w:after="0"/>
        <w:tabs>
          <w:tab w:leader="none" w:pos="108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availability of capital.</w:t>
      </w:r>
    </w:p>
    <w:p>
      <w:pPr>
        <w:spacing w:after="0" w:line="250" w:lineRule="exact"/>
        <w:rPr>
          <w:sz w:val="20"/>
          <w:szCs w:val="20"/>
          <w:color w:val="auto"/>
        </w:rPr>
      </w:pPr>
    </w:p>
    <w:p>
      <w:pPr>
        <w:jc w:val="both"/>
        <w:ind w:right="20" w:firstLine="720"/>
        <w:spacing w:after="0" w:line="256" w:lineRule="auto"/>
        <w:rPr>
          <w:sz w:val="20"/>
          <w:szCs w:val="20"/>
          <w:color w:val="auto"/>
        </w:rPr>
      </w:pPr>
      <w:r>
        <w:rPr>
          <w:rFonts w:ascii="Times New Roman" w:cs="Times New Roman" w:eastAsia="Times New Roman" w:hAnsi="Times New Roman"/>
          <w:sz w:val="20"/>
          <w:szCs w:val="20"/>
          <w:color w:val="auto"/>
        </w:rPr>
        <w:t>We expect that the healthcare reform measures that have been adopted and may be adopted in the future, may result in more rigorous coverage criteria and in additional downward pressure on the price that we receive for any approved product and could seriously harm our future revenues.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products.</w:t>
      </w:r>
    </w:p>
    <w:p>
      <w:pPr>
        <w:spacing w:after="0" w:line="31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The insurance coverage and reimbursement status of newly-approved products is uncertain. Failure to obtain or maintain adequate coverage and reimbursement for our products, if approved, could limit our ability to market those products and decrease our ability to generate product revenue.</w:t>
      </w:r>
    </w:p>
    <w:p>
      <w:pPr>
        <w:spacing w:after="0" w:line="76"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We expect the cost of our product candidates and programs to be substantial, when and if they achieve regulatory approval. We expect that coverage and reimbursement by government and private payors will be essential for most patients to be able to afford these treatments. Accordingly, sales of our product candidates will depend substantially, both domestically and abroad, on the extent to which the costs of our product candidates will be paid by health maintenance, managed care, pharmacy benefit and similar healthcare management organizations, or will be reimbursed by government authorities, private health coverage insurers and other third-party payors. See section entitled “</w:t>
      </w:r>
      <w:r>
        <w:rPr>
          <w:rFonts w:ascii="Times New Roman" w:cs="Times New Roman" w:eastAsia="Times New Roman" w:hAnsi="Times New Roman"/>
          <w:sz w:val="20"/>
          <w:szCs w:val="20"/>
          <w:b w:val="1"/>
          <w:bCs w:val="1"/>
          <w:i w:val="1"/>
          <w:iCs w:val="1"/>
          <w:color w:val="auto"/>
        </w:rPr>
        <w:t>Business - Government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Regulation - Coverage and Reimbursement</w:t>
      </w:r>
      <w:r>
        <w:rPr>
          <w:rFonts w:ascii="Times New Roman" w:cs="Times New Roman" w:eastAsia="Times New Roman" w:hAnsi="Times New Roman"/>
          <w:sz w:val="20"/>
          <w:szCs w:val="20"/>
          <w:color w:val="auto"/>
        </w:rPr>
        <w:t>” in this Annual Report on Form 10-K.</w:t>
      </w:r>
    </w:p>
    <w:p>
      <w:pPr>
        <w:spacing w:after="0" w:line="210" w:lineRule="exact"/>
        <w:rPr>
          <w:sz w:val="20"/>
          <w:szCs w:val="20"/>
          <w:color w:val="auto"/>
        </w:rPr>
      </w:pPr>
    </w:p>
    <w:p>
      <w:pPr>
        <w:jc w:val="both"/>
        <w:ind w:right="20" w:firstLine="720"/>
        <w:spacing w:after="0" w:line="256" w:lineRule="auto"/>
        <w:rPr>
          <w:sz w:val="20"/>
          <w:szCs w:val="20"/>
          <w:color w:val="auto"/>
        </w:rPr>
      </w:pPr>
      <w:r>
        <w:rPr>
          <w:rFonts w:ascii="Times New Roman" w:cs="Times New Roman" w:eastAsia="Times New Roman" w:hAnsi="Times New Roman"/>
          <w:sz w:val="20"/>
          <w:szCs w:val="20"/>
          <w:color w:val="auto"/>
        </w:rPr>
        <w:t>Obtaining coverage and reimbursement for a product from third-party payors is a time-consuming and costly process that could require us to provide to the payor supporting scientific, clinical and cost-effectiveness data. We may not be able to provide data sufficient to gain acceptance with respect to coverage and reimbursement. If coverage and reimbursement are not available, or are available only at limited levels, we may not be able to successfully commercialize our product candidates. Even if coverage is provided, the approved reimbursement amount may not be adequate to realize a sufficient return on our investment.</w:t>
      </w:r>
    </w:p>
    <w:p>
      <w:pPr>
        <w:sectPr>
          <w:pgSz w:w="12240" w:h="15840" w:orient="portrait"/>
          <w:cols w:equalWidth="0" w:num="1">
            <w:col w:w="9900"/>
          </w:cols>
          <w:pgMar w:left="1180" w:top="20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81</w:t>
      </w:r>
    </w:p>
    <w:p>
      <w:pPr>
        <w:sectPr>
          <w:pgSz w:w="12240" w:h="15840" w:orient="portrait"/>
          <w:cols w:equalWidth="0" w:num="1">
            <w:col w:w="9900"/>
          </w:cols>
          <w:pgMar w:left="1180" w:top="208" w:right="1160" w:bottom="0" w:gutter="0" w:footer="0" w:header="0"/>
          <w:type w:val="continuous"/>
        </w:sectPr>
      </w:pPr>
    </w:p>
    <w:bookmarkStart w:id="81" w:name="page82"/>
    <w:bookmarkEnd w:id="81"/>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400"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There is significant uncertainty related to third-party coverage and reimbursement of newly approved products. In the United States, third-party payors, including government payors such as the Medicare and Medicaid programs, play an important role in determining the extent to which new drugs and biologics will be covered and reimbursed. The Medicare and Medicaid programs increasingly are used as models for how private payors and government payors develop their coverage and reimbursement policies. It is difficult to predict what the CMS will decide with respect to coverage and reimbursement for fundamentally novel products. Moreover, reimbursement agencies in the European Union may be more conservative than CMS. For example, several cancer drugs have been approved for reimbursement in the United States and have not been approved for reimbursement in certain European Union Member States. It is difficult to predict what third-party payors will decide with respect to the coverage and reimbursement for our product candidates.</w:t>
      </w:r>
    </w:p>
    <w:p>
      <w:pPr>
        <w:spacing w:after="0" w:line="209" w:lineRule="exact"/>
        <w:rPr>
          <w:sz w:val="20"/>
          <w:szCs w:val="20"/>
          <w:color w:val="auto"/>
        </w:rPr>
      </w:pPr>
    </w:p>
    <w:p>
      <w:pPr>
        <w:jc w:val="both"/>
        <w:ind w:right="20" w:firstLine="720"/>
        <w:spacing w:after="0" w:line="254" w:lineRule="auto"/>
        <w:rPr>
          <w:sz w:val="20"/>
          <w:szCs w:val="20"/>
          <w:color w:val="auto"/>
        </w:rPr>
      </w:pPr>
      <w:r>
        <w:rPr>
          <w:rFonts w:ascii="Times New Roman" w:cs="Times New Roman" w:eastAsia="Times New Roman" w:hAnsi="Times New Roman"/>
          <w:sz w:val="20"/>
          <w:szCs w:val="20"/>
          <w:color w:val="auto"/>
        </w:rPr>
        <w:t>Outside the United States, international operations generally are subject to extensive government price controls and other market regulations, and increasing emphasis on cost-containment initiatives in the European Union, Canada and other countries may put pricing pressure on us. In many countries, the prices of medical products are subject to varying price control mechanisms as part of national health systems. In general, the prices of medicines under such systems are substantially lower than in the United States. Other countries allow companies to fix their own prices for medical products, but monitor and control company profits. Additional foreign price controls or other changes in pricing regulation could restrict the amount that we are able to charge for our product candidates. Accordingly, in markets outside the United States, the reimbursement for our products may be reduced compared with the United States and may be insufficient to generate commercially reasonable product revenues.</w:t>
      </w:r>
    </w:p>
    <w:p>
      <w:pPr>
        <w:spacing w:after="0" w:line="209" w:lineRule="exact"/>
        <w:rPr>
          <w:sz w:val="20"/>
          <w:szCs w:val="20"/>
          <w:color w:val="auto"/>
        </w:rPr>
      </w:pPr>
    </w:p>
    <w:p>
      <w:pPr>
        <w:jc w:val="both"/>
        <w:ind w:right="20" w:firstLine="720"/>
        <w:spacing w:after="0" w:line="252" w:lineRule="auto"/>
        <w:rPr>
          <w:sz w:val="20"/>
          <w:szCs w:val="20"/>
          <w:color w:val="auto"/>
        </w:rPr>
      </w:pPr>
      <w:r>
        <w:rPr>
          <w:rFonts w:ascii="Times New Roman" w:cs="Times New Roman" w:eastAsia="Times New Roman" w:hAnsi="Times New Roman"/>
          <w:sz w:val="20"/>
          <w:szCs w:val="20"/>
          <w:color w:val="auto"/>
        </w:rPr>
        <w:t>Moreover, increasing efforts by government and third-party payors in the United States and abroad to cap or reduce healthcare costs may cause such organizations to limit both coverage and the level of reimbursement for new products approved and, as a result, they may not cover or provide adequate payment for our product candidates.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Payors increasingly are considering new metrics as the basis for reimbursement rates, such as average sales price (“ASP”), average manufacturer price, and actual acquisition cost. The existing data for reimbursement based on some of these metrics is relatively limited, although certain states have begun to survey acquisition cost data for the purpose of setting Medicaid reimbursement rates, and CMS has begun making pharmacy National Average Drug Acquisition Cost and National Average Retail Price data publicly available on at least a monthly basis. Therefore, it may be difficult to project the impact of these evolving reimbursement metrics on the willingness of payors to cover candidate products that we or our partners are able to commercialize. In addition, many pharmaceutical manufacturers must calculate and report certain price reporting metrics to the government, such as ASP, and best price. Penalties may apply in some cases when such metrics are not submitted accurately and timely. Further, these prices for drugs may be reduced by mandatory discounts or rebates required by government healthcare programs. 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intense. As a result, increasingly high barriers are being erected to the entry of new products such as ours.</w:t>
      </w:r>
    </w:p>
    <w:p>
      <w:pPr>
        <w:spacing w:after="0" w:line="323"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Product liability lawsuits against us could cause us to incur substantial liabilities and could limit commercialization of any product candidates that we may develop.</w:t>
      </w:r>
    </w:p>
    <w:p>
      <w:pPr>
        <w:spacing w:after="0" w:line="57" w:lineRule="exact"/>
        <w:rPr>
          <w:sz w:val="20"/>
          <w:szCs w:val="20"/>
          <w:color w:val="auto"/>
        </w:rPr>
      </w:pPr>
    </w:p>
    <w:p>
      <w:pPr>
        <w:jc w:val="both"/>
        <w:ind w:firstLine="720"/>
        <w:spacing w:after="0" w:line="260" w:lineRule="auto"/>
        <w:rPr>
          <w:sz w:val="20"/>
          <w:szCs w:val="20"/>
          <w:color w:val="auto"/>
        </w:rPr>
      </w:pPr>
      <w:r>
        <w:rPr>
          <w:rFonts w:ascii="Times New Roman" w:cs="Times New Roman" w:eastAsia="Times New Roman" w:hAnsi="Times New Roman"/>
          <w:sz w:val="20"/>
          <w:szCs w:val="20"/>
          <w:color w:val="auto"/>
        </w:rPr>
        <w:t>We face an inherent risk of product liability exposure related to the testing of product candidates in human clinical trials and will face an even greater risk if we commercially sell any medicines that we may develop. If we cannot successfully defend ourselves against claims that our product candidates or medicines caused injuries, we could incur substantial liabilities. Regardless of merit or eventual outcome, liability claims may result in:</w:t>
      </w:r>
    </w:p>
    <w:p>
      <w:pPr>
        <w:spacing w:after="0" w:line="83" w:lineRule="exact"/>
        <w:rPr>
          <w:sz w:val="20"/>
          <w:szCs w:val="20"/>
          <w:color w:val="auto"/>
        </w:rPr>
      </w:pPr>
    </w:p>
    <w:p>
      <w:pPr>
        <w:ind w:left="1080" w:hanging="370"/>
        <w:spacing w:after="0"/>
        <w:tabs>
          <w:tab w:leader="none" w:pos="108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decreased demand for any product candidates or medicines that we may develop;</w:t>
      </w:r>
    </w:p>
    <w:p>
      <w:pPr>
        <w:spacing w:after="0" w:line="130" w:lineRule="exact"/>
        <w:rPr>
          <w:rFonts w:ascii="Times New Roman" w:cs="Times New Roman" w:eastAsia="Times New Roman" w:hAnsi="Times New Roman"/>
          <w:sz w:val="20"/>
          <w:szCs w:val="20"/>
          <w:color w:val="auto"/>
        </w:rPr>
      </w:pPr>
    </w:p>
    <w:p>
      <w:pPr>
        <w:ind w:left="1080" w:hanging="370"/>
        <w:spacing w:after="0"/>
        <w:tabs>
          <w:tab w:leader="none" w:pos="108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injury to our reputation and significant negative media attention;</w:t>
      </w:r>
    </w:p>
    <w:p>
      <w:pPr>
        <w:spacing w:after="0" w:line="130" w:lineRule="exact"/>
        <w:rPr>
          <w:rFonts w:ascii="Times New Roman" w:cs="Times New Roman" w:eastAsia="Times New Roman" w:hAnsi="Times New Roman"/>
          <w:sz w:val="20"/>
          <w:szCs w:val="20"/>
          <w:color w:val="auto"/>
        </w:rPr>
      </w:pPr>
    </w:p>
    <w:p>
      <w:pPr>
        <w:ind w:left="1080" w:hanging="370"/>
        <w:spacing w:after="0"/>
        <w:tabs>
          <w:tab w:leader="none" w:pos="108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withdrawal of clinical trial participants;</w:t>
      </w:r>
    </w:p>
    <w:p>
      <w:pPr>
        <w:spacing w:after="0" w:line="130" w:lineRule="exact"/>
        <w:rPr>
          <w:rFonts w:ascii="Times New Roman" w:cs="Times New Roman" w:eastAsia="Times New Roman" w:hAnsi="Times New Roman"/>
          <w:sz w:val="20"/>
          <w:szCs w:val="20"/>
          <w:color w:val="auto"/>
        </w:rPr>
      </w:pPr>
    </w:p>
    <w:p>
      <w:pPr>
        <w:ind w:left="1080" w:hanging="370"/>
        <w:spacing w:after="0"/>
        <w:tabs>
          <w:tab w:leader="none" w:pos="108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significant costs to defend the related litigation;</w:t>
      </w:r>
    </w:p>
    <w:p>
      <w:pPr>
        <w:spacing w:after="0" w:line="130" w:lineRule="exact"/>
        <w:rPr>
          <w:rFonts w:ascii="Times New Roman" w:cs="Times New Roman" w:eastAsia="Times New Roman" w:hAnsi="Times New Roman"/>
          <w:sz w:val="20"/>
          <w:szCs w:val="20"/>
          <w:color w:val="auto"/>
        </w:rPr>
      </w:pPr>
    </w:p>
    <w:p>
      <w:pPr>
        <w:ind w:left="1080" w:hanging="370"/>
        <w:spacing w:after="0"/>
        <w:tabs>
          <w:tab w:leader="none" w:pos="108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substantial monetary awards to trial participants or patients;</w:t>
      </w:r>
    </w:p>
    <w:p>
      <w:pPr>
        <w:spacing w:after="0" w:line="130" w:lineRule="exact"/>
        <w:rPr>
          <w:rFonts w:ascii="Times New Roman" w:cs="Times New Roman" w:eastAsia="Times New Roman" w:hAnsi="Times New Roman"/>
          <w:sz w:val="20"/>
          <w:szCs w:val="20"/>
          <w:color w:val="auto"/>
        </w:rPr>
      </w:pPr>
    </w:p>
    <w:p>
      <w:pPr>
        <w:ind w:left="1080" w:hanging="370"/>
        <w:spacing w:after="0"/>
        <w:tabs>
          <w:tab w:leader="none" w:pos="108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loss of revenue; and</w:t>
      </w:r>
    </w:p>
    <w:p>
      <w:pPr>
        <w:spacing w:after="0" w:line="130" w:lineRule="exact"/>
        <w:rPr>
          <w:rFonts w:ascii="Times New Roman" w:cs="Times New Roman" w:eastAsia="Times New Roman" w:hAnsi="Times New Roman"/>
          <w:sz w:val="20"/>
          <w:szCs w:val="20"/>
          <w:color w:val="auto"/>
        </w:rPr>
      </w:pPr>
    </w:p>
    <w:p>
      <w:pPr>
        <w:ind w:left="1080" w:hanging="370"/>
        <w:spacing w:after="0"/>
        <w:tabs>
          <w:tab w:leader="none" w:pos="108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inability to commercialize our product candidates.</w:t>
      </w:r>
    </w:p>
    <w:p>
      <w:pPr>
        <w:sectPr>
          <w:pgSz w:w="12240" w:h="15840" w:orient="portrait"/>
          <w:cols w:equalWidth="0" w:num="1">
            <w:col w:w="9900"/>
          </w:cols>
          <w:pgMar w:left="1180" w:top="20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82</w:t>
      </w:r>
    </w:p>
    <w:p>
      <w:pPr>
        <w:sectPr>
          <w:pgSz w:w="12240" w:h="15840" w:orient="portrait"/>
          <w:cols w:equalWidth="0" w:num="1">
            <w:col w:w="9900"/>
          </w:cols>
          <w:pgMar w:left="1180" w:top="208" w:right="1160" w:bottom="0" w:gutter="0" w:footer="0" w:header="0"/>
          <w:type w:val="continuous"/>
        </w:sectPr>
      </w:pPr>
    </w:p>
    <w:bookmarkStart w:id="82" w:name="page83"/>
    <w:bookmarkEnd w:id="82"/>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400" w:lineRule="exact"/>
        <w:rPr>
          <w:sz w:val="20"/>
          <w:szCs w:val="20"/>
          <w:color w:val="auto"/>
        </w:rPr>
      </w:pPr>
    </w:p>
    <w:p>
      <w:pPr>
        <w:jc w:val="both"/>
        <w:ind w:right="20" w:firstLine="720"/>
        <w:spacing w:after="0" w:line="256" w:lineRule="auto"/>
        <w:rPr>
          <w:sz w:val="20"/>
          <w:szCs w:val="20"/>
          <w:color w:val="auto"/>
        </w:rPr>
      </w:pPr>
      <w:r>
        <w:rPr>
          <w:rFonts w:ascii="Times New Roman" w:cs="Times New Roman" w:eastAsia="Times New Roman" w:hAnsi="Times New Roman"/>
          <w:sz w:val="20"/>
          <w:szCs w:val="20"/>
          <w:color w:val="auto"/>
        </w:rPr>
        <w:t>Although we maintain insurance coverage for clinical trials that we sponsor, it may not be adequate to cover all liabilities that we may incur. We anticipate that we will need to increase our insurance coverage as we commence additional clinical trials and if we successfully commercialize any product candidates. The market for insurance coverage is increasingly expensive, and the costs of insurance coverage will increase as our clinical programs increase in size. We may not be able to maintain insurance coverage at a reasonable cost or in an amount adequate to satisfy any liability that may arise.</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Business and Industry</w:t>
      </w:r>
    </w:p>
    <w:p>
      <w:pPr>
        <w:spacing w:after="0" w:line="128"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Inadequate funding for the FDA, the SEC and other government agencies, including from government shut downs, significant changes in leadership, personnel, or policies, or other disruptions to these agencies’ operations,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88"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The ability of the FDA to review and approve new products can be affected by a variety of factors, including government budget and funding levels, the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 If a prolonged government shutdown occurs, it could significantly impact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w:t>
      </w:r>
    </w:p>
    <w:p>
      <w:pPr>
        <w:spacing w:after="0" w:line="237" w:lineRule="exact"/>
        <w:rPr>
          <w:sz w:val="20"/>
          <w:szCs w:val="20"/>
          <w:color w:val="auto"/>
        </w:rPr>
      </w:pPr>
    </w:p>
    <w:p>
      <w:pPr>
        <w:jc w:val="both"/>
        <w:ind w:firstLine="720"/>
        <w:spacing w:after="0" w:line="276" w:lineRule="auto"/>
        <w:rPr>
          <w:sz w:val="20"/>
          <w:szCs w:val="20"/>
          <w:color w:val="auto"/>
        </w:rPr>
      </w:pPr>
      <w:r>
        <w:rPr>
          <w:rFonts w:ascii="Times New Roman" w:cs="Times New Roman" w:eastAsia="Times New Roman" w:hAnsi="Times New Roman"/>
          <w:sz w:val="20"/>
          <w:szCs w:val="20"/>
          <w:color w:val="auto"/>
        </w:rPr>
        <w:t>In addition, significant changes in leadership, personnel, and policies that have been implemented at the FDA starting in 2025, may also slow the time necessary for our product candidates to receive regulatory guidance and/or be reviewed and approved by necessary government agencies, which would adversely affect our business.</w:t>
      </w:r>
    </w:p>
    <w:p>
      <w:pPr>
        <w:spacing w:after="0" w:line="178"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Adverse developments affecting the financial services industry, such as actual events or concerns involving liquidity, defaults, or non-performance by financial institutions or transactional counterparties, could adversely affect the Company’s current and projected business operations and its financial condition and results of operations.</w:t>
      </w:r>
    </w:p>
    <w:p>
      <w:pPr>
        <w:spacing w:after="0" w:line="76" w:lineRule="exact"/>
        <w:rPr>
          <w:sz w:val="20"/>
          <w:szCs w:val="20"/>
          <w:color w:val="auto"/>
        </w:rPr>
      </w:pPr>
    </w:p>
    <w:p>
      <w:pPr>
        <w:jc w:val="both"/>
        <w:ind w:firstLine="720"/>
        <w:spacing w:after="0" w:line="253" w:lineRule="auto"/>
        <w:rPr>
          <w:sz w:val="20"/>
          <w:szCs w:val="20"/>
          <w:color w:val="auto"/>
        </w:rPr>
      </w:pPr>
      <w:r>
        <w:rPr>
          <w:rFonts w:ascii="Times New Roman" w:cs="Times New Roman" w:eastAsia="Times New Roman" w:hAnsi="Times New Roman"/>
          <w:sz w:val="20"/>
          <w:szCs w:val="20"/>
          <w:color w:val="auto"/>
        </w:rPr>
        <w:t>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For example, in May 2023, the Federal Deposit Insurance Corporation (“FDIC”) took control of First Republic Bank and JPMorgan Chase &amp; Co. has since acquired a substantial amount of assets and certain liabilities of First Republic. If any of our lenders, including Oxford Finance, or counterparties to any such instruments were to be placed into receivership, we may be unable to access funds under the LSA. In addition, if any of our suppliers, including CROs and CMOs, or other parties with whom we conduct business are unable to access funds pursuant to such instruments or lending arrangements with such a financial institution, such parties’ ability to perform their existing or future obligations to us could be adversely affected.</w:t>
      </w:r>
    </w:p>
    <w:p>
      <w:pPr>
        <w:spacing w:after="0" w:line="216" w:lineRule="exact"/>
        <w:rPr>
          <w:sz w:val="20"/>
          <w:szCs w:val="20"/>
          <w:color w:val="auto"/>
        </w:rPr>
      </w:pPr>
    </w:p>
    <w:p>
      <w:pPr>
        <w:jc w:val="both"/>
        <w:ind w:right="20" w:firstLine="720"/>
        <w:spacing w:after="0" w:line="255" w:lineRule="auto"/>
        <w:rPr>
          <w:sz w:val="20"/>
          <w:szCs w:val="20"/>
          <w:color w:val="auto"/>
        </w:rPr>
      </w:pPr>
      <w:r>
        <w:rPr>
          <w:rFonts w:ascii="Times New Roman" w:cs="Times New Roman" w:eastAsia="Times New Roman" w:hAnsi="Times New Roman"/>
          <w:sz w:val="20"/>
          <w:szCs w:val="20"/>
          <w:color w:val="auto"/>
        </w:rPr>
        <w:t>Even though we have not experienced any adverse impact to our liquidity or to our current and projected business operations, financial condition or results of operations, uncertainty remains over liquidity concerns in the broader financial services industry, and our business, our business partners, or industry as a whole may be adversely impacted in ways that we cannot predict at this time. Inflation and rapid increases in interest rates have led to a decline in the trading value of previously issued government securities with interest rates below current market interest rates. There is no guarantee that the U.S. Department of Treasury, FDIC and the Federal Reserve Board will provide access to uninsured funds in the future in the event of the closure of other banks or financial institutions, or that they would do so in a timely fashion.</w:t>
      </w:r>
    </w:p>
    <w:p>
      <w:pPr>
        <w:spacing w:after="0" w:line="210" w:lineRule="exact"/>
        <w:rPr>
          <w:sz w:val="20"/>
          <w:szCs w:val="20"/>
          <w:color w:val="auto"/>
        </w:rPr>
      </w:pPr>
    </w:p>
    <w:p>
      <w:pPr>
        <w:jc w:val="both"/>
        <w:ind w:firstLine="720"/>
        <w:spacing w:after="0" w:line="245" w:lineRule="auto"/>
        <w:rPr>
          <w:sz w:val="20"/>
          <w:szCs w:val="20"/>
          <w:color w:val="auto"/>
        </w:rPr>
      </w:pPr>
      <w:r>
        <w:rPr>
          <w:rFonts w:ascii="Times New Roman" w:cs="Times New Roman" w:eastAsia="Times New Roman" w:hAnsi="Times New Roman"/>
          <w:sz w:val="20"/>
          <w:szCs w:val="20"/>
          <w:color w:val="auto"/>
        </w:rPr>
        <w:t>Although we assess our banking relationships as we believe necessary or appropriate, our access to funding sources in amounts adequate to finance or capitalize our current and projected future business operations could be significantly impaired by factors that affect us, the financial institutions with which we have credit agreements or arrangements directly, or the financial services industry or economy in general.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These factors could</w:t>
      </w:r>
    </w:p>
    <w:p>
      <w:pPr>
        <w:sectPr>
          <w:pgSz w:w="12240" w:h="15840" w:orient="portrait"/>
          <w:cols w:equalWidth="0" w:num="1">
            <w:col w:w="9900"/>
          </w:cols>
          <w:pgMar w:left="1180" w:top="208" w:right="1160" w:bottom="0" w:gutter="0" w:footer="0" w:header="0"/>
        </w:sectPr>
      </w:pPr>
    </w:p>
    <w:p>
      <w:pPr>
        <w:spacing w:after="0" w:line="200" w:lineRule="exact"/>
        <w:rPr>
          <w:sz w:val="20"/>
          <w:szCs w:val="20"/>
          <w:color w:val="auto"/>
        </w:rPr>
      </w:pPr>
    </w:p>
    <w:p>
      <w:pPr>
        <w:spacing w:after="0" w:line="3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83</w:t>
      </w:r>
    </w:p>
    <w:p>
      <w:pPr>
        <w:sectPr>
          <w:pgSz w:w="12240" w:h="15840" w:orient="portrait"/>
          <w:cols w:equalWidth="0" w:num="1">
            <w:col w:w="9900"/>
          </w:cols>
          <w:pgMar w:left="1180" w:top="208" w:right="1160" w:bottom="0" w:gutter="0" w:footer="0" w:header="0"/>
          <w:type w:val="continuous"/>
        </w:sectPr>
      </w:pPr>
    </w:p>
    <w:bookmarkStart w:id="83" w:name="page84"/>
    <w:bookmarkEnd w:id="83"/>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40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0"/>
          <w:szCs w:val="20"/>
          <w:color w:val="auto"/>
        </w:rPr>
        <w:t>involve financial institutions or financial services industry companies with which the Company has financial or business relationships, but could also include factors involving financial markets or the financial services industry generally.</w:t>
      </w:r>
    </w:p>
    <w:p>
      <w:pPr>
        <w:spacing w:after="0" w:line="171" w:lineRule="exact"/>
        <w:rPr>
          <w:sz w:val="20"/>
          <w:szCs w:val="20"/>
          <w:color w:val="auto"/>
        </w:rPr>
      </w:pPr>
    </w:p>
    <w:p>
      <w:pPr>
        <w:jc w:val="both"/>
        <w:ind w:firstLine="720"/>
        <w:spacing w:after="0" w:line="249" w:lineRule="auto"/>
        <w:rPr>
          <w:sz w:val="20"/>
          <w:szCs w:val="20"/>
          <w:color w:val="auto"/>
        </w:rPr>
      </w:pPr>
      <w:r>
        <w:rPr>
          <w:rFonts w:ascii="Times New Roman" w:cs="Times New Roman" w:eastAsia="Times New Roman" w:hAnsi="Times New Roman"/>
          <w:sz w:val="20"/>
          <w:szCs w:val="20"/>
          <w:color w:val="auto"/>
        </w:rPr>
        <w:t>The results of events or concerns that involve one or more of these factors could include a variety of material and adverse impacts on our current and projected business operations and our financial condition and results of operations. These could include, but may not be limited to:</w:t>
      </w:r>
    </w:p>
    <w:p>
      <w:pPr>
        <w:spacing w:after="0" w:line="186" w:lineRule="exact"/>
        <w:rPr>
          <w:sz w:val="20"/>
          <w:szCs w:val="20"/>
          <w:color w:val="auto"/>
        </w:rPr>
      </w:pPr>
    </w:p>
    <w:p>
      <w:pPr>
        <w:ind w:left="720" w:hanging="370"/>
        <w:spacing w:after="0"/>
        <w:tabs>
          <w:tab w:leader="none" w:pos="72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delayed access to deposits or other financial assets or the uninsured loss of deposits or other financial assets;</w:t>
      </w:r>
    </w:p>
    <w:p>
      <w:pPr>
        <w:spacing w:after="0" w:line="16" w:lineRule="exact"/>
        <w:rPr>
          <w:rFonts w:ascii="Times New Roman" w:cs="Times New Roman" w:eastAsia="Times New Roman" w:hAnsi="Times New Roman"/>
          <w:sz w:val="20"/>
          <w:szCs w:val="20"/>
          <w:color w:val="auto"/>
        </w:rPr>
      </w:pPr>
    </w:p>
    <w:p>
      <w:pPr>
        <w:jc w:val="both"/>
        <w:ind w:left="720" w:hanging="370"/>
        <w:spacing w:after="0" w:line="233" w:lineRule="auto"/>
        <w:tabs>
          <w:tab w:leader="none" w:pos="72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delayed or lost access to, or reductions in borrowings or other working capital sources and/or delays, inability or reductions in the company’s ability to refund, roll over or extend the maturity of, or enter into new credit facilities or other working capital resources;</w:t>
      </w:r>
    </w:p>
    <w:p>
      <w:pPr>
        <w:spacing w:after="0" w:line="2" w:lineRule="exact"/>
        <w:rPr>
          <w:rFonts w:ascii="Times New Roman" w:cs="Times New Roman" w:eastAsia="Times New Roman" w:hAnsi="Times New Roman"/>
          <w:sz w:val="20"/>
          <w:szCs w:val="20"/>
          <w:color w:val="auto"/>
        </w:rPr>
      </w:pPr>
    </w:p>
    <w:p>
      <w:pPr>
        <w:ind w:left="720" w:hanging="370"/>
        <w:spacing w:after="0" w:line="233" w:lineRule="auto"/>
        <w:tabs>
          <w:tab w:leader="none" w:pos="72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potential or actual breach of financial covenants in our credit agreements or credit arrangements; or</w:t>
      </w:r>
    </w:p>
    <w:p>
      <w:pPr>
        <w:ind w:left="720" w:hanging="370"/>
        <w:spacing w:after="0" w:line="242" w:lineRule="auto"/>
        <w:tabs>
          <w:tab w:leader="none" w:pos="72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potential or actual cross-defaults in other credit agreements, credit arrangements or operating or financing agreements.</w:t>
      </w:r>
    </w:p>
    <w:p>
      <w:pPr>
        <w:spacing w:after="0" w:line="202"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decline in available funding or access to our cash and liquidity resources could, among other risks, adversely impact our ability to meet our operating expenses, financial obligations or fulfill our other obligations, result in breaches of our financial and/or contractual obligations or result in violations of federal or state wage and hour laws. Any of these impacts, or any other impacts resulting from the factors described above or other related or similar factors not described above, could have material adverse impacts on our liquidity and our current and/or projected business operations and financial condition and results of operations.</w:t>
      </w:r>
    </w:p>
    <w:p>
      <w:pPr>
        <w:spacing w:after="0" w:line="320"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Our future success depends on our ability to retain key employees, consultants and advisors and to attract, retain and motivate qualified personnel.</w:t>
      </w:r>
    </w:p>
    <w:p>
      <w:pPr>
        <w:spacing w:after="0" w:line="57" w:lineRule="exact"/>
        <w:rPr>
          <w:sz w:val="20"/>
          <w:szCs w:val="20"/>
          <w:color w:val="auto"/>
        </w:rPr>
      </w:pPr>
    </w:p>
    <w:p>
      <w:pPr>
        <w:jc w:val="both"/>
        <w:ind w:firstLine="720"/>
        <w:spacing w:after="0" w:line="253" w:lineRule="auto"/>
        <w:rPr>
          <w:sz w:val="20"/>
          <w:szCs w:val="20"/>
          <w:color w:val="auto"/>
        </w:rPr>
      </w:pPr>
      <w:r>
        <w:rPr>
          <w:rFonts w:ascii="Times New Roman" w:cs="Times New Roman" w:eastAsia="Times New Roman" w:hAnsi="Times New Roman"/>
          <w:sz w:val="20"/>
          <w:szCs w:val="20"/>
          <w:color w:val="auto"/>
        </w:rPr>
        <w:t>Our ability to compete in the highly competitive biotechnology and pharmaceutical industries depends upon our ability to attract and retain highly qualified managerial, scientific and medical personnel. We are highly dependent on our senior management, including scientific and medical personnel and other key employees. While we expect to engage in an orderly transition process as we integrate newly appointed officers and managers, we face a variety of risks and uncertainties relating to management transition, including diversion of management attention from business concerns, failure to retain other key personnel or loss of institutional knowledge. In addition, the loss of the services of any of our executive officers, other key employees and other scientific and medical advisors, and an inability to find suitable replacements could result in delays in product development and harm our business. In particular, due to our small number of employees, the loss of one employee may have a larger impact on our business than compared to a loss at one of our peers. We currently do not maintain “key person” insurance for any members of our management team.</w:t>
      </w:r>
    </w:p>
    <w:p>
      <w:pPr>
        <w:spacing w:after="0" w:line="216"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We may in the future expand our operations in the U.S. and other geographies, particularly in certain biotech hubs. Competition for skilled personnel in our market is intense and may limit our ability to hire and retain highly qualified personnel on acceptable terms or at all. Changes to immigration and work authorization laws and regulations, including those that restrain the flow of scientific and professional talent, can be significantly affected by political forces and levels of economic activity. Our business may be materially adversely affected if legislative or administrative changes to immigration or visa laws and regulations impair our hiring processes and goals or projects in the key jurisdictions in which we operate.</w:t>
      </w:r>
    </w:p>
    <w:p>
      <w:pPr>
        <w:spacing w:after="0" w:line="210"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To encourage valuable employees to remain at our company, in addition to salary and cash incentives, we have provided equity awards that vest over time. The value to employees of equity awards that vest over time may be significantly affected by movements in our share price that are beyond our control, and may at any time be insufficient to counteract more lucrative offers from other companies. Despite our efforts to retain valuable employees, members of our management, scientific and development teams may terminate their employment with us at any time. Although we have employment agreements with our key employees, certain of these employment agreements provide for at-will employment, which means that any of our employees could leave our employment at any time. Our success also depends on our ability to continue to attract, retain and motivate highly skilled junior, mid-level and senior managers as well as junior, mid-level and senior scientific and medical personnel.</w:t>
      </w:r>
    </w:p>
    <w:p>
      <w:pPr>
        <w:spacing w:after="0" w:line="209" w:lineRule="exact"/>
        <w:rPr>
          <w:sz w:val="20"/>
          <w:szCs w:val="20"/>
          <w:color w:val="auto"/>
        </w:rPr>
      </w:pPr>
    </w:p>
    <w:p>
      <w:pPr>
        <w:jc w:val="both"/>
        <w:ind w:firstLine="720"/>
        <w:spacing w:after="0" w:line="281" w:lineRule="auto"/>
        <w:rPr>
          <w:sz w:val="20"/>
          <w:szCs w:val="20"/>
          <w:color w:val="auto"/>
        </w:rPr>
      </w:pPr>
      <w:r>
        <w:rPr>
          <w:rFonts w:ascii="Times New Roman" w:cs="Times New Roman" w:eastAsia="Times New Roman" w:hAnsi="Times New Roman"/>
          <w:sz w:val="20"/>
          <w:szCs w:val="20"/>
          <w:color w:val="auto"/>
        </w:rPr>
        <w:t>Additionally, we rely on our scientific founders and other scientific and clinical advisors and consultants to assist us in formulating our research, development and clinical strategies. Certain of our scientific founders, advisors and</w:t>
      </w:r>
    </w:p>
    <w:p>
      <w:pPr>
        <w:sectPr>
          <w:pgSz w:w="12240" w:h="15840" w:orient="portrait"/>
          <w:cols w:equalWidth="0" w:num="1">
            <w:col w:w="9880"/>
          </w:cols>
          <w:pgMar w:left="1180" w:top="208" w:right="1180" w:bottom="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84</w:t>
      </w:r>
    </w:p>
    <w:p>
      <w:pPr>
        <w:sectPr>
          <w:pgSz w:w="12240" w:h="15840" w:orient="portrait"/>
          <w:cols w:equalWidth="0" w:num="1">
            <w:col w:w="9880"/>
          </w:cols>
          <w:pgMar w:left="1180" w:top="208" w:right="1180" w:bottom="0" w:gutter="0" w:footer="0" w:header="0"/>
          <w:type w:val="continuous"/>
        </w:sectPr>
      </w:pPr>
    </w:p>
    <w:bookmarkStart w:id="84" w:name="page85"/>
    <w:bookmarkEnd w:id="84"/>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400"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consultants are not our employees and may have commitments to, or consulting or advisory contracts with, other entities that may limit their availability to us. If a conflict of interest arises between their work for us and their work for another entity, we may lose their services. Furthermore, our advisors may have arrangements with other companies to assist those companies in developing products or technologies that may compete with ours. In particular, if we are unable to maintain consulting relationships with our scientific founders or if they provide services to our competitors, our development and commercialization efforts will be impaired and our business will be significantly harmed.</w:t>
      </w:r>
    </w:p>
    <w:p>
      <w:pPr>
        <w:spacing w:after="0" w:line="319"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Our employees may engage in misconduct or other improper activities, including noncompliance with regulatory standards and requirements.</w:t>
      </w:r>
    </w:p>
    <w:p>
      <w:pPr>
        <w:spacing w:after="0" w:line="57" w:lineRule="exact"/>
        <w:rPr>
          <w:sz w:val="20"/>
          <w:szCs w:val="20"/>
          <w:color w:val="auto"/>
        </w:rPr>
      </w:pPr>
    </w:p>
    <w:p>
      <w:pPr>
        <w:jc w:val="both"/>
        <w:ind w:right="20" w:firstLine="720"/>
        <w:spacing w:after="0" w:line="252" w:lineRule="auto"/>
        <w:rPr>
          <w:sz w:val="20"/>
          <w:szCs w:val="20"/>
          <w:color w:val="auto"/>
        </w:rPr>
      </w:pPr>
      <w:r>
        <w:rPr>
          <w:rFonts w:ascii="Times New Roman" w:cs="Times New Roman" w:eastAsia="Times New Roman" w:hAnsi="Times New Roman"/>
          <w:sz w:val="20"/>
          <w:szCs w:val="20"/>
          <w:color w:val="auto"/>
        </w:rPr>
        <w:t>We are exposed to the risk of employee fraud or other misconduct. Misconduct by employees could include intentional failures to comply with FDA regulations, provide accurate information to the FDA, comply with manufacturing standards we may establish, comply with federal and state healthcare fraud and abuse laws and regulations, report financial information or data accurately or disclose unauthorized activities to us. 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Employee misconduct could also involve the improper use of information obtained in the course of clinical trials, which could result in regulatory sanctions and serious harm to our reputation.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330"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57" w:lineRule="exact"/>
        <w:rPr>
          <w:sz w:val="20"/>
          <w:szCs w:val="20"/>
          <w:color w:val="auto"/>
        </w:rPr>
      </w:pPr>
    </w:p>
    <w:p>
      <w:pPr>
        <w:jc w:val="both"/>
        <w:ind w:right="20" w:firstLine="720"/>
        <w:spacing w:after="0" w:line="254" w:lineRule="auto"/>
        <w:rPr>
          <w:sz w:val="20"/>
          <w:szCs w:val="20"/>
          <w:color w:val="auto"/>
        </w:rPr>
      </w:pPr>
      <w:r>
        <w:rPr>
          <w:rFonts w:ascii="Times New Roman" w:cs="Times New Roman" w:eastAsia="Times New Roman" w:hAnsi="Times New Roman"/>
          <w:sz w:val="20"/>
          <w:szCs w:val="20"/>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213" w:lineRule="exact"/>
        <w:rPr>
          <w:sz w:val="20"/>
          <w:szCs w:val="20"/>
          <w:color w:val="auto"/>
        </w:rPr>
      </w:pPr>
    </w:p>
    <w:p>
      <w:pPr>
        <w:jc w:val="both"/>
        <w:ind w:firstLine="720"/>
        <w:spacing w:after="0" w:line="260" w:lineRule="auto"/>
        <w:rPr>
          <w:sz w:val="20"/>
          <w:szCs w:val="20"/>
          <w:color w:val="auto"/>
        </w:rPr>
      </w:pPr>
      <w:r>
        <w:rPr>
          <w:rFonts w:ascii="Times New Roman" w:cs="Times New Roman" w:eastAsia="Times New Roman" w:hAnsi="Times New Roman"/>
          <w:sz w:val="20"/>
          <w:szCs w:val="20"/>
          <w:color w:val="auto"/>
        </w:rPr>
        <w:t>In addition,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spacing w:after="0" w:line="314"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Our internal computer systems have suffered, and our collaborators or other contractors or consultants may suffer from cybersecurity incidents or data breaches, which could result in a material disruption of our product development programs.</w:t>
      </w:r>
    </w:p>
    <w:p>
      <w:pPr>
        <w:spacing w:after="0" w:line="76" w:lineRule="exact"/>
        <w:rPr>
          <w:sz w:val="20"/>
          <w:szCs w:val="20"/>
          <w:color w:val="auto"/>
        </w:rPr>
      </w:pPr>
    </w:p>
    <w:p>
      <w:pPr>
        <w:jc w:val="both"/>
        <w:ind w:firstLine="720"/>
        <w:spacing w:after="0" w:line="253" w:lineRule="auto"/>
        <w:rPr>
          <w:sz w:val="20"/>
          <w:szCs w:val="20"/>
          <w:color w:val="auto"/>
        </w:rPr>
      </w:pPr>
      <w:r>
        <w:rPr>
          <w:rFonts w:ascii="Times New Roman" w:cs="Times New Roman" w:eastAsia="Times New Roman" w:hAnsi="Times New Roman"/>
          <w:sz w:val="20"/>
          <w:szCs w:val="20"/>
          <w:color w:val="auto"/>
        </w:rPr>
        <w:t>In the ordinary course of our business, we may store, use, process or otherwise gain access to certain sensitive information, including proprietary information, confidential information, personal data and personal health data, intellectual property, trade secrets, and proprietary business information owned or controlled by ourselves or other parties. We may use third-party service providers and sub-processors to help us operate our business and our partners or other third parties may have access to such sensitive information or our systems or infrastructure in conjunction with our business. We may be required to expend significant resources, at significant cost, fundamentally change our business activities and practices, or modify our operations, including our clinical trial activities, or information technology in an effort to protect against security compromises or incidents, including cybersecurity incidents and data breaches and to mitigate, detect, and remediate actual or potential vulnerabilities to our information technology systems as well as harm stemming from cybersecurity threats such as cybersecurity incidents and data breaches. Our internal computer systems and infrastructure (including, without limitation, any relevant sensitive information and other assets stored therein or accessible thereby) and those of our current and any future collaborators, contractors or consultants are vulnerable to damage from a variety of</w:t>
      </w:r>
    </w:p>
    <w:p>
      <w:pPr>
        <w:sectPr>
          <w:pgSz w:w="12240" w:h="15840" w:orient="portrait"/>
          <w:cols w:equalWidth="0" w:num="1">
            <w:col w:w="9900"/>
          </w:cols>
          <w:pgMar w:left="1180" w:top="208" w:right="1160" w:bottom="0" w:gutter="0" w:footer="0" w:header="0"/>
        </w:sectPr>
      </w:pPr>
    </w:p>
    <w:p>
      <w:pPr>
        <w:spacing w:after="0" w:line="200" w:lineRule="exact"/>
        <w:rPr>
          <w:sz w:val="20"/>
          <w:szCs w:val="20"/>
          <w:color w:val="auto"/>
        </w:rPr>
      </w:pPr>
    </w:p>
    <w:p>
      <w:pPr>
        <w:spacing w:after="0" w:line="3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85</w:t>
      </w:r>
    </w:p>
    <w:p>
      <w:pPr>
        <w:sectPr>
          <w:pgSz w:w="12240" w:h="15840" w:orient="portrait"/>
          <w:cols w:equalWidth="0" w:num="1">
            <w:col w:w="9900"/>
          </w:cols>
          <w:pgMar w:left="1180" w:top="208" w:right="1160" w:bottom="0" w:gutter="0" w:footer="0" w:header="0"/>
          <w:type w:val="continuous"/>
        </w:sectPr>
      </w:pPr>
    </w:p>
    <w:bookmarkStart w:id="85" w:name="page86"/>
    <w:bookmarkEnd w:id="85"/>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40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evolving threats, including computer viruses, bugs, malware, unauthorized access, denial-of-service attacks, service interruptions, system malfunction (such as credential stuffing), social engineering attacks (such as phishing attacks), business email compromises, ransomware attacks, user errors or malfeasance, natural disasters, terrorism, war and telecommunication and electrical failures, as well as security compromises, from inadvertent or intentional wrongful actions by insider employees, vendors, contractors, consultants, business partners, and/or other third parties, or from cyber-attacks by malicious third parties. These attacks and activity are also being facilitated or enhanced by evolving technologies, including artificial intelligence.</w:t>
      </w:r>
    </w:p>
    <w:p>
      <w:pPr>
        <w:spacing w:after="0" w:line="210"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Like other companies in our industry, we, and our third party vendors, have experienced threats and cybersecurity incidents relating to our information technology systems and infrastructure. For example, in the past, Centessa experienced unauthorized access to systems through social engineering schemes. Although such past cyber-attacks did not result in material disruption to our business nor did they result in material loss, if any such material system failure, accident or cybersecurity compromises, incident, or data breach were to occur, it could result in a material disruption of our development programs and our business operations, whether due to a loss of our trade secrets or other sensitive information or other similar disruptions. A cyber-attack may also, impact the systems and infrastructure necessary for our business operations, expose us to significant liability and/or necessitate that we incur significant costs to address such failure, accident or security compromises, cybersecurity incidents, or data breaches. For example, the loss of clinical trial data from completed or future clinical trials could result in delays in our regulatory approval efforts and significantly increase our costs to recover or reproduce the data and expose us to data breach claims. In addition, failures or significant downtime of our information technology or telecommunication systems or infrastructure or those used by our third-party service providers could cause significant interruptions in our operations and adversely impact the confidentiality, integrity and availability of sensitive information. We may also be subject to server malfunctions, software or hardware failures, cyber-attacks (including supply-chain cyber-attacks), loss of data or other computer assets, and other similar issues. A significant portion of our workforce works remotely, which has increased the risk to our information technology assets and data.</w:t>
      </w:r>
    </w:p>
    <w:p>
      <w:pPr>
        <w:spacing w:after="0" w:line="216" w:lineRule="exact"/>
        <w:rPr>
          <w:sz w:val="20"/>
          <w:szCs w:val="20"/>
          <w:color w:val="auto"/>
        </w:rPr>
      </w:pPr>
    </w:p>
    <w:p>
      <w:pPr>
        <w:jc w:val="both"/>
        <w:ind w:firstLine="720"/>
        <w:spacing w:after="0" w:line="251" w:lineRule="auto"/>
        <w:rPr>
          <w:sz w:val="20"/>
          <w:szCs w:val="20"/>
          <w:color w:val="auto"/>
        </w:rPr>
      </w:pPr>
      <w:r>
        <w:rPr>
          <w:rFonts w:ascii="Times New Roman" w:cs="Times New Roman" w:eastAsia="Times New Roman" w:hAnsi="Times New Roman"/>
          <w:sz w:val="20"/>
          <w:szCs w:val="20"/>
          <w:color w:val="auto"/>
        </w:rPr>
        <w:t>To the extent that any disruption or cybersecurity compromise, cybersecurity incident, or data breach were to result in a loss of, or damage to, our data systems, infrastructure, or applications, or inappropriate disclosure, access to, or use of sensitive information, we could incur liability, our competitive position could be harmed and the further development and commercialization of our product candidates could be delayed. Relevant laws, regulations, and industry standards, as well as contractual obligations, may require us to implement specific security measures or use industry-standard or reasonable measures to protect against cybersecurity compromises, cybersecurity incidents and data breaches. Even though we have taken security measures designed to protect against cybersecurity incidents and/or data breaches, there can be no assurance that such security measures or those of our service providers, partners and other third parties will be effective in protecting against disruptions or cybersecurity compromises, cybersecurity incidents, or data breaches, or mitigating against the impact or the adverse consequences thereof. We may be unable to detect, anticipate, measure, prevent, or remediate threats or techniques used to detect or exploit vulnerabilities in our (or our third parties’) information technology, services, communications or software, or to cause cybersecurity compromises, cybersecurity incidents, or data breaches. Attempts to disrupt or gain unauthorized access to our and our third-party vendors’ information systems from malicious third parties or insider threats may incorporate widely varying and frequently changing tactics, which may be enhanced or facilitated by artificial intelligence. Such threats and techniques change frequently, are often sophisticated in nature, and may not be detected until after a cybersecurity incident or data breach has occurred. We cannot be certain that we will be able to address any such vulnerabilities, in whole or part, and there may be delays in developing and deploying patches and other remedial measures to adequately address vulnerabilities. Relevant laws, regulations, and industry standards, as well as contractual obligations, may also require us to notify relevant stakeholders (including affected individuals, partners, collaborators, customers, regulators, law enforcement agencies, credit reporting agencies and others) of cybersecurity incidents or data breaches. Such disclosures are costly and could also have a material adverse effect on our reputation, business, or financial condition.</w:t>
      </w:r>
    </w:p>
    <w:p>
      <w:pPr>
        <w:spacing w:after="0" w:line="229" w:lineRule="exact"/>
        <w:rPr>
          <w:sz w:val="20"/>
          <w:szCs w:val="20"/>
          <w:color w:val="auto"/>
        </w:rPr>
      </w:pPr>
    </w:p>
    <w:p>
      <w:pPr>
        <w:jc w:val="both"/>
        <w:ind w:firstLine="720"/>
        <w:spacing w:after="0" w:line="253" w:lineRule="auto"/>
        <w:rPr>
          <w:sz w:val="20"/>
          <w:szCs w:val="20"/>
          <w:color w:val="auto"/>
        </w:rPr>
      </w:pPr>
      <w:r>
        <w:rPr>
          <w:rFonts w:ascii="Times New Roman" w:cs="Times New Roman" w:eastAsia="Times New Roman" w:hAnsi="Times New Roman"/>
          <w:sz w:val="20"/>
          <w:szCs w:val="20"/>
          <w:color w:val="auto"/>
        </w:rPr>
        <w:t>Actual or perceived cybersecurity compromises, cybersecurity incidents, data breaches or other information technology system vulnerabilities, lack of appropriate information security safeguards and concerns regarding data privacy or cybersecurity may cause some of our actual or prospective customers, collaborators, partners and/or clinical trial participants to stop participating in our trials, using our products or working with us. Additionally, regulators could impose penalties and monetary fines against us for similar concerns, or we could incur other liability in connection with or resulting from litigation or governmental investigations and enforcement actions. The discontinuance of relationships with third parties, or the failure to meet the expectations of such third parties, and/or litigation, regulatory investigation or enforcement, could result in material harm to our operations, financial performance or reputation and affect our ability to grow and operate our business. Our contracts may not contain limitations of liability, and even where they do, there can be no assurance that limitations of liability in our contracts are sufficient to protect us from liabilities, damages, or claims</w:t>
      </w:r>
    </w:p>
    <w:p>
      <w:pPr>
        <w:sectPr>
          <w:pgSz w:w="12240" w:h="15840" w:orient="portrait"/>
          <w:cols w:equalWidth="0" w:num="1">
            <w:col w:w="9900"/>
          </w:cols>
          <w:pgMar w:left="1180" w:top="208" w:right="1160" w:bottom="0" w:gutter="0" w:footer="0" w:header="0"/>
        </w:sectPr>
      </w:pPr>
    </w:p>
    <w:p>
      <w:pPr>
        <w:spacing w:after="0" w:line="200" w:lineRule="exact"/>
        <w:rPr>
          <w:sz w:val="20"/>
          <w:szCs w:val="20"/>
          <w:color w:val="auto"/>
        </w:rPr>
      </w:pPr>
    </w:p>
    <w:p>
      <w:pPr>
        <w:spacing w:after="0" w:line="34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86</w:t>
      </w:r>
    </w:p>
    <w:p>
      <w:pPr>
        <w:sectPr>
          <w:pgSz w:w="12240" w:h="15840" w:orient="portrait"/>
          <w:cols w:equalWidth="0" w:num="1">
            <w:col w:w="9900"/>
          </w:cols>
          <w:pgMar w:left="1180" w:top="208" w:right="1160" w:bottom="0" w:gutter="0" w:footer="0" w:header="0"/>
          <w:type w:val="continuous"/>
        </w:sectPr>
      </w:pPr>
    </w:p>
    <w:bookmarkStart w:id="86" w:name="page87"/>
    <w:bookmarkEnd w:id="86"/>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400"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related to our privacy and data security obligations. We cannot be sure that our insurance coverage, if any, will be adequate or otherwise protect us from or adequately mitigate liabilities arising out of such cybersecurity compromises, cybersecurity incidents, data breaches or other information technology system vulnerabilities. The successful assertion of one or more large claims against us that exceeds our available insurance coverage, or results in changes to our insurance policies (including premium increases or the imposition of large excess or deductible or co-insurance requirements), could materially and adversely affect our business.</w:t>
      </w:r>
    </w:p>
    <w:p>
      <w:pPr>
        <w:spacing w:after="0" w:line="319"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Our international operations may expose us to business, regulatory, legal, political, operational, financial, pricing and reimbursement risks associated with doing business across multiple jurisdictions outside of the United States.</w:t>
      </w:r>
    </w:p>
    <w:p>
      <w:pPr>
        <w:spacing w:after="0" w:line="57" w:lineRule="exact"/>
        <w:rPr>
          <w:sz w:val="20"/>
          <w:szCs w:val="20"/>
          <w:color w:val="auto"/>
        </w:rPr>
      </w:pPr>
    </w:p>
    <w:p>
      <w:pPr>
        <w:jc w:val="both"/>
        <w:ind w:right="20" w:firstLine="720"/>
        <w:spacing w:after="0" w:line="256" w:lineRule="auto"/>
        <w:rPr>
          <w:sz w:val="20"/>
          <w:szCs w:val="20"/>
          <w:color w:val="auto"/>
        </w:rPr>
      </w:pPr>
      <w:r>
        <w:rPr>
          <w:rFonts w:ascii="Times New Roman" w:cs="Times New Roman" w:eastAsia="Times New Roman" w:hAnsi="Times New Roman"/>
          <w:sz w:val="20"/>
          <w:szCs w:val="20"/>
          <w:color w:val="auto"/>
        </w:rPr>
        <w:t>Our business is subject to risks associated with conducting business internationally. Our subsidiaries, suppliers, industry partners and clinical study centers are located and/or conduct business across Europe, the United States and certain other jurisdictions. Furthermore, our business strategy incorporates potential international expansion as we seek to obtain regulatory approval for, and commercialize, our product candidates in patient populations outside the United States. If approved, we may hire sales representatives and conduct physician and patient association outreach activities across multiple jurisdictions. Doing business internationally involves a number of risks, including but not limited to:</w:t>
      </w:r>
    </w:p>
    <w:p>
      <w:pPr>
        <w:spacing w:after="0" w:line="88" w:lineRule="exact"/>
        <w:rPr>
          <w:sz w:val="20"/>
          <w:szCs w:val="20"/>
          <w:color w:val="auto"/>
        </w:rPr>
      </w:pPr>
    </w:p>
    <w:p>
      <w:pPr>
        <w:jc w:val="both"/>
        <w:ind w:left="1080" w:right="20" w:hanging="370"/>
        <w:spacing w:after="0" w:line="266" w:lineRule="auto"/>
        <w:tabs>
          <w:tab w:leader="none" w:pos="108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multiple, conflicting and changing laws, regulations, and compliance requirements such as privacy regulations, tax laws and practice, export and import restrictions, employment laws, regulatory requirements, and other governmental approvals, permits and licenses;</w:t>
      </w:r>
    </w:p>
    <w:p>
      <w:pPr>
        <w:spacing w:after="0" w:line="75" w:lineRule="exact"/>
        <w:rPr>
          <w:rFonts w:ascii="Times New Roman" w:cs="Times New Roman" w:eastAsia="Times New Roman" w:hAnsi="Times New Roman"/>
          <w:sz w:val="20"/>
          <w:szCs w:val="20"/>
          <w:color w:val="auto"/>
        </w:rPr>
      </w:pPr>
    </w:p>
    <w:p>
      <w:pPr>
        <w:ind w:left="1080" w:hanging="370"/>
        <w:spacing w:after="0"/>
        <w:tabs>
          <w:tab w:leader="none" w:pos="108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failure by us to obtain and maintain regulatory approvals for the use of our products in various countries;</w:t>
      </w:r>
    </w:p>
    <w:p>
      <w:pPr>
        <w:spacing w:after="0" w:line="130" w:lineRule="exact"/>
        <w:rPr>
          <w:rFonts w:ascii="Times New Roman" w:cs="Times New Roman" w:eastAsia="Times New Roman" w:hAnsi="Times New Roman"/>
          <w:sz w:val="20"/>
          <w:szCs w:val="20"/>
          <w:color w:val="auto"/>
        </w:rPr>
      </w:pPr>
    </w:p>
    <w:p>
      <w:pPr>
        <w:ind w:left="1080" w:hanging="370"/>
        <w:spacing w:after="0"/>
        <w:tabs>
          <w:tab w:leader="none" w:pos="108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rejection or qualification of foreign clinical trial data by the competent authorities of other countries;</w:t>
      </w:r>
    </w:p>
    <w:p>
      <w:pPr>
        <w:spacing w:after="0" w:line="130" w:lineRule="exact"/>
        <w:rPr>
          <w:rFonts w:ascii="Times New Roman" w:cs="Times New Roman" w:eastAsia="Times New Roman" w:hAnsi="Times New Roman"/>
          <w:sz w:val="20"/>
          <w:szCs w:val="20"/>
          <w:color w:val="auto"/>
        </w:rPr>
      </w:pPr>
    </w:p>
    <w:p>
      <w:pPr>
        <w:ind w:left="1080" w:hanging="370"/>
        <w:spacing w:after="0"/>
        <w:tabs>
          <w:tab w:leader="none" w:pos="108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additional potentially relevant third-party patent rights;</w:t>
      </w:r>
    </w:p>
    <w:p>
      <w:pPr>
        <w:spacing w:after="0" w:line="130" w:lineRule="exact"/>
        <w:rPr>
          <w:rFonts w:ascii="Times New Roman" w:cs="Times New Roman" w:eastAsia="Times New Roman" w:hAnsi="Times New Roman"/>
          <w:sz w:val="20"/>
          <w:szCs w:val="20"/>
          <w:color w:val="auto"/>
        </w:rPr>
      </w:pPr>
    </w:p>
    <w:p>
      <w:pPr>
        <w:ind w:left="1080" w:hanging="370"/>
        <w:spacing w:after="0"/>
        <w:tabs>
          <w:tab w:leader="none" w:pos="108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complexities and difficulties in obtaining, maintaining, protecting and enforcing our intellectual property;</w:t>
      </w:r>
    </w:p>
    <w:p>
      <w:pPr>
        <w:spacing w:after="0" w:line="130" w:lineRule="exact"/>
        <w:rPr>
          <w:rFonts w:ascii="Times New Roman" w:cs="Times New Roman" w:eastAsia="Times New Roman" w:hAnsi="Times New Roman"/>
          <w:sz w:val="20"/>
          <w:szCs w:val="20"/>
          <w:color w:val="auto"/>
        </w:rPr>
      </w:pPr>
    </w:p>
    <w:p>
      <w:pPr>
        <w:ind w:left="1080" w:hanging="370"/>
        <w:spacing w:after="0"/>
        <w:tabs>
          <w:tab w:leader="none" w:pos="108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difficulties in staffing and managing foreign operations;</w:t>
      </w:r>
    </w:p>
    <w:p>
      <w:pPr>
        <w:spacing w:after="0" w:line="130" w:lineRule="exact"/>
        <w:rPr>
          <w:rFonts w:ascii="Times New Roman" w:cs="Times New Roman" w:eastAsia="Times New Roman" w:hAnsi="Times New Roman"/>
          <w:sz w:val="20"/>
          <w:szCs w:val="20"/>
          <w:color w:val="auto"/>
        </w:rPr>
      </w:pPr>
    </w:p>
    <w:p>
      <w:pPr>
        <w:ind w:left="1080" w:right="20" w:hanging="370"/>
        <w:spacing w:after="0" w:line="281" w:lineRule="auto"/>
        <w:tabs>
          <w:tab w:leader="none" w:pos="108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complexities associated with managing multiple payor reimbursement regimes, government payors or patient self-pay systems;</w:t>
      </w:r>
    </w:p>
    <w:p>
      <w:pPr>
        <w:spacing w:after="0" w:line="61" w:lineRule="exact"/>
        <w:rPr>
          <w:rFonts w:ascii="Times New Roman" w:cs="Times New Roman" w:eastAsia="Times New Roman" w:hAnsi="Times New Roman"/>
          <w:sz w:val="20"/>
          <w:szCs w:val="20"/>
          <w:color w:val="auto"/>
        </w:rPr>
      </w:pPr>
    </w:p>
    <w:p>
      <w:pPr>
        <w:ind w:left="1080" w:hanging="370"/>
        <w:spacing w:after="0"/>
        <w:tabs>
          <w:tab w:leader="none" w:pos="108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limits in our ability to penetrate international markets;</w:t>
      </w:r>
    </w:p>
    <w:p>
      <w:pPr>
        <w:spacing w:after="0" w:line="130" w:lineRule="exact"/>
        <w:rPr>
          <w:rFonts w:ascii="Times New Roman" w:cs="Times New Roman" w:eastAsia="Times New Roman" w:hAnsi="Times New Roman"/>
          <w:sz w:val="20"/>
          <w:szCs w:val="20"/>
          <w:color w:val="auto"/>
        </w:rPr>
      </w:pPr>
    </w:p>
    <w:p>
      <w:pPr>
        <w:jc w:val="both"/>
        <w:ind w:left="1080" w:right="20" w:hanging="370"/>
        <w:spacing w:after="0" w:line="266" w:lineRule="auto"/>
        <w:tabs>
          <w:tab w:leader="none" w:pos="108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financial risks, such as longer payment cycles, difficulty collecting accounts receivable, the impact of local and regional financial crises on demand and payment for our products and exposure to foreign currency exchange rate fluctuations;</w:t>
      </w:r>
    </w:p>
    <w:p>
      <w:pPr>
        <w:spacing w:after="0" w:line="75" w:lineRule="exact"/>
        <w:rPr>
          <w:rFonts w:ascii="Times New Roman" w:cs="Times New Roman" w:eastAsia="Times New Roman" w:hAnsi="Times New Roman"/>
          <w:sz w:val="20"/>
          <w:szCs w:val="20"/>
          <w:color w:val="auto"/>
        </w:rPr>
      </w:pPr>
    </w:p>
    <w:p>
      <w:pPr>
        <w:ind w:left="1080" w:right="20" w:hanging="370"/>
        <w:spacing w:after="0" w:line="281" w:lineRule="auto"/>
        <w:tabs>
          <w:tab w:leader="none" w:pos="108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natural disasters, political and economic instability, including wars, terrorism and political unrest, outbreak of disease, boycotts, curtailment of trade and other business restrictions;</w:t>
      </w:r>
    </w:p>
    <w:p>
      <w:pPr>
        <w:spacing w:after="0" w:line="61" w:lineRule="exact"/>
        <w:rPr>
          <w:rFonts w:ascii="Times New Roman" w:cs="Times New Roman" w:eastAsia="Times New Roman" w:hAnsi="Times New Roman"/>
          <w:sz w:val="20"/>
          <w:szCs w:val="20"/>
          <w:color w:val="auto"/>
        </w:rPr>
      </w:pPr>
    </w:p>
    <w:p>
      <w:pPr>
        <w:ind w:left="1080" w:hanging="370"/>
        <w:spacing w:after="0"/>
        <w:tabs>
          <w:tab w:leader="none" w:pos="108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certain expenses including, among others, expenses for travel, translation and insurance; and</w:t>
      </w:r>
    </w:p>
    <w:p>
      <w:pPr>
        <w:spacing w:after="0" w:line="130" w:lineRule="exact"/>
        <w:rPr>
          <w:rFonts w:ascii="Times New Roman" w:cs="Times New Roman" w:eastAsia="Times New Roman" w:hAnsi="Times New Roman"/>
          <w:sz w:val="20"/>
          <w:szCs w:val="20"/>
          <w:color w:val="auto"/>
        </w:rPr>
      </w:pPr>
    </w:p>
    <w:p>
      <w:pPr>
        <w:jc w:val="both"/>
        <w:ind w:left="1080" w:hanging="370"/>
        <w:spacing w:after="0" w:line="266" w:lineRule="auto"/>
        <w:tabs>
          <w:tab w:leader="none" w:pos="108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regulatory and compliance risks that relate to anti-corruption compliance and record-keeping that may fall within the purview of the U.S. Foreign Corrupt Practices Act and/or the UK Bribery Act of 2010, or provisions of anti-corruption or anti-bribery laws in other countries.</w:t>
      </w:r>
    </w:p>
    <w:p>
      <w:pPr>
        <w:spacing w:after="0" w:line="195" w:lineRule="exact"/>
        <w:rPr>
          <w:sz w:val="20"/>
          <w:szCs w:val="20"/>
          <w:color w:val="auto"/>
        </w:rPr>
      </w:pPr>
    </w:p>
    <w:p>
      <w:pPr>
        <w:jc w:val="both"/>
        <w:ind w:right="20" w:firstLine="720"/>
        <w:spacing w:after="0" w:line="281" w:lineRule="auto"/>
        <w:rPr>
          <w:sz w:val="20"/>
          <w:szCs w:val="20"/>
          <w:color w:val="auto"/>
        </w:rPr>
      </w:pPr>
      <w:r>
        <w:rPr>
          <w:rFonts w:ascii="Times New Roman" w:cs="Times New Roman" w:eastAsia="Times New Roman" w:hAnsi="Times New Roman"/>
          <w:sz w:val="20"/>
          <w:szCs w:val="20"/>
          <w:color w:val="auto"/>
        </w:rPr>
        <w:t>Any of these factors could harm our future international expansion and operations and, consequently, our results of operations.</w:t>
      </w:r>
    </w:p>
    <w:p>
      <w:pPr>
        <w:spacing w:after="0" w:line="292"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We may be subject, directly or indirectly, to federal and state healthcare fraud and abuse laws, false claims laws and health information privacy and security laws. If we are unable to comply, or have not fully complied, with such laws, we could face substantial penalties.</w:t>
      </w:r>
    </w:p>
    <w:p>
      <w:pPr>
        <w:spacing w:after="0" w:line="76" w:lineRule="exact"/>
        <w:rPr>
          <w:sz w:val="20"/>
          <w:szCs w:val="20"/>
          <w:color w:val="auto"/>
        </w:rPr>
      </w:pPr>
    </w:p>
    <w:p>
      <w:pPr>
        <w:jc w:val="both"/>
        <w:ind w:firstLine="720"/>
        <w:spacing w:after="0" w:line="256" w:lineRule="auto"/>
        <w:rPr>
          <w:sz w:val="20"/>
          <w:szCs w:val="20"/>
          <w:color w:val="auto"/>
        </w:rPr>
      </w:pPr>
      <w:r>
        <w:rPr>
          <w:rFonts w:ascii="Times New Roman" w:cs="Times New Roman" w:eastAsia="Times New Roman" w:hAnsi="Times New Roman"/>
          <w:sz w:val="20"/>
          <w:szCs w:val="20"/>
          <w:color w:val="auto"/>
        </w:rPr>
        <w:t>If we obtain FDA approval for any of our product candidates and begin commercializing those products in the United States, our operations will be directly, or indirectly through our prescribers, customers and purchasers, subject to various federal and state fraud and abuse laws and regulations, including, without limitation, the federal Health Care Program Anti-Kickback Statute, the federal civil and criminal False Claims Act and Physician Payments Sunshine Act and regulations. These laws will impact, among other things, our proposed sales, marketing and educational programs. In addition, we may be subject to patient privacy laws by both the federal government and the states in which we conduct our</w:t>
      </w:r>
    </w:p>
    <w:p>
      <w:pPr>
        <w:sectPr>
          <w:pgSz w:w="12240" w:h="15840" w:orient="portrait"/>
          <w:cols w:equalWidth="0" w:num="1">
            <w:col w:w="9900"/>
          </w:cols>
          <w:pgMar w:left="1180" w:top="20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87</w:t>
      </w:r>
    </w:p>
    <w:p>
      <w:pPr>
        <w:sectPr>
          <w:pgSz w:w="12240" w:h="15840" w:orient="portrait"/>
          <w:cols w:equalWidth="0" w:num="1">
            <w:col w:w="9900"/>
          </w:cols>
          <w:pgMar w:left="1180" w:top="208" w:right="1160" w:bottom="0" w:gutter="0" w:footer="0" w:header="0"/>
          <w:type w:val="continuous"/>
        </w:sectPr>
      </w:pPr>
    </w:p>
    <w:bookmarkStart w:id="87" w:name="page88"/>
    <w:bookmarkEnd w:id="87"/>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96"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20"/>
          <w:szCs w:val="20"/>
          <w:color w:val="auto"/>
        </w:rPr>
        <w:t>business. See section entitled “</w:t>
      </w:r>
      <w:r>
        <w:rPr>
          <w:rFonts w:ascii="Times New Roman" w:cs="Times New Roman" w:eastAsia="Times New Roman" w:hAnsi="Times New Roman"/>
          <w:sz w:val="20"/>
          <w:szCs w:val="20"/>
          <w:b w:val="1"/>
          <w:bCs w:val="1"/>
          <w:i w:val="1"/>
          <w:iCs w:val="1"/>
          <w:color w:val="auto"/>
        </w:rPr>
        <w:t>Business – Government Regulation – Other United States Healthcare Laws</w:t>
      </w:r>
      <w:r>
        <w:rPr>
          <w:rFonts w:ascii="Times New Roman" w:cs="Times New Roman" w:eastAsia="Times New Roman" w:hAnsi="Times New Roman"/>
          <w:sz w:val="20"/>
          <w:szCs w:val="20"/>
          <w:color w:val="auto"/>
        </w:rPr>
        <w:t>” in this Annual Report on Form 10-K.</w:t>
      </w:r>
    </w:p>
    <w:p>
      <w:pPr>
        <w:spacing w:after="0" w:line="178"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Because of the breadth of these laws and the narrowness of the statutory exceptions and safe harbors available, it is possible that some of our business activities could be subject to challenge under one or more of such laws. If our operations are found to be in violation of any of the laws described above or any other government regulations that apply to us, we may be subject to penalties, including civil and criminal penalties, damages, fines, exclusion from participation in government health care programs, such as Medicare and Medicaid, individual imprisonment and the curtailment or restructuring of our operations, any of which could adversely affect our ability to operate our business and our results of operations.</w:t>
      </w:r>
    </w:p>
    <w:p>
      <w:pPr>
        <w:spacing w:after="0" w:line="210" w:lineRule="exact"/>
        <w:rPr>
          <w:sz w:val="20"/>
          <w:szCs w:val="20"/>
          <w:color w:val="auto"/>
        </w:rPr>
      </w:pPr>
    </w:p>
    <w:p>
      <w:pPr>
        <w:jc w:val="both"/>
        <w:ind w:right="20" w:firstLine="720"/>
        <w:spacing w:after="0" w:line="258" w:lineRule="auto"/>
        <w:rPr>
          <w:sz w:val="20"/>
          <w:szCs w:val="20"/>
          <w:color w:val="auto"/>
        </w:rPr>
      </w:pPr>
      <w:r>
        <w:rPr>
          <w:rFonts w:ascii="Times New Roman" w:cs="Times New Roman" w:eastAsia="Times New Roman" w:hAnsi="Times New Roman"/>
          <w:sz w:val="20"/>
          <w:szCs w:val="20"/>
          <w:color w:val="auto"/>
        </w:rPr>
        <w:t>The provision of benefits or advantages to physicians to induce or encourage the prescription, recommendation, endorsement, purchase, supply, order or use of medicinal products is prohibited in the EU. The provision of benefits or advantages to induce or reward improper performance generally is also governed by the national anti-bribery laws of EU Member States, and the Bribery Act 2010 in the UK. Infringement of these laws could result in substantial fines and individual imprisonment.</w:t>
      </w:r>
    </w:p>
    <w:p>
      <w:pPr>
        <w:spacing w:after="0" w:line="204" w:lineRule="exact"/>
        <w:rPr>
          <w:sz w:val="20"/>
          <w:szCs w:val="20"/>
          <w:color w:val="auto"/>
        </w:rPr>
      </w:pPr>
    </w:p>
    <w:p>
      <w:pPr>
        <w:jc w:val="both"/>
        <w:ind w:firstLine="720"/>
        <w:spacing w:after="0" w:line="256" w:lineRule="auto"/>
        <w:rPr>
          <w:sz w:val="20"/>
          <w:szCs w:val="20"/>
          <w:color w:val="auto"/>
        </w:rPr>
      </w:pPr>
      <w:r>
        <w:rPr>
          <w:rFonts w:ascii="Times New Roman" w:cs="Times New Roman" w:eastAsia="Times New Roman" w:hAnsi="Times New Roman"/>
          <w:sz w:val="20"/>
          <w:szCs w:val="20"/>
          <w:color w:val="auto"/>
        </w:rPr>
        <w:t>Payments made to physicians in certain EU Member States must be publicly disclosed. Moreover, agreements with physicians often must be the subject of prior notification and approval by the physician’s employer, his or her competent professional organization and/or the regulatory authorities of the individual EU Member States. These requirements are provided in the national laws, industry codes or professional codes of conduct, applicable in the EU Member States. Failure to comply with these requirements could result in reputational risk, public reprimands, administrative penalties, fines or individual imprisonment.</w:t>
      </w:r>
    </w:p>
    <w:p>
      <w:pPr>
        <w:spacing w:after="0" w:line="208" w:lineRule="exact"/>
        <w:rPr>
          <w:sz w:val="20"/>
          <w:szCs w:val="20"/>
          <w:color w:val="auto"/>
        </w:rPr>
      </w:pPr>
    </w:p>
    <w:p>
      <w:pPr>
        <w:jc w:val="both"/>
        <w:ind w:right="20" w:firstLine="720"/>
        <w:spacing w:after="0" w:line="266" w:lineRule="auto"/>
        <w:rPr>
          <w:sz w:val="20"/>
          <w:szCs w:val="20"/>
          <w:color w:val="auto"/>
        </w:rPr>
      </w:pPr>
      <w:r>
        <w:rPr>
          <w:rFonts w:ascii="Times New Roman" w:cs="Times New Roman" w:eastAsia="Times New Roman" w:hAnsi="Times New Roman"/>
          <w:sz w:val="20"/>
          <w:szCs w:val="20"/>
          <w:color w:val="auto"/>
        </w:rPr>
        <w:t>For further information on privacy laws, regulations and standards, as well as policies, contracts and other obligations related to data privacy and security, and the potential application thereof to our operations (including in relation to our use of health-related personal data), see the sub-section immediately below this.</w:t>
      </w:r>
    </w:p>
    <w:p>
      <w:pPr>
        <w:spacing w:after="0" w:line="306"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We are subject to stringent and changing privacy laws, regulations and standards as well as policies, contracts and other obligations related to data privacy and security. Our actual or perceived failure to comply with such obligations could lead to government enforcement actions (that could include fines and penalties), a disruption of our clinical trials or commercialization of our products, private litigation, harm to our reputation, or other adverse effects on our business or prospects.</w:t>
      </w:r>
    </w:p>
    <w:p>
      <w:pPr>
        <w:spacing w:after="0" w:line="88" w:lineRule="exact"/>
        <w:rPr>
          <w:sz w:val="20"/>
          <w:szCs w:val="20"/>
          <w:color w:val="auto"/>
        </w:rPr>
      </w:pPr>
    </w:p>
    <w:p>
      <w:pPr>
        <w:jc w:val="both"/>
        <w:ind w:right="20" w:firstLine="720"/>
        <w:spacing w:after="0" w:line="258" w:lineRule="auto"/>
        <w:rPr>
          <w:sz w:val="20"/>
          <w:szCs w:val="20"/>
          <w:color w:val="auto"/>
        </w:rPr>
      </w:pPr>
      <w:r>
        <w:rPr>
          <w:rFonts w:ascii="Times New Roman" w:cs="Times New Roman" w:eastAsia="Times New Roman" w:hAnsi="Times New Roman"/>
          <w:sz w:val="20"/>
          <w:szCs w:val="20"/>
          <w:color w:val="auto"/>
        </w:rPr>
        <w:t>The legislative and regulatory framework relating to the collection, use, retention, safeguarding, disclosure, sharing, transfer, security and other processing (collectively, “Process” or “Processing”) of personal data (including health-related personal data) worldwide is rapidly evolving and is likely to remain uncertain for the foreseeable future. Globally, virtually every jurisdiction in which we operate has established its own data security and privacy frameworks with which we must comply and some of which may impose potentially conflicting obligations.</w:t>
      </w:r>
    </w:p>
    <w:p>
      <w:pPr>
        <w:spacing w:after="0" w:line="204" w:lineRule="exact"/>
        <w:rPr>
          <w:sz w:val="20"/>
          <w:szCs w:val="20"/>
          <w:color w:val="auto"/>
        </w:rPr>
      </w:pPr>
    </w:p>
    <w:p>
      <w:pPr>
        <w:jc w:val="both"/>
        <w:ind w:firstLine="720"/>
        <w:spacing w:after="0" w:line="253" w:lineRule="auto"/>
        <w:rPr>
          <w:sz w:val="20"/>
          <w:szCs w:val="20"/>
          <w:color w:val="auto"/>
        </w:rPr>
      </w:pPr>
      <w:r>
        <w:rPr>
          <w:rFonts w:ascii="Times New Roman" w:cs="Times New Roman" w:eastAsia="Times New Roman" w:hAnsi="Times New Roman"/>
          <w:sz w:val="20"/>
          <w:szCs w:val="20"/>
          <w:color w:val="auto"/>
        </w:rPr>
        <w:t>Accordingly, we are, or may become, subject to data privacy and security laws, regulations, and industry standards as well as policies, contracts and other obligations that apply to the Processing of personal data both by us and on our behalf (collectively, “Data Protection Requirements”). If we fail, or are perceived to have failed, to address or comply with Data Protection Requirements, this could result in government enforcement actions against us that could include investigations, fines, penalties, audits and inspections, additional reporting requirements and/or oversight, temporary or permanent bans on all or some Processing of personal data, orders to destroy or not use personal data, and imprisonment of company officials. Further, individuals or other relevant stakeholders could bring a variety of claims against us for our actual or perceived failure to comply with the Data Protection Requirements. Any of these events could have a material adverse effect on our reputation, business, or financial condition, and could lead to a loss of actual or prospective customers, collaborators or partners; interrupt or stop clinical trials; result in an inability to Process personal data or to operate in certain jurisdictions; limit our ability to develop or commercialize our products; or require us to revise or restructure our operations.</w:t>
      </w:r>
    </w:p>
    <w:p>
      <w:pPr>
        <w:spacing w:after="0" w:line="211"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For example, in Europe, the collection and use of personal data, including health related data, is governed by the General Data Protection Regulation (“EU GDPR”) which is applicable across the European Economic Area (“EEA”), and by related applicable data protection and privacy laws of the member states of the EEA. Switzerland has passed similar laws, and, following Brexit, the United Kingdom (“UK”) has transposed the EU GDPR into UK domestic law with effect from January 2021 (“UK GDPR”), which governs the collection and use of personal data, along with applicable UK data</w:t>
      </w:r>
    </w:p>
    <w:p>
      <w:pPr>
        <w:sectPr>
          <w:pgSz w:w="12240" w:h="15840" w:orient="portrait"/>
          <w:cols w:equalWidth="0" w:num="1">
            <w:col w:w="9900"/>
          </w:cols>
          <w:pgMar w:left="1180" w:top="208" w:right="1160" w:bottom="0" w:gutter="0" w:footer="0" w:header="0"/>
        </w:sectPr>
      </w:pPr>
    </w:p>
    <w:p>
      <w:pPr>
        <w:spacing w:after="0" w:line="200" w:lineRule="exact"/>
        <w:rPr>
          <w:sz w:val="20"/>
          <w:szCs w:val="20"/>
          <w:color w:val="auto"/>
        </w:rPr>
      </w:pPr>
    </w:p>
    <w:p>
      <w:pPr>
        <w:spacing w:after="0" w:line="3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88</w:t>
      </w:r>
    </w:p>
    <w:p>
      <w:pPr>
        <w:sectPr>
          <w:pgSz w:w="12240" w:h="15840" w:orient="portrait"/>
          <w:cols w:equalWidth="0" w:num="1">
            <w:col w:w="9900"/>
          </w:cols>
          <w:pgMar w:left="1180" w:top="208" w:right="1160" w:bottom="0" w:gutter="0" w:footer="0" w:header="0"/>
          <w:type w:val="continuous"/>
        </w:sectPr>
      </w:pPr>
    </w:p>
    <w:bookmarkStart w:id="88" w:name="page89"/>
    <w:bookmarkEnd w:id="88"/>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40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protection and privacy laws which supplement the UK GDPR (including the UK Data Protection Act 2018 and UK (Data Use and Access) Act 2025). In this Annual Report on Form 10-K, “GDPR” refers to both the UK GDPR and the EU GDPR, unless specified otherwise.</w:t>
      </w:r>
    </w:p>
    <w:p>
      <w:pPr>
        <w:spacing w:after="0" w:line="195"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Collectively, European data protection laws (including the GDPR) are wide-ranging in scope and impose numerous, significant and complex compliance burdens in relation to the Processing of personal data, which increase our obligations (including with respect to clinical trials conducted in the EEA or the UK), such as: limiting permitted Processing of personal data to only that which is necessary for specified, explicit and legitimate purposes; requirements to conduct data protection impact assessments, requiring the establishment of a legal basis for Processing personal data; adopting a broad definition of personal data to possibly include ‘pseudonymized’ or key-coded data; creating obligations for controllers and processors to appoint data protection officers in certain circumstances; imposing stringent transparency obligations to data subjects, which requires more detailed notices for clinical trial subjects and investigators; introducing the obligation to carry out data protection impact assessments in certain circumstances; establishing limitations on the collection and retention of personal data through ‘data minimization’ and ‘storage limitation’ principles; establishing obligations to implement ‘privacy by design’; introducing obligations to honor increased rights for data subjects; formalizing a heightened and codified standard of data subject consent; establishing obligations to implement certain technical and organizational safeguards to protect the security and confidentiality of personal data; introducing obligations to agree to certain specific contractual terms and to take certain measures when working with third-party processors or joint controllers; imposing mandatory data breach notification requirements; and mandating the appointment of representatives in the UK and/or EU in certain circumstances. In particular, the Processing of “special category personal data” (such as personal data related to health and genetic information), which is relevant to our operations in the context of our conduct of clinical trials, imposes heightened compliance burdens under European data protection laws and is a topic of active interest among relevant regulators.</w:t>
      </w:r>
    </w:p>
    <w:p>
      <w:pPr>
        <w:spacing w:after="0" w:line="212"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In addition, the GDPR provides that EEA member states may introduce specific or additional requirements related to the Processing of special categories of personal data such as health data that we may process in connection with clinical trials or otherwise. In the UK, the UK Data Protection Act 2018 complements the UK GDPR in this regard. This fact may lead to greater divergence on the law that applies to the Processing of such personal data across the EEA and/or UK, which may increase our costs and overall compliance risk. Such country-specific regulations could also limit our ability to Process relevant personal data in the context of our EEA and/or UK operations ultimately having an adverse impact on our business, and harming our business and financial condition.</w:t>
      </w:r>
    </w:p>
    <w:p>
      <w:pPr>
        <w:spacing w:after="0" w:line="210"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Further, certain European data protection laws restrict transfers of personal data to countries outside Europe that are not considered by the European Commission and UK government as providing an adequate level of protection to personal data, like the United States in certain circumstances (so-called “third countries”). These transfers are prohibited unless an appropriate transfer safeguard mechanism specified by the European data protection laws is implemented, such as the Standard Contractual Clauses (“SCCs”) approved by the European Commission and/or the UK International Data Transfer Agreement/Addendum approved by the UK government, or a derogation applies. Where relying on the SCCs or UK IDTA for data transfers, we may also be required to carry out transfer impact assessments to assess whether the recipient is subject to local laws which allow public authority access to personal data. The international transfer obligations under the European data protection laws will require significant effort and cost and may result in us needing to make strategic considerations around where EEA and UK personal data is transferred and which service providers we can utilize for the processing of EEA and UK personal data. These transfer restrictions and may ultimately prevent us from transferring personal data outside Europe, which would cause significant business disruption. At present, there are few, if any, viable alternatives to the SCCs and UK IDTA. On July 10, 2023, the EU adopted an adequacy decision for a new “Data Privacy Framework,” which replaces the Privacy Shield, which the European Court of Justice invalidated in 2020 for personal data transferred from the EU to the U.S. The Framework allows for data transfers from the EU to companies who self-certified in the US and provides additional certification mechanisms to provide for data transfers from the UK. However, the long term viability of the Data Privacy Framework remains uncertain and the Framework has already been challenged in several jurisdictions.</w:t>
      </w:r>
    </w:p>
    <w:p>
      <w:pPr>
        <w:spacing w:after="0" w:line="213" w:lineRule="exact"/>
        <w:rPr>
          <w:sz w:val="20"/>
          <w:szCs w:val="20"/>
          <w:color w:val="auto"/>
        </w:rPr>
      </w:pPr>
    </w:p>
    <w:p>
      <w:pPr>
        <w:jc w:val="both"/>
        <w:ind w:right="20" w:firstLine="720"/>
        <w:spacing w:after="0" w:line="271" w:lineRule="auto"/>
        <w:rPr>
          <w:sz w:val="20"/>
          <w:szCs w:val="20"/>
          <w:color w:val="auto"/>
        </w:rPr>
      </w:pPr>
      <w:r>
        <w:rPr>
          <w:rFonts w:ascii="Times New Roman" w:cs="Times New Roman" w:eastAsia="Times New Roman" w:hAnsi="Times New Roman"/>
          <w:sz w:val="19"/>
          <w:szCs w:val="19"/>
          <w:color w:val="auto"/>
        </w:rPr>
        <w:t>The risks associated with such exports of personal data from locations within Europe are particularly relevant to our business as our group comprises several operating entities, many of which are located, and/or sponsor clinical trials, in Europe. We have adopted and implemented certain processes, systems and other relevant measures within our organization, and/or with our relevant collaborators, service providers, contractors or consultants, which are appropriate to address relevant requirements relating to international transfers of personal data from Europe, and to minimize the potential impacts and risks resulting from those requirements, across our organization. Failure to implement valid mechanisms for personal data transfers from Europe may result in increased exposure to regulatory actions, substantial fines and injunctions</w:t>
      </w:r>
    </w:p>
    <w:p>
      <w:pPr>
        <w:sectPr>
          <w:pgSz w:w="12240" w:h="15840" w:orient="portrait"/>
          <w:cols w:equalWidth="0" w:num="1">
            <w:col w:w="9900"/>
          </w:cols>
          <w:pgMar w:left="1180" w:top="208" w:right="1160" w:bottom="0" w:gutter="0" w:footer="0" w:header="0"/>
        </w:sectPr>
      </w:pPr>
    </w:p>
    <w:p>
      <w:pPr>
        <w:spacing w:after="0" w:line="200" w:lineRule="exact"/>
        <w:rPr>
          <w:sz w:val="20"/>
          <w:szCs w:val="20"/>
          <w:color w:val="auto"/>
        </w:rPr>
      </w:pPr>
    </w:p>
    <w:p>
      <w:pPr>
        <w:spacing w:after="0" w:line="32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89</w:t>
      </w:r>
    </w:p>
    <w:p>
      <w:pPr>
        <w:sectPr>
          <w:pgSz w:w="12240" w:h="15840" w:orient="portrait"/>
          <w:cols w:equalWidth="0" w:num="1">
            <w:col w:w="9900"/>
          </w:cols>
          <w:pgMar w:left="1180" w:top="208" w:right="1160" w:bottom="0" w:gutter="0" w:footer="0" w:header="0"/>
          <w:type w:val="continuous"/>
        </w:sectPr>
      </w:pPr>
    </w:p>
    <w:bookmarkStart w:id="89" w:name="page90"/>
    <w:bookmarkEnd w:id="89"/>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40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against processing personal data subject to European data protection laws. Inability to export personal data may also: restrict our activities outside Europe; limit our ability to collaborate with partners as well as other service providers, contractors and other companies outside of Europe; and/or require us to increase our Processing capabilities within Europe at significant expense or otherwise cause us to change the geographical location or segregation of our relevant systems and operations – any or all of which could adversely affect our operations or financial results. Additionally, other countries outside of Europe have enacted or are considering enacting similar cross-border data transfer restrictions and laws requiring local data residency, which could increase the cost and complexity of delivering our services and operating our business. The type of challenges we face in Europe will likely also arise in other jurisdictions that adopt laws similar in construction to the GDPR or regulatory frameworks of equivalent complexity.</w:t>
      </w:r>
    </w:p>
    <w:p>
      <w:pPr>
        <w:spacing w:after="0" w:line="209" w:lineRule="exact"/>
        <w:rPr>
          <w:sz w:val="20"/>
          <w:szCs w:val="20"/>
          <w:color w:val="auto"/>
        </w:rPr>
      </w:pPr>
    </w:p>
    <w:p>
      <w:pPr>
        <w:jc w:val="both"/>
        <w:ind w:right="20" w:firstLine="720"/>
        <w:spacing w:after="0" w:line="253" w:lineRule="auto"/>
        <w:rPr>
          <w:sz w:val="20"/>
          <w:szCs w:val="20"/>
          <w:color w:val="auto"/>
        </w:rPr>
      </w:pPr>
      <w:r>
        <w:rPr>
          <w:rFonts w:ascii="Times New Roman" w:cs="Times New Roman" w:eastAsia="Times New Roman" w:hAnsi="Times New Roman"/>
          <w:sz w:val="20"/>
          <w:szCs w:val="20"/>
          <w:color w:val="auto"/>
        </w:rPr>
        <w:t>European data protection laws also provide for robust regulatory enforcement and significant penalties for noncompliance, including, for example, under the GDPR, fines of up to €20 million (£17.5 million for the UK) or 4% of global annual revenue of any noncompliant organization for the preceding financial year, whichever is higher. In addition to administrative fines, a wide variety of other potential enforcement powers are available to competent supervisory authorities in respect of potential and suspected violations of the GDPR, including extensive audit and inspection rights, and powers to order temporary or permanent bans on all or some Processing of personal data carried out by noncompliant businesses – including permitting authorities to require destruction of improperly gathered or used personal data. European supervisory authorities have shown a willingness to impose significant fines and issue orders preventing the processing of personal data on non-compliant businesses. The GDPR also confers a private right of action on data subjects and non-profit associations to lodge complaints with supervisory authorities, seek judicial remedies, and obtain compensation for damages resulting from violations of the GDPR.</w:t>
      </w:r>
    </w:p>
    <w:p>
      <w:pPr>
        <w:spacing w:after="0" w:line="213" w:lineRule="exact"/>
        <w:rPr>
          <w:sz w:val="20"/>
          <w:szCs w:val="20"/>
          <w:color w:val="auto"/>
        </w:rPr>
      </w:pPr>
    </w:p>
    <w:p>
      <w:pPr>
        <w:jc w:val="both"/>
        <w:ind w:right="20" w:firstLine="720"/>
        <w:spacing w:after="0" w:line="255" w:lineRule="auto"/>
        <w:rPr>
          <w:sz w:val="20"/>
          <w:szCs w:val="20"/>
          <w:color w:val="auto"/>
        </w:rPr>
      </w:pPr>
      <w:r>
        <w:rPr>
          <w:rFonts w:ascii="Times New Roman" w:cs="Times New Roman" w:eastAsia="Times New Roman" w:hAnsi="Times New Roman"/>
          <w:sz w:val="20"/>
          <w:szCs w:val="20"/>
          <w:color w:val="auto"/>
        </w:rPr>
        <w:t>Further, following the UK’s departure from the EU, often referred to as Brexit, the data protection obligations of the EU GDPR continue to apply to UK-related Processing of personal data in substantially unvaried form under the UK GDPR by virtue of section 3 of the EU (Withdrawal) Act 2018, as amended. With respect to international transfers, although the UK is regarded as a third country under the EU GDPR, the European Commission has issued an adequacy finding recognizing the UK as providing adequate protection under the EU GDPR and, therefore, transfers of personal data originating in the EEA to the UK remain unrestricted. Similarly, the UK government has confirmed that personal data transfers from the UK to the EEA remain free flowing.</w:t>
      </w:r>
    </w:p>
    <w:p>
      <w:pPr>
        <w:spacing w:after="0" w:line="210" w:lineRule="exact"/>
        <w:rPr>
          <w:sz w:val="20"/>
          <w:szCs w:val="20"/>
          <w:color w:val="auto"/>
        </w:rPr>
      </w:pPr>
    </w:p>
    <w:p>
      <w:pPr>
        <w:jc w:val="both"/>
        <w:ind w:firstLine="720"/>
        <w:spacing w:after="0" w:line="253" w:lineRule="auto"/>
        <w:rPr>
          <w:sz w:val="20"/>
          <w:szCs w:val="20"/>
          <w:color w:val="auto"/>
        </w:rPr>
      </w:pPr>
      <w:r>
        <w:rPr>
          <w:rFonts w:ascii="Times New Roman" w:cs="Times New Roman" w:eastAsia="Times New Roman" w:hAnsi="Times New Roman"/>
          <w:sz w:val="20"/>
          <w:szCs w:val="20"/>
          <w:color w:val="auto"/>
        </w:rPr>
        <w:t>However, going forward, there is increasing risk for divergence in application, interpretation and enforcement of the data protection laws as between the UK and EEA, creating additional regulatory uncertainty. For example, the UK Data (Use and Access) Act 2025 (“UK Act”), now in force, further differentiates the UK’s data protection regime. In December 2025, the European Commission adopted a decision determining that the UK continues to provide a level of data protection that is “essentially equivalent” to the EU standards and extended the validity of the UK adequacy decision for six years, through December 2031. While this renewal reduces immediate adequacy concerns, uncertainty remains regarding how UK data protection laws will evolve in the medium to longer term. The lack of clarity on future UK laws and regulations and their interaction with EU laws and regulations, may affect our efforts to maintain a harmonized approach to processing European personal data and expose us to two parallel regimes where the UK GDPR and EU GDPR both apply with differing interpretations and enforcement approaches. This could increase our legal risk, uncertainty, complexity and compliance cost associated with the handling of European personal data, and may require us to adapt our privacy and data security compliance programs to account for legal and regulatory divergence between the UK and EEA.</w:t>
      </w:r>
    </w:p>
    <w:p>
      <w:pPr>
        <w:spacing w:after="0" w:line="211" w:lineRule="exact"/>
        <w:rPr>
          <w:sz w:val="20"/>
          <w:szCs w:val="20"/>
          <w:color w:val="auto"/>
        </w:rPr>
      </w:pPr>
    </w:p>
    <w:p>
      <w:pPr>
        <w:jc w:val="both"/>
        <w:ind w:firstLine="720"/>
        <w:spacing w:after="0" w:line="260" w:lineRule="auto"/>
        <w:rPr>
          <w:sz w:val="20"/>
          <w:szCs w:val="20"/>
          <w:color w:val="auto"/>
        </w:rPr>
      </w:pPr>
      <w:r>
        <w:rPr>
          <w:rFonts w:ascii="Times New Roman" w:cs="Times New Roman" w:eastAsia="Times New Roman" w:hAnsi="Times New Roman"/>
          <w:sz w:val="20"/>
          <w:szCs w:val="20"/>
          <w:color w:val="auto"/>
        </w:rPr>
        <w:t>If we do not designate a lead supervisory authority in an EEA member state, we are not able to benefit from the GDPR’s ‘one stop shop’ mechanism. Amongst other things, this would mean that, in the event of a violation of the GDPR affecting data subjects across the EEA, we could be investigated by, and ultimately fined by the supervisory authority in each and every EEA member state where data subjects have been affected by such violation.</w:t>
      </w:r>
    </w:p>
    <w:p>
      <w:pPr>
        <w:spacing w:after="0" w:line="203"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In the United States, there are a broad variety of data protection laws and regulations that may apply to our activities such as state data breach notification laws, state personal data privacy laws (for example, the California Consumer Privacy Act (“CCPA”)), state health information privacy laws, and federal and state consumer protection laws. A range of enforcement agencies exist at both the state and federal levels that can enforce these laws and regulations. At the federal level, failing to take appropriate steps to keep consumers’ personal information secure may constitute unfair acts or practices in or affecting commerce in violation of Section 5(a) of the Federal Trade Commission Act (the FTCA), 15 U.S.C § 45(a). The FTC expects a company’s data security measures to be reasonable and appropriate in light of the sensitivity and volume of consumer information it holds, the size and complexity of its business and the cost of available tools to improve security and reduce vulnerabilities.</w:t>
      </w:r>
    </w:p>
    <w:p>
      <w:pPr>
        <w:sectPr>
          <w:pgSz w:w="12240" w:h="15840" w:orient="portrait"/>
          <w:cols w:equalWidth="0" w:num="1">
            <w:col w:w="9900"/>
          </w:cols>
          <w:pgMar w:left="1180" w:top="20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90</w:t>
      </w:r>
    </w:p>
    <w:p>
      <w:pPr>
        <w:sectPr>
          <w:pgSz w:w="12240" w:h="15840" w:orient="portrait"/>
          <w:cols w:equalWidth="0" w:num="1">
            <w:col w:w="9900"/>
          </w:cols>
          <w:pgMar w:left="1180" w:top="208" w:right="1160" w:bottom="0" w:gutter="0" w:footer="0" w:header="0"/>
          <w:type w:val="continuous"/>
        </w:sectPr>
      </w:pPr>
    </w:p>
    <w:bookmarkStart w:id="90" w:name="page91"/>
    <w:bookmarkEnd w:id="90"/>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400"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Regulators and legislators in the U.S. are also increasingly scrutinizing and restricting certain personal data transfers and transactions involving foreign countries. For example, the Department of Justice’s January 8, 2025, rule on “Preventing Access to U.S. Sensitive Personal Data and Government-Related Data by Countries of Concern or Covered Persons”, prohibits data brokerage transactions involving certain sensitive personal data categories, including health data, genetic data, and biospecimens, to countries of concern, including China. The regulations also restrict certain investment agreements, employment agreements and vendor agreements involving such data and countries of concern, absent specified cybersecurity controls. Actual or alleged violations of these regulations may be punishable by criminal and/or civil sanctions, and may result in exclusion from participation in federal and state programs.</w:t>
      </w:r>
    </w:p>
    <w:p>
      <w:pPr>
        <w:spacing w:after="0" w:line="213"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In addition, 20 U.S. states have introduced comprehensive laws to govern the privacy and security of personal information. For example, the CCPA requires covered businesses that process personal information of California residents to disclose their data collection, use and sharing practices. Further, the CCPA provided California residents with individual data privacy rights (including the ability to opt out of certain disclosures of personal data), imposed operational requirements for covered businesses, provided for civil penalties for violations as well as a private right of action for data breaches and statutory damages (that is expected to increase data breach class action litigation and result in significant exposure to costly legal judgements and settlements). In addition, the CCPA was expanded on January 1, 2023, when the California Privacy Rights Act of 2020 (“CPRA”) became operative. The amendments introduced by the CPRA, among other things, gave California residents the ability to limit use of certain sensitive personal information, further restricted the use of cross-contextual advertising, established restrictions on the retention of personal information, expanded the types of data breaches subject to the CCPA’s private right of action, provided for increased penalties for violations concerning California residents under the age of 16, established the California Privacy Protection Agency to implement and enforce the law. Although there are limited exemptions for clinical trial data and information subject to HIPAA under the CCPA, the CCPA and other similar laws could impact our business activities and commercialization, including through regulation of clinical trial participant recruitment and marketing activities.</w:t>
      </w:r>
    </w:p>
    <w:p>
      <w:pPr>
        <w:spacing w:after="0" w:line="218" w:lineRule="exact"/>
        <w:rPr>
          <w:sz w:val="20"/>
          <w:szCs w:val="20"/>
          <w:color w:val="auto"/>
        </w:rPr>
      </w:pPr>
    </w:p>
    <w:p>
      <w:pPr>
        <w:jc w:val="both"/>
        <w:ind w:right="20" w:firstLine="720"/>
        <w:spacing w:after="0" w:line="252" w:lineRule="auto"/>
        <w:rPr>
          <w:sz w:val="20"/>
          <w:szCs w:val="20"/>
          <w:color w:val="auto"/>
        </w:rPr>
      </w:pPr>
      <w:r>
        <w:rPr>
          <w:rFonts w:ascii="Times New Roman" w:cs="Times New Roman" w:eastAsia="Times New Roman" w:hAnsi="Times New Roman"/>
          <w:sz w:val="20"/>
          <w:szCs w:val="20"/>
          <w:color w:val="auto"/>
        </w:rPr>
        <w:t>The CCPA marked the beginning of a trend toward more stringent privacy legislation in the United States. Already, in the United States, 19 other states have implemented comprehensive privacy laws that incorporate many similar concepts of the CCPA. Such legislation, if enacted, may adds additional complexity, variation in requirements, restrictions and potential legal risk, requiring additional investment of resources in compliance programs. The introduction of various U.S. state privacy laws across the country, may impact our strategies, and the availability of previously useful data and could result in increased compliance costs and/or changes in business practices and policies. There are also states that are specifically regulating health and other categories of personal information. For example, Washington state’s My Health My Data Act, effective March 31, 2024, that regulates the collection and sharing of health information, and the law also has a private right of action, which further increases the relevant compliance risk. Connecticut and Nevada have also passed similar laws regulating consumer health data. In addition, other states have proposed and/or passed legislation that regulates the privacy and/or security of certain specific types of information. For example, several states have passed laws that specifically regulate biometric data, genetic data, neural data, and other data elements that may be collected in the course of our business activities. These various privacy and security laws may impact our business activities, including our identification of research subjects, relationships with business partners and ultimately the marketing and distribution of our products. State laws are changing rapidly and there have been discussions in the U.S. Congress of new comprehensive federal data privacy laws to which we could become subject, if enacted.</w:t>
      </w:r>
    </w:p>
    <w:p>
      <w:pPr>
        <w:spacing w:after="0" w:line="216" w:lineRule="exact"/>
        <w:rPr>
          <w:sz w:val="20"/>
          <w:szCs w:val="20"/>
          <w:color w:val="auto"/>
        </w:rPr>
      </w:pPr>
    </w:p>
    <w:p>
      <w:pPr>
        <w:jc w:val="both"/>
        <w:ind w:right="20" w:firstLine="720"/>
        <w:spacing w:after="0" w:line="255" w:lineRule="auto"/>
        <w:rPr>
          <w:sz w:val="20"/>
          <w:szCs w:val="20"/>
          <w:color w:val="auto"/>
        </w:rPr>
      </w:pPr>
      <w:r>
        <w:rPr>
          <w:rFonts w:ascii="Times New Roman" w:cs="Times New Roman" w:eastAsia="Times New Roman" w:hAnsi="Times New Roman"/>
          <w:sz w:val="20"/>
          <w:szCs w:val="20"/>
          <w:color w:val="auto"/>
        </w:rPr>
        <w:t>In other foreign jurisdictions in which we operate or have operated (including sponsoring past, present or future clinical trials), such as, without limitation, Canada and Georgia, we may also be subject to stringent Data Protection Requirements. In Canada, for instance, Quebec’s new comprehensive data protection law recently entered into force and is expected to have far-reaching effects, and Georgia implemented, in 2024, a privacy and data protection law that broadly aligns with EU requirements. In addition, emerging trends towards data sovereignty in many countries where we operate, both in terms of legislation and commercial practice, particularly in the health sector, may impact our ability to transfer or access protected information across international borders.</w:t>
      </w:r>
    </w:p>
    <w:p>
      <w:pPr>
        <w:spacing w:after="0" w:line="210" w:lineRule="exact"/>
        <w:rPr>
          <w:sz w:val="20"/>
          <w:szCs w:val="20"/>
          <w:color w:val="auto"/>
        </w:rPr>
      </w:pPr>
    </w:p>
    <w:p>
      <w:pPr>
        <w:jc w:val="both"/>
        <w:ind w:right="20" w:firstLine="810"/>
        <w:spacing w:after="0" w:line="266" w:lineRule="auto"/>
        <w:rPr>
          <w:sz w:val="20"/>
          <w:szCs w:val="20"/>
          <w:color w:val="auto"/>
        </w:rPr>
      </w:pPr>
      <w:r>
        <w:rPr>
          <w:rFonts w:ascii="Times New Roman" w:cs="Times New Roman" w:eastAsia="Times New Roman" w:hAnsi="Times New Roman"/>
          <w:sz w:val="20"/>
          <w:szCs w:val="20"/>
          <w:color w:val="auto"/>
        </w:rPr>
        <w:t>Generally, these laws exemplify the vulnerability of our business to the evolving regulatory environment related to personal data and may require us to modify our Processing practices at substantial costs and expenses in an effort to comply.</w:t>
      </w:r>
    </w:p>
    <w:p>
      <w:pPr>
        <w:spacing w:after="0" w:line="195" w:lineRule="exact"/>
        <w:rPr>
          <w:sz w:val="20"/>
          <w:szCs w:val="20"/>
          <w:color w:val="auto"/>
        </w:rPr>
      </w:pPr>
    </w:p>
    <w:p>
      <w:pPr>
        <w:jc w:val="both"/>
        <w:ind w:right="20" w:firstLine="720"/>
        <w:spacing w:after="0" w:line="266" w:lineRule="auto"/>
        <w:rPr>
          <w:sz w:val="20"/>
          <w:szCs w:val="20"/>
          <w:color w:val="auto"/>
        </w:rPr>
      </w:pPr>
      <w:r>
        <w:rPr>
          <w:rFonts w:ascii="Times New Roman" w:cs="Times New Roman" w:eastAsia="Times New Roman" w:hAnsi="Times New Roman"/>
          <w:sz w:val="20"/>
          <w:szCs w:val="20"/>
          <w:color w:val="auto"/>
        </w:rPr>
        <w:t>Additionally, regulations promulgated pursuant to HIPAA, as amended, establish privacy and security standards that limit the use and disclosure of individually identifiable health information, or protected health information, and require the implementation of administrative, physical and technological safeguards designed to protect the privacy,</w:t>
      </w:r>
    </w:p>
    <w:p>
      <w:pPr>
        <w:sectPr>
          <w:pgSz w:w="12240" w:h="15840" w:orient="portrait"/>
          <w:cols w:equalWidth="0" w:num="1">
            <w:col w:w="9900"/>
          </w:cols>
          <w:pgMar w:left="1180" w:top="20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91</w:t>
      </w:r>
    </w:p>
    <w:p>
      <w:pPr>
        <w:sectPr>
          <w:pgSz w:w="12240" w:h="15840" w:orient="portrait"/>
          <w:cols w:equalWidth="0" w:num="1">
            <w:col w:w="9900"/>
          </w:cols>
          <w:pgMar w:left="1180" w:top="208" w:right="1160" w:bottom="0" w:gutter="0" w:footer="0" w:header="0"/>
          <w:type w:val="continuous"/>
        </w:sectPr>
      </w:pPr>
    </w:p>
    <w:bookmarkStart w:id="91" w:name="page92"/>
    <w:bookmarkEnd w:id="91"/>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400"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confidentiality, integrity and availability of protected health information. These provisions may be applicable to our business or that of our collaborators, service providers, contractors or consultants.</w:t>
      </w:r>
    </w:p>
    <w:p>
      <w:pPr>
        <w:spacing w:after="0" w:line="181" w:lineRule="exact"/>
        <w:rPr>
          <w:sz w:val="20"/>
          <w:szCs w:val="20"/>
          <w:color w:val="auto"/>
        </w:rPr>
      </w:pPr>
    </w:p>
    <w:p>
      <w:pPr>
        <w:jc w:val="both"/>
        <w:ind w:firstLine="720"/>
        <w:spacing w:after="0" w:line="253" w:lineRule="auto"/>
        <w:rPr>
          <w:sz w:val="20"/>
          <w:szCs w:val="20"/>
          <w:color w:val="auto"/>
        </w:rPr>
      </w:pPr>
      <w:r>
        <w:rPr>
          <w:rFonts w:ascii="Times New Roman" w:cs="Times New Roman" w:eastAsia="Times New Roman" w:hAnsi="Times New Roman"/>
          <w:sz w:val="20"/>
          <w:szCs w:val="20"/>
          <w:color w:val="auto"/>
        </w:rPr>
        <w:t>Determining whether protected health information has been handled in compliance with applicable Data Protection Requirements can be complex and may be subject to changing interpretation. If we are unable to properly protect the privacy and security of protected health information, we could be found to have violated these privacy and security laws and/or breached certain contracts with our business partners (including as a business associate). Further, if we fail to comply with applicable Data Protection Requirements, such as, to the extent applicable, HIPAA privacy and security standards, we could face significant civil and criminal penalties. In the United States, the Department of Health and Human Services’ and state attorneys general enforcement activity can result in financial liability and reputational harm, and responses to such enforcement activity can consume significant internal resources. In addition, state attorneys general are authorized to bring civil actions seeking either injunctions or damages in response to violations that threaten the privacy of state residents. We cannot be sure how these regulations will be interpreted, enforced or applied to our operations. In addition to the risks associated with enforcement activities and potential contractual liabilities, our ongoing efforts to comply with evolving laws and regulations at the federal and state level may be costly and require ongoing modifications to our policies, procedures and systems.</w:t>
      </w:r>
    </w:p>
    <w:p>
      <w:pPr>
        <w:spacing w:after="0" w:line="208" w:lineRule="exact"/>
        <w:rPr>
          <w:sz w:val="20"/>
          <w:szCs w:val="20"/>
          <w:color w:val="auto"/>
        </w:rPr>
      </w:pPr>
    </w:p>
    <w:p>
      <w:pPr>
        <w:jc w:val="both"/>
        <w:ind w:right="20" w:firstLine="720"/>
        <w:spacing w:after="0" w:line="260" w:lineRule="auto"/>
        <w:rPr>
          <w:sz w:val="20"/>
          <w:szCs w:val="20"/>
          <w:color w:val="auto"/>
        </w:rPr>
      </w:pPr>
      <w:r>
        <w:rPr>
          <w:rFonts w:ascii="Times New Roman" w:cs="Times New Roman" w:eastAsia="Times New Roman" w:hAnsi="Times New Roman"/>
          <w:sz w:val="20"/>
          <w:szCs w:val="20"/>
          <w:color w:val="auto"/>
        </w:rPr>
        <w:t>Given the breadth and evolving nature of Data Protection Requirements, preparing for and complying with these requirements is rigorous, time-intensive and requires significant resources and a review of our technologies, systems and practices, as well as those of any third-party collaborators, service providers, contractors or consultants that Process personal data on our behalf.</w:t>
      </w:r>
    </w:p>
    <w:p>
      <w:pPr>
        <w:spacing w:after="0" w:line="203" w:lineRule="exact"/>
        <w:rPr>
          <w:sz w:val="20"/>
          <w:szCs w:val="20"/>
          <w:color w:val="auto"/>
        </w:rPr>
      </w:pPr>
    </w:p>
    <w:p>
      <w:pPr>
        <w:jc w:val="both"/>
        <w:ind w:right="20" w:firstLine="720"/>
        <w:spacing w:after="0" w:line="253" w:lineRule="auto"/>
        <w:rPr>
          <w:sz w:val="20"/>
          <w:szCs w:val="20"/>
          <w:color w:val="auto"/>
        </w:rPr>
      </w:pPr>
      <w:r>
        <w:rPr>
          <w:rFonts w:ascii="Times New Roman" w:cs="Times New Roman" w:eastAsia="Times New Roman" w:hAnsi="Times New Roman"/>
          <w:sz w:val="20"/>
          <w:szCs w:val="20"/>
          <w:color w:val="auto"/>
        </w:rPr>
        <w:t>We may publish privacy policies and other documentation regarding our Processing of personal data and/or other confidential, proprietary or sensitive information. Although we endeavor to comply with our published policies and other documentation, we may at times fail to do so or may be perceived to have failed to do so. Moreover, despite our efforts, we may not be successful in achieving compliance if our employees, third-party collaborators, service providers, contractors or consultants fail to comply with our policies and documentation. Such failures can subject us to potential foreign, local, state and federal action if they are found to be deceptive, unfair, or misrepresentative of our actual practices. Moreover, subjects about whom we or our partners obtain information, as well as the providers who share this information with us, may contractually limit our ability to use and disclose the information. Claims that we have violated individuals’ privacy rights or failed to comply with data protection laws or applicable privacy notices even if we are not found liable, could be expensive and time-consuming to defend and could result in adverse publicity that could harm our business or otherwise materially and negatively impact our business.</w:t>
      </w:r>
    </w:p>
    <w:p>
      <w:pPr>
        <w:spacing w:after="0" w:line="324"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Our use of new and evolving technologies, such as artificial intelligence, may present risks and challenges that can impact our business, including by posing cybersecurity and other risks to our confidential and/or proprietary information, including personal information, and as a result we may be exposed to reputational harm and liability.</w:t>
      </w:r>
    </w:p>
    <w:p>
      <w:pPr>
        <w:spacing w:after="0" w:line="76"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We may use and integrate artificial intelligence (AI) into our business processes both in our own development and implementation of AI and through the adoption of commercially available tools. Use of this technology could pose cybersecurity, data privacy, IT, intellectual property, regulatory, legal, operational, competitive, reputational and other risks and challenges that could affect our business. Specifically, risks related to accuracy, bias, artificial intelligence hallucinations, discrimination, harmful content, misinformation, fraud, scams, targeted attacks (including model poisoning or data poisoning), surveillance, data leakage, inequality, environmental harms, and other harms may flow from our development, use, or deployment of AI technologies. If we enable or use solutions that draw controversy due to perceived or actual negative societal impact, we may experience brand or reputational harm, competitive harm or legal liability.</w:t>
      </w:r>
    </w:p>
    <w:p>
      <w:pPr>
        <w:spacing w:after="0" w:line="213" w:lineRule="exact"/>
        <w:rPr>
          <w:sz w:val="20"/>
          <w:szCs w:val="20"/>
          <w:color w:val="auto"/>
        </w:rPr>
      </w:pPr>
    </w:p>
    <w:p>
      <w:pPr>
        <w:jc w:val="both"/>
        <w:ind w:firstLine="720"/>
        <w:spacing w:after="0" w:line="256" w:lineRule="auto"/>
        <w:rPr>
          <w:sz w:val="20"/>
          <w:szCs w:val="20"/>
          <w:color w:val="auto"/>
        </w:rPr>
      </w:pPr>
      <w:r>
        <w:rPr>
          <w:rFonts w:ascii="Times New Roman" w:cs="Times New Roman" w:eastAsia="Times New Roman" w:hAnsi="Times New Roman"/>
          <w:sz w:val="20"/>
          <w:szCs w:val="20"/>
          <w:color w:val="auto"/>
        </w:rPr>
        <w:t>The rapid evolution of AI will require the application of significant resources to design, develop, test and maintain such systems to help ensure that AI is implemented in accordance with applicable law and regulation and in a socially responsible manner and to minimize any real or perceived unintended harmful impacts. The use of certain AI technologies can also give rise to intellectual property risks, including by disclosing or otherwise compromising our confidential or proprietary intellectual property, or by undermining our ability to assert or defend ownership rights in intellectual property created with the assistance of artificial intelligence tools.</w:t>
      </w:r>
    </w:p>
    <w:p>
      <w:pPr>
        <w:spacing w:after="0" w:line="208" w:lineRule="exact"/>
        <w:rPr>
          <w:sz w:val="20"/>
          <w:szCs w:val="20"/>
          <w:color w:val="auto"/>
        </w:rPr>
      </w:pPr>
    </w:p>
    <w:p>
      <w:pPr>
        <w:jc w:val="both"/>
        <w:ind w:right="20" w:firstLine="720"/>
        <w:spacing w:after="0" w:line="260" w:lineRule="auto"/>
        <w:rPr>
          <w:sz w:val="20"/>
          <w:szCs w:val="20"/>
          <w:color w:val="auto"/>
        </w:rPr>
      </w:pPr>
      <w:r>
        <w:rPr>
          <w:rFonts w:ascii="Times New Roman" w:cs="Times New Roman" w:eastAsia="Times New Roman" w:hAnsi="Times New Roman"/>
          <w:sz w:val="20"/>
          <w:szCs w:val="20"/>
          <w:color w:val="auto"/>
        </w:rPr>
        <w:t>A growing number of legislators and regulators are adopting laws and regulations and have focused enforcement efforts on the adoption of AI, and use of such technologies in compliance with ethical standards and societal expectations. These developments may increase our compliance burden and costs in connection with use of AI and lead to legal liability if we fail to meet evolving legal standards or if use of such technologies results in harms or other causes of action we did</w:t>
      </w:r>
    </w:p>
    <w:p>
      <w:pPr>
        <w:sectPr>
          <w:pgSz w:w="12240" w:h="15840" w:orient="portrait"/>
          <w:cols w:equalWidth="0" w:num="1">
            <w:col w:w="9900"/>
          </w:cols>
          <w:pgMar w:left="1180" w:top="208" w:right="1160" w:bottom="0" w:gutter="0" w:footer="0" w:header="0"/>
        </w:sectPr>
      </w:pPr>
    </w:p>
    <w:p>
      <w:pPr>
        <w:spacing w:after="0" w:line="200" w:lineRule="exact"/>
        <w:rPr>
          <w:sz w:val="20"/>
          <w:szCs w:val="20"/>
          <w:color w:val="auto"/>
        </w:rPr>
      </w:pPr>
    </w:p>
    <w:p>
      <w:pPr>
        <w:spacing w:after="0" w:line="3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92</w:t>
      </w:r>
    </w:p>
    <w:p>
      <w:pPr>
        <w:sectPr>
          <w:pgSz w:w="12240" w:h="15840" w:orient="portrait"/>
          <w:cols w:equalWidth="0" w:num="1">
            <w:col w:w="9900"/>
          </w:cols>
          <w:pgMar w:left="1180" w:top="208" w:right="1160" w:bottom="0" w:gutter="0" w:footer="0" w:header="0"/>
          <w:type w:val="continuous"/>
        </w:sectPr>
      </w:pPr>
    </w:p>
    <w:bookmarkStart w:id="92" w:name="page93"/>
    <w:bookmarkEnd w:id="92"/>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28"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20"/>
          <w:szCs w:val="20"/>
          <w:color w:val="auto"/>
        </w:rPr>
        <w:t>not predict. For example, Europe began implementing its EU Artificial Intelligence Act (the “AI Act”) on August 1, 2024, with a significant part of the law scheduled to come into effect in August 2026. As currently enacted, the AI Act, which may be amended as part of the EU’s Digital Omnibus, imposes significant obligations on providers and deployers of AI systems, particularly those considered as “high risk” and encourages providers and deployers of AI systems to account for EU ethical principles in their development and use of these systems. The scope of requirements depends on legal and risk determinations that rely on novel legal provisions that have not yet been interpreted by courts or regulators, and non-compliance can lead to significant fines.</w:t>
      </w:r>
    </w:p>
    <w:p>
      <w:pPr>
        <w:spacing w:after="0" w:line="203" w:lineRule="exact"/>
        <w:rPr>
          <w:sz w:val="20"/>
          <w:szCs w:val="20"/>
          <w:color w:val="auto"/>
        </w:rPr>
      </w:pPr>
    </w:p>
    <w:p>
      <w:pPr>
        <w:jc w:val="both"/>
        <w:ind w:firstLine="720"/>
        <w:spacing w:after="0" w:line="253" w:lineRule="auto"/>
        <w:rPr>
          <w:sz w:val="20"/>
          <w:szCs w:val="20"/>
          <w:color w:val="auto"/>
        </w:rPr>
      </w:pPr>
      <w:r>
        <w:rPr>
          <w:rFonts w:ascii="Times New Roman" w:cs="Times New Roman" w:eastAsia="Times New Roman" w:hAnsi="Times New Roman"/>
          <w:sz w:val="20"/>
          <w:szCs w:val="20"/>
          <w:color w:val="auto"/>
        </w:rPr>
        <w:t>In the U.S., the AI regulatory environment is complex and uncertain. Over the past year, states have advanced, and in some cases passed, dozens of laws focusing on AI governance and regulation, including on deployment of AI in healthcare settings. At the federal level, the Trump Administration has endorsed a federal moratorium on the enforcement of state AI laws, including through a December 11, 2025, executive order on “Ensuring a National Policy Framework for Artificial Intelligence.” So far, these efforts have not been successful at curtailing state action on AI regulation, contributing to a complicated legislative patchwork, which may be litigated in state and federal courts. In addition, various federal regulators have issued guidance and focused enforcement efforts on the use of AI in regulated sectors. The U.S. Food and Drug Administration, for example, issued guidance on the use of AI in medical devices, requiring detailed risk management and review processes to obtain approvals. If we develop or use AI systems governed by these laws or regulations, we will need to meet various standards of data quality, transparency, monitoring and human oversight, and we would need to adhere to specific and potentially burdensome and costly ethical, accountability, and administrative requirements, with the potential for significant enforcement or litigation in the event of any perceived non-compliance.</w:t>
      </w:r>
    </w:p>
    <w:p>
      <w:pPr>
        <w:spacing w:after="0" w:line="211" w:lineRule="exact"/>
        <w:rPr>
          <w:sz w:val="20"/>
          <w:szCs w:val="20"/>
          <w:color w:val="auto"/>
        </w:rPr>
      </w:pPr>
    </w:p>
    <w:p>
      <w:pPr>
        <w:jc w:val="both"/>
        <w:ind w:right="20" w:firstLine="720"/>
        <w:spacing w:after="0" w:line="254" w:lineRule="auto"/>
        <w:rPr>
          <w:sz w:val="20"/>
          <w:szCs w:val="20"/>
          <w:color w:val="auto"/>
        </w:rPr>
      </w:pPr>
      <w:r>
        <w:rPr>
          <w:rFonts w:ascii="Times New Roman" w:cs="Times New Roman" w:eastAsia="Times New Roman" w:hAnsi="Times New Roman"/>
          <w:sz w:val="20"/>
          <w:szCs w:val="20"/>
          <w:color w:val="auto"/>
        </w:rPr>
        <w:t>Our vendors may in turn incorporate AI tools into their offerings, and the providers of these AI tools may not meet existing or rapidly evolving regulatory or industry standards, including with respect to privacy and data security. Further, bad actors around the world use increasingly sophisticated methods, including the use of artificial intelligence, to engage in illegal activities involving the theft and misuse of personal information, confidential information and intellectual property. In addition, the use of generative AI models in our internal or third-party systems may create new attack surfaces or methods for adversaries, which could impact us and our vendors. The integration of AI systems, by us or by our vendors, may increase cybersecurity risk. Any of these effects could damage our reputation, result in the loss of valuable property and information, cause us to breach applicable laws and regulations, and adversely impact our business.</w:t>
      </w:r>
    </w:p>
    <w:p>
      <w:pPr>
        <w:spacing w:after="0" w:line="324"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20"/>
          <w:szCs w:val="20"/>
          <w:b w:val="1"/>
          <w:bCs w:val="1"/>
          <w:i w:val="1"/>
          <w:iCs w:val="1"/>
          <w:color w:val="auto"/>
        </w:rPr>
        <w:t>We are subject to U.S. and certain foreign export and import controls, sanctions, embargoes, anti-corruption laws, and anti-money laundering laws and regulations. Compliance with these legal standards could impair our ability to compete in domestic and international markets. We can face criminal liability and other serious consequences for violations, which can harm our business.</w:t>
      </w:r>
    </w:p>
    <w:p>
      <w:pPr>
        <w:spacing w:after="0" w:line="81"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We are subject to export control and import laws and regulations, including the U.S. Export Administration Regulations, U.S. Customs regulations, various economic and trade sanctions regulations administered by the U.S. Treasury Department’s Office of Foreign Assets Controls, the U.S. Foreign Corrupt Practices Act of 1977, as amended, the U.S. domestic bribery statute contained in 18 U.S.C. § 201, the U.S. Travel Act, the USA PATRIOT Act, and other state and national anti-bribery and anti-money laundering laws in the countries in which we conduct activities. Anti-corruption laws are interpreted broadly and prohibit companies and their employees, agents, contractors, and other collaborators from authorizing, promising, offering, or providing, directly or indirectly, improper payments or anything else of value to recipients in the public or private sector. We may engage third parties to sell our products outside the United States, to conduct clinical trials, and/or to obtain necessary permits, licenses, patent registrations, and other regulatory approvals. We have direct or indirect interactions with officials and employees of government agencies or government-affiliated hospitals, universities, and other organizations. We can be held liable for the corrupt or other illegal activities of our employees, agents, contractors, and other collaborators,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Ownership of Our Securities</w:t>
      </w:r>
    </w:p>
    <w:p>
      <w:pPr>
        <w:spacing w:after="0" w:line="128"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We are an emerging growth company and a smaller reporting company, and we cannot be certain if the reduced reporting requirements applicable to emerging growth companies and smaller reporting companies will make our ADSs less attractive to investors.</w:t>
      </w:r>
    </w:p>
    <w:p>
      <w:pPr>
        <w:spacing w:after="0" w:line="76" w:lineRule="exact"/>
        <w:rPr>
          <w:sz w:val="20"/>
          <w:szCs w:val="20"/>
          <w:color w:val="auto"/>
        </w:rPr>
      </w:pPr>
    </w:p>
    <w:p>
      <w:pPr>
        <w:jc w:val="both"/>
        <w:ind w:right="20" w:firstLine="720"/>
        <w:spacing w:after="0" w:line="281" w:lineRule="auto"/>
        <w:rPr>
          <w:sz w:val="20"/>
          <w:szCs w:val="20"/>
          <w:color w:val="auto"/>
        </w:rPr>
      </w:pPr>
      <w:r>
        <w:rPr>
          <w:rFonts w:ascii="Times New Roman" w:cs="Times New Roman" w:eastAsia="Times New Roman" w:hAnsi="Times New Roman"/>
          <w:sz w:val="20"/>
          <w:szCs w:val="20"/>
          <w:color w:val="auto"/>
        </w:rPr>
        <w:t>We are an emerging growth company, as defined in the Jumpstart Our Business Startups Act (“JOBS Act”), enacted in April 2012. For as long as we continue to be an emerging growth company, we may take advantage of</w:t>
      </w:r>
    </w:p>
    <w:p>
      <w:pPr>
        <w:sectPr>
          <w:pgSz w:w="12240" w:h="15840" w:orient="portrait"/>
          <w:cols w:equalWidth="0" w:num="1">
            <w:col w:w="9900"/>
          </w:cols>
          <w:pgMar w:left="1180" w:top="208" w:right="1160" w:bottom="0" w:gutter="0" w:footer="0" w:header="0"/>
        </w:sectPr>
      </w:pPr>
    </w:p>
    <w:p>
      <w:pPr>
        <w:spacing w:after="0" w:line="34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93</w:t>
      </w:r>
    </w:p>
    <w:p>
      <w:pPr>
        <w:sectPr>
          <w:pgSz w:w="12240" w:h="15840" w:orient="portrait"/>
          <w:cols w:equalWidth="0" w:num="1">
            <w:col w:w="9900"/>
          </w:cols>
          <w:pgMar w:left="1180" w:top="208" w:right="1160" w:bottom="0" w:gutter="0" w:footer="0" w:header="0"/>
          <w:type w:val="continuous"/>
        </w:sectPr>
      </w:pPr>
    </w:p>
    <w:bookmarkStart w:id="93" w:name="page94"/>
    <w:bookmarkEnd w:id="93"/>
    <w:p>
      <w:pPr>
        <w:ind w:left="10"/>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400" w:lineRule="exact"/>
        <w:rPr>
          <w:sz w:val="20"/>
          <w:szCs w:val="20"/>
          <w:color w:val="auto"/>
        </w:rPr>
      </w:pPr>
    </w:p>
    <w:p>
      <w:pPr>
        <w:jc w:val="both"/>
        <w:ind w:left="10"/>
        <w:spacing w:after="0" w:line="258" w:lineRule="auto"/>
        <w:rPr>
          <w:sz w:val="20"/>
          <w:szCs w:val="20"/>
          <w:color w:val="auto"/>
        </w:rPr>
      </w:pPr>
      <w:r>
        <w:rPr>
          <w:rFonts w:ascii="Times New Roman" w:cs="Times New Roman" w:eastAsia="Times New Roman" w:hAnsi="Times New Roman"/>
          <w:sz w:val="20"/>
          <w:szCs w:val="20"/>
          <w:color w:val="auto"/>
        </w:rPr>
        <w:t>exemptions from various reporting requirements that are applicable to other public companies that are not emerging growth companies, including not being required to comply with the auditor attestation requirements of Section 404 of the Sarbanes-Oxley Act of 2002, as amended (“Sarbanes-Oxley Act”), reduced disclosure obligations regarding executive compensation in our periodic reports and proxy statements, and exemptions from the requirements of holding nonbinding advisory votes on executive compensation and shareholder approval of any golden parachute payments not previously approved. We could be an emerging growth company for up to five years following 2021, the year in which we completed our initial public offering, although circumstances could cause us to lose that status earlier. We will remain an emerging growth company until the earliest of (i) the last day of the fiscal year in which we have as total annual gross revenue of at least $1.235 billion or more, (ii) the last day of the fiscal year following the fifth anniversary of the closing of our initial public offering, (iii) the date on which we are deemed to be a “large accelerated filer” under the rules of the SEC, or (iv) the date on which we have issued more than $1 billion in non-convertible debt during the prior three-year period.</w:t>
      </w:r>
    </w:p>
    <w:p>
      <w:pPr>
        <w:spacing w:after="0" w:line="209" w:lineRule="exact"/>
        <w:rPr>
          <w:sz w:val="20"/>
          <w:szCs w:val="20"/>
          <w:color w:val="auto"/>
        </w:rPr>
      </w:pPr>
    </w:p>
    <w:p>
      <w:pPr>
        <w:jc w:val="both"/>
        <w:ind w:left="10" w:firstLine="720"/>
        <w:spacing w:after="0" w:line="255" w:lineRule="auto"/>
        <w:rPr>
          <w:sz w:val="20"/>
          <w:szCs w:val="20"/>
          <w:color w:val="auto"/>
        </w:rPr>
      </w:pPr>
      <w:r>
        <w:rPr>
          <w:rFonts w:ascii="Times New Roman" w:cs="Times New Roman" w:eastAsia="Times New Roman" w:hAnsi="Times New Roman"/>
          <w:sz w:val="20"/>
          <w:szCs w:val="20"/>
          <w:color w:val="auto"/>
        </w:rPr>
        <w:t>Under the JOBS Act, emerging growth companies can also delay adopting new or revised accounting standards until such time as those standards apply to private companies. We have elected to not “opt out” of this exemption from complying with new or revised accounting standards and, therefore, we will adopt new or revised accounting standards at the time private companies adopt the new or revised accounting standard and will do so until such time that we either</w:t>
      </w:r>
    </w:p>
    <w:p>
      <w:pPr>
        <w:spacing w:after="0" w:line="3" w:lineRule="exact"/>
        <w:rPr>
          <w:sz w:val="20"/>
          <w:szCs w:val="20"/>
          <w:color w:val="auto"/>
        </w:rPr>
      </w:pPr>
    </w:p>
    <w:p>
      <w:pPr>
        <w:ind w:left="10" w:right="20" w:hanging="10"/>
        <w:spacing w:after="0" w:line="260" w:lineRule="auto"/>
        <w:tabs>
          <w:tab w:leader="none" w:pos="288"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irrevocably elect to “opt out” of such extended transition period or (ii) no longer qualify as an emerging growth company.</w:t>
      </w:r>
    </w:p>
    <w:p>
      <w:pPr>
        <w:spacing w:after="0" w:line="202" w:lineRule="exact"/>
        <w:rPr>
          <w:sz w:val="20"/>
          <w:szCs w:val="20"/>
          <w:color w:val="auto"/>
        </w:rPr>
      </w:pPr>
    </w:p>
    <w:p>
      <w:pPr>
        <w:ind w:left="10" w:right="20" w:firstLine="720"/>
        <w:spacing w:after="0" w:line="256" w:lineRule="auto"/>
        <w:rPr>
          <w:sz w:val="20"/>
          <w:szCs w:val="20"/>
          <w:color w:val="auto"/>
        </w:rPr>
      </w:pPr>
      <w:r>
        <w:rPr>
          <w:rFonts w:ascii="Times New Roman" w:cs="Times New Roman" w:eastAsia="Times New Roman" w:hAnsi="Times New Roman"/>
          <w:sz w:val="20"/>
          <w:szCs w:val="20"/>
          <w:color w:val="auto"/>
        </w:rPr>
        <w:t>As of January 1, 2026 the Company ceased to be a “smaller reporting company” as defined in the Exchange Act. For the first fiscal quarter of 2026, the Company will no longer be permitted to take advantage of scaled disclosure requirements for SRCs. The Company will retain its non-accelerated filer status for its filings due in the fiscal year 2026. The Company anticipates that it will have to comply with the auditor attestation requirements of Section 404(b) of the Sarbanes-Oxley Act for the year ended December 31, 2026, and its independent registered public accounting firm will have to evaluate and report on the effectiveness of internal control over financial reporting.</w:t>
      </w:r>
    </w:p>
    <w:p>
      <w:pPr>
        <w:spacing w:after="0" w:line="208" w:lineRule="exact"/>
        <w:rPr>
          <w:sz w:val="20"/>
          <w:szCs w:val="20"/>
          <w:color w:val="auto"/>
        </w:rPr>
      </w:pPr>
    </w:p>
    <w:p>
      <w:pPr>
        <w:jc w:val="both"/>
        <w:ind w:left="10" w:right="20" w:firstLine="720"/>
        <w:spacing w:after="0" w:line="266" w:lineRule="auto"/>
        <w:rPr>
          <w:sz w:val="20"/>
          <w:szCs w:val="20"/>
          <w:color w:val="auto"/>
        </w:rPr>
      </w:pPr>
      <w:r>
        <w:rPr>
          <w:rFonts w:ascii="Times New Roman" w:cs="Times New Roman" w:eastAsia="Times New Roman" w:hAnsi="Times New Roman"/>
          <w:sz w:val="20"/>
          <w:szCs w:val="20"/>
          <w:color w:val="auto"/>
        </w:rPr>
        <w:t>We cannot predict if investors will find our ADSs less attractive because we may rely on these exemptions. If some investors find our ADSs less attractive as a result, there may be a less active trading market for our ADSs and our ADS price may be more volatile.</w:t>
      </w:r>
    </w:p>
    <w:p>
      <w:pPr>
        <w:spacing w:after="0" w:line="306" w:lineRule="exact"/>
        <w:rPr>
          <w:sz w:val="20"/>
          <w:szCs w:val="20"/>
          <w:color w:val="auto"/>
        </w:rPr>
      </w:pPr>
    </w:p>
    <w:p>
      <w:pPr>
        <w:jc w:val="both"/>
        <w:ind w:left="10" w:right="2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Our articles of association provide that the courts of England and Wales will be the exclusive forum for the resolution of all shareholder complaints other than complaints asserting a cause of action arising under the Securities Act or the Exchange Act, and that the United States District Court for the Southern District of New York will be the exclusive forum for the resolution of any shareholder complaint asserting a cause of action arising under the Securities Act or the Exchange Act.</w:t>
      </w:r>
    </w:p>
    <w:p>
      <w:pPr>
        <w:spacing w:after="0" w:line="88" w:lineRule="exact"/>
        <w:rPr>
          <w:sz w:val="20"/>
          <w:szCs w:val="20"/>
          <w:color w:val="auto"/>
        </w:rPr>
      </w:pPr>
    </w:p>
    <w:p>
      <w:pPr>
        <w:jc w:val="both"/>
        <w:ind w:left="10" w:firstLine="720"/>
        <w:spacing w:after="0" w:line="260" w:lineRule="auto"/>
        <w:rPr>
          <w:sz w:val="20"/>
          <w:szCs w:val="20"/>
          <w:color w:val="auto"/>
        </w:rPr>
      </w:pPr>
      <w:r>
        <w:rPr>
          <w:rFonts w:ascii="Times New Roman" w:cs="Times New Roman" w:eastAsia="Times New Roman" w:hAnsi="Times New Roman"/>
          <w:sz w:val="20"/>
          <w:szCs w:val="20"/>
          <w:color w:val="auto"/>
        </w:rPr>
        <w:t>Our articles of association provide that, unless we consent by ordinary resolution to the selection of an alternative forum, the courts of England and Wales shall, to the fullest extent permitted by law, be the exclusive forum for resolving:</w:t>
      </w:r>
    </w:p>
    <w:p>
      <w:pPr>
        <w:spacing w:after="0" w:line="2" w:lineRule="exact"/>
        <w:rPr>
          <w:sz w:val="20"/>
          <w:szCs w:val="20"/>
          <w:color w:val="auto"/>
        </w:rPr>
      </w:pPr>
    </w:p>
    <w:p>
      <w:pPr>
        <w:jc w:val="both"/>
        <w:ind w:left="10" w:hanging="10"/>
        <w:spacing w:after="0" w:line="251" w:lineRule="auto"/>
        <w:tabs>
          <w:tab w:leader="none" w:pos="293"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derivative action or proceeding brought on our behalf; (b) any action or proceeding asserting a claim of breach of fiduciary duty owed by any of our directors, officers or other employees to us; (c) any action or proceeding asserting a claim arising out of any provision of the Companies Act, or our articles of association (as may be amended from time to time); or (d) any action or proceeding asserting a claim or otherwise related to our affairs, or the England and Wales Forum Provision. The England and Wales Forum Provision will not apply to any causes of action arising under the Securities Act or the Exchange Act. Our articles of association further provide that unless we consent by ordinary resolution to the selection of an alternative forum, the United States District Court for the Southern District of New York shall be the exclusive forum for resolving any complaint asserting a cause of action arising under the Securities Act or the Exchange Act, or the U.S. Federal Forum Provision. In addition, our articles of association provide that any person or entity purchasing or otherwise acquiring any interest in our shares is deemed to have notice of and consented to the England and Wales Forum Provision and the U.S. Federal Forum Provision; provided, however, that our shareholders cannot and will not be deemed to have waived our compliance with the U.S. federal securities laws and the rules and regulations thereunder.</w:t>
      </w:r>
    </w:p>
    <w:p>
      <w:pPr>
        <w:spacing w:after="0" w:line="213" w:lineRule="exact"/>
        <w:rPr>
          <w:sz w:val="20"/>
          <w:szCs w:val="20"/>
          <w:color w:val="auto"/>
        </w:rPr>
      </w:pPr>
    </w:p>
    <w:p>
      <w:pPr>
        <w:jc w:val="both"/>
        <w:ind w:left="10" w:firstLine="720"/>
        <w:spacing w:after="0" w:line="256" w:lineRule="auto"/>
        <w:rPr>
          <w:sz w:val="20"/>
          <w:szCs w:val="20"/>
          <w:color w:val="auto"/>
        </w:rPr>
      </w:pPr>
      <w:r>
        <w:rPr>
          <w:rFonts w:ascii="Times New Roman" w:cs="Times New Roman" w:eastAsia="Times New Roman" w:hAnsi="Times New Roman"/>
          <w:sz w:val="20"/>
          <w:szCs w:val="20"/>
          <w:color w:val="auto"/>
        </w:rPr>
        <w:t>The England and Wales Forum Provision and the U.S. Federal Forum Provision in our articles of association may impose additional litigation costs on our shareholders in pursuing any such claims. Additionally, the forum selection clauses in our articles of association may limit the ability of our shareholders to bring a claim in a judicial forum that they find favorable for disputes with us or our directors, officers or employees, which may discourage the filing of lawsuits against us and our directors, officers and employees, even though an action, if successful, might benefit our shareholders. In addition, while the Delaware Supreme Court ruled in March 2020 that federal forum selection provisions purporting to</w:t>
      </w:r>
    </w:p>
    <w:p>
      <w:pPr>
        <w:sectPr>
          <w:pgSz w:w="12240" w:h="15840" w:orient="portrait"/>
          <w:cols w:equalWidth="0" w:num="1">
            <w:col w:w="9910"/>
          </w:cols>
          <w:pgMar w:left="1170" w:top="208" w:right="1160" w:bottom="0" w:gutter="0" w:footer="0" w:header="0"/>
        </w:sectPr>
      </w:pPr>
    </w:p>
    <w:p>
      <w:pPr>
        <w:spacing w:after="0" w:line="200" w:lineRule="exact"/>
        <w:rPr>
          <w:sz w:val="20"/>
          <w:szCs w:val="20"/>
          <w:color w:val="auto"/>
        </w:rPr>
      </w:pPr>
    </w:p>
    <w:p>
      <w:pPr>
        <w:spacing w:after="0" w:line="289"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94</w:t>
      </w:r>
    </w:p>
    <w:p>
      <w:pPr>
        <w:sectPr>
          <w:pgSz w:w="12240" w:h="15840" w:orient="portrait"/>
          <w:cols w:equalWidth="0" w:num="1">
            <w:col w:w="9910"/>
          </w:cols>
          <w:pgMar w:left="1170" w:top="208" w:right="1160" w:bottom="0" w:gutter="0" w:footer="0" w:header="0"/>
          <w:type w:val="continuous"/>
        </w:sectPr>
      </w:pPr>
    </w:p>
    <w:bookmarkStart w:id="94" w:name="page95"/>
    <w:bookmarkEnd w:id="94"/>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400"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require claims under the Securities Act be brought in federal court are “facially valid” under Delaware law, there is uncertainty as to whether other courts, including the courts of England and Wales and other courts within the U.S., will enforce our U.S. Federal Forum Provision. If the U.S. Federal Forum Provision is found to be inapplicable or unenforceable in an action, we may incur additional costs associated with resolving such action in other jurisdictions, which could adversely affect our results of operations and financial condition. The U.S. Federal Forum Provision may also impose additional litigation costs on our shareholders who assert that the provision is not enforceable or invalid. The courts of England and Wales and the United States District Court for the Southern District of New York may also reach different judgments or results than would other courts, including courts where a shareholder considering an action may be located or would otherwise choose to bring the action, and such judgments may be more or less favorable to us than our shareholders.</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The price of our ADSs may be volatile, and you could lose all or part of your investment.</w:t>
      </w:r>
    </w:p>
    <w:p>
      <w:pPr>
        <w:spacing w:after="0" w:line="139" w:lineRule="exact"/>
        <w:rPr>
          <w:sz w:val="20"/>
          <w:szCs w:val="20"/>
          <w:color w:val="auto"/>
        </w:rPr>
      </w:pPr>
    </w:p>
    <w:p>
      <w:pPr>
        <w:jc w:val="both"/>
        <w:ind w:right="20" w:firstLine="720"/>
        <w:spacing w:after="0" w:line="266" w:lineRule="auto"/>
        <w:rPr>
          <w:sz w:val="20"/>
          <w:szCs w:val="20"/>
          <w:color w:val="auto"/>
        </w:rPr>
      </w:pPr>
      <w:r>
        <w:rPr>
          <w:rFonts w:ascii="Times New Roman" w:cs="Times New Roman" w:eastAsia="Times New Roman" w:hAnsi="Times New Roman"/>
          <w:sz w:val="20"/>
          <w:szCs w:val="20"/>
          <w:color w:val="auto"/>
        </w:rPr>
        <w:t>The trading price of our ADSs is likely to be highly volatile and could be subject to wide fluctuations in response to various factors, some of which are beyond our control, including limited trading volume. In addition to the factors discussed in this “Risk Factors” section, these factors include:</w:t>
      </w:r>
    </w:p>
    <w:p>
      <w:pPr>
        <w:spacing w:after="0" w:line="75" w:lineRule="exact"/>
        <w:rPr>
          <w:sz w:val="20"/>
          <w:szCs w:val="20"/>
          <w:color w:val="auto"/>
        </w:rPr>
      </w:pPr>
    </w:p>
    <w:p>
      <w:pPr>
        <w:ind w:left="1080" w:right="20" w:hanging="370"/>
        <w:spacing w:after="0" w:line="281" w:lineRule="auto"/>
        <w:tabs>
          <w:tab w:leader="none" w:pos="108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results of our ongoing, planned or any future preclinical studies, clinical trials or clinical development programs;</w:t>
      </w:r>
    </w:p>
    <w:p>
      <w:pPr>
        <w:spacing w:after="0" w:line="61" w:lineRule="exact"/>
        <w:rPr>
          <w:rFonts w:ascii="Times New Roman" w:cs="Times New Roman" w:eastAsia="Times New Roman" w:hAnsi="Times New Roman"/>
          <w:sz w:val="20"/>
          <w:szCs w:val="20"/>
          <w:color w:val="auto"/>
        </w:rPr>
      </w:pPr>
    </w:p>
    <w:p>
      <w:pPr>
        <w:ind w:left="1080" w:hanging="370"/>
        <w:spacing w:after="0" w:line="281" w:lineRule="auto"/>
        <w:tabs>
          <w:tab w:leader="none" w:pos="108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commencement, enrollment, or results of clinical trials of our product candidates or any future clinical trials we may conduct, or changes in the development status of our product candidates;</w:t>
      </w:r>
    </w:p>
    <w:p>
      <w:pPr>
        <w:spacing w:after="0" w:line="61" w:lineRule="exact"/>
        <w:rPr>
          <w:rFonts w:ascii="Times New Roman" w:cs="Times New Roman" w:eastAsia="Times New Roman" w:hAnsi="Times New Roman"/>
          <w:sz w:val="20"/>
          <w:szCs w:val="20"/>
          <w:color w:val="auto"/>
        </w:rPr>
      </w:pPr>
    </w:p>
    <w:p>
      <w:pPr>
        <w:ind w:left="1080" w:hanging="370"/>
        <w:spacing w:after="0"/>
        <w:tabs>
          <w:tab w:leader="none" w:pos="108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adverse results or delays in preclinical studies and clinical trials;</w:t>
      </w:r>
    </w:p>
    <w:p>
      <w:pPr>
        <w:spacing w:after="0" w:line="130" w:lineRule="exact"/>
        <w:rPr>
          <w:rFonts w:ascii="Times New Roman" w:cs="Times New Roman" w:eastAsia="Times New Roman" w:hAnsi="Times New Roman"/>
          <w:sz w:val="20"/>
          <w:szCs w:val="20"/>
          <w:color w:val="auto"/>
        </w:rPr>
      </w:pPr>
    </w:p>
    <w:p>
      <w:pPr>
        <w:ind w:left="1080" w:hanging="370"/>
        <w:spacing w:after="0"/>
        <w:tabs>
          <w:tab w:leader="none" w:pos="108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decision to initiate a clinical trial, not to initiate a clinical trial, or to terminate an existing clinical trial;</w:t>
      </w:r>
    </w:p>
    <w:p>
      <w:pPr>
        <w:spacing w:after="0" w:line="130" w:lineRule="exact"/>
        <w:rPr>
          <w:rFonts w:ascii="Times New Roman" w:cs="Times New Roman" w:eastAsia="Times New Roman" w:hAnsi="Times New Roman"/>
          <w:sz w:val="20"/>
          <w:szCs w:val="20"/>
          <w:color w:val="auto"/>
        </w:rPr>
      </w:pPr>
    </w:p>
    <w:p>
      <w:pPr>
        <w:ind w:left="1080" w:right="20" w:hanging="370"/>
        <w:spacing w:after="0" w:line="281" w:lineRule="auto"/>
        <w:tabs>
          <w:tab w:leader="none" w:pos="108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delay in our regulatory filings or any adverse regulatory decisions, including failure to receive regulatory approval of our product candidates;</w:t>
      </w:r>
    </w:p>
    <w:p>
      <w:pPr>
        <w:spacing w:after="0" w:line="61" w:lineRule="exact"/>
        <w:rPr>
          <w:rFonts w:ascii="Times New Roman" w:cs="Times New Roman" w:eastAsia="Times New Roman" w:hAnsi="Times New Roman"/>
          <w:sz w:val="20"/>
          <w:szCs w:val="20"/>
          <w:color w:val="auto"/>
        </w:rPr>
      </w:pPr>
    </w:p>
    <w:p>
      <w:pPr>
        <w:ind w:left="1080" w:right="20" w:hanging="370"/>
        <w:spacing w:after="0" w:line="281" w:lineRule="auto"/>
        <w:tabs>
          <w:tab w:leader="none" w:pos="108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laws or regulations applicable to our products, including but not limited to clinical trial requirements for approvals;</w:t>
      </w:r>
    </w:p>
    <w:p>
      <w:pPr>
        <w:spacing w:after="0" w:line="61" w:lineRule="exact"/>
        <w:rPr>
          <w:rFonts w:ascii="Times New Roman" w:cs="Times New Roman" w:eastAsia="Times New Roman" w:hAnsi="Times New Roman"/>
          <w:sz w:val="20"/>
          <w:szCs w:val="20"/>
          <w:color w:val="auto"/>
        </w:rPr>
      </w:pPr>
    </w:p>
    <w:p>
      <w:pPr>
        <w:ind w:left="1080" w:hanging="370"/>
        <w:spacing w:after="0"/>
        <w:tabs>
          <w:tab w:leader="none" w:pos="108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adverse developments concerning our manufacturers or our manufacturing plans;</w:t>
      </w:r>
    </w:p>
    <w:p>
      <w:pPr>
        <w:spacing w:after="0" w:line="130" w:lineRule="exact"/>
        <w:rPr>
          <w:rFonts w:ascii="Times New Roman" w:cs="Times New Roman" w:eastAsia="Times New Roman" w:hAnsi="Times New Roman"/>
          <w:sz w:val="20"/>
          <w:szCs w:val="20"/>
          <w:color w:val="auto"/>
        </w:rPr>
      </w:pPr>
    </w:p>
    <w:p>
      <w:pPr>
        <w:ind w:left="1080" w:right="20" w:hanging="370"/>
        <w:spacing w:after="0" w:line="281" w:lineRule="auto"/>
        <w:tabs>
          <w:tab w:leader="none" w:pos="108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inability to obtain adequate product supply for any licensed product or inability to do so at acceptable prices;</w:t>
      </w:r>
    </w:p>
    <w:p>
      <w:pPr>
        <w:spacing w:after="0" w:line="61" w:lineRule="exact"/>
        <w:rPr>
          <w:rFonts w:ascii="Times New Roman" w:cs="Times New Roman" w:eastAsia="Times New Roman" w:hAnsi="Times New Roman"/>
          <w:sz w:val="20"/>
          <w:szCs w:val="20"/>
          <w:color w:val="auto"/>
        </w:rPr>
      </w:pPr>
    </w:p>
    <w:p>
      <w:pPr>
        <w:ind w:left="1080" w:hanging="370"/>
        <w:spacing w:after="0"/>
        <w:tabs>
          <w:tab w:leader="none" w:pos="108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inability to establish collaborations if needed;</w:t>
      </w:r>
    </w:p>
    <w:p>
      <w:pPr>
        <w:spacing w:after="0" w:line="130" w:lineRule="exact"/>
        <w:rPr>
          <w:rFonts w:ascii="Times New Roman" w:cs="Times New Roman" w:eastAsia="Times New Roman" w:hAnsi="Times New Roman"/>
          <w:sz w:val="20"/>
          <w:szCs w:val="20"/>
          <w:color w:val="auto"/>
        </w:rPr>
      </w:pPr>
    </w:p>
    <w:p>
      <w:pPr>
        <w:ind w:left="1080" w:hanging="370"/>
        <w:spacing w:after="0"/>
        <w:tabs>
          <w:tab w:leader="none" w:pos="108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failure to commercialize our product candidates;</w:t>
      </w:r>
    </w:p>
    <w:p>
      <w:pPr>
        <w:spacing w:after="0" w:line="130" w:lineRule="exact"/>
        <w:rPr>
          <w:rFonts w:ascii="Times New Roman" w:cs="Times New Roman" w:eastAsia="Times New Roman" w:hAnsi="Times New Roman"/>
          <w:sz w:val="20"/>
          <w:szCs w:val="20"/>
          <w:color w:val="auto"/>
        </w:rPr>
      </w:pPr>
    </w:p>
    <w:p>
      <w:pPr>
        <w:ind w:left="1080" w:hanging="370"/>
        <w:spacing w:after="0"/>
        <w:tabs>
          <w:tab w:leader="none" w:pos="108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the structure of healthcare payment systems;</w:t>
      </w:r>
    </w:p>
    <w:p>
      <w:pPr>
        <w:spacing w:after="0" w:line="130" w:lineRule="exact"/>
        <w:rPr>
          <w:rFonts w:ascii="Times New Roman" w:cs="Times New Roman" w:eastAsia="Times New Roman" w:hAnsi="Times New Roman"/>
          <w:sz w:val="20"/>
          <w:szCs w:val="20"/>
          <w:color w:val="auto"/>
        </w:rPr>
      </w:pPr>
    </w:p>
    <w:p>
      <w:pPr>
        <w:ind w:left="1080" w:hanging="370"/>
        <w:spacing w:after="0"/>
        <w:tabs>
          <w:tab w:leader="none" w:pos="108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additions or departures of key scientific or management personnel;</w:t>
      </w:r>
    </w:p>
    <w:p>
      <w:pPr>
        <w:spacing w:after="0" w:line="130" w:lineRule="exact"/>
        <w:rPr>
          <w:rFonts w:ascii="Times New Roman" w:cs="Times New Roman" w:eastAsia="Times New Roman" w:hAnsi="Times New Roman"/>
          <w:sz w:val="20"/>
          <w:szCs w:val="20"/>
          <w:color w:val="auto"/>
        </w:rPr>
      </w:pPr>
    </w:p>
    <w:p>
      <w:pPr>
        <w:ind w:left="1080" w:hanging="370"/>
        <w:spacing w:after="0"/>
        <w:tabs>
          <w:tab w:leader="none" w:pos="108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unanticipated serious safety concerns related to the use of our product candidates;</w:t>
      </w:r>
    </w:p>
    <w:p>
      <w:pPr>
        <w:spacing w:after="0" w:line="130" w:lineRule="exact"/>
        <w:rPr>
          <w:rFonts w:ascii="Times New Roman" w:cs="Times New Roman" w:eastAsia="Times New Roman" w:hAnsi="Times New Roman"/>
          <w:sz w:val="20"/>
          <w:szCs w:val="20"/>
          <w:color w:val="auto"/>
        </w:rPr>
      </w:pPr>
    </w:p>
    <w:p>
      <w:pPr>
        <w:ind w:left="1080" w:hanging="370"/>
        <w:spacing w:after="0"/>
        <w:tabs>
          <w:tab w:leader="none" w:pos="108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introduction of new products or services offered by us or our competitors;</w:t>
      </w:r>
    </w:p>
    <w:p>
      <w:pPr>
        <w:spacing w:after="0" w:line="130" w:lineRule="exact"/>
        <w:rPr>
          <w:rFonts w:ascii="Times New Roman" w:cs="Times New Roman" w:eastAsia="Times New Roman" w:hAnsi="Times New Roman"/>
          <w:sz w:val="20"/>
          <w:szCs w:val="20"/>
          <w:color w:val="auto"/>
        </w:rPr>
      </w:pPr>
    </w:p>
    <w:p>
      <w:pPr>
        <w:ind w:left="1080" w:right="20" w:hanging="370"/>
        <w:spacing w:after="0" w:line="281" w:lineRule="auto"/>
        <w:tabs>
          <w:tab w:leader="none" w:pos="108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announcements of significant acquisitions, strategic partnerships, joint ventures or capital commitments by us or our competitors;</w:t>
      </w:r>
    </w:p>
    <w:p>
      <w:pPr>
        <w:spacing w:after="0" w:line="61" w:lineRule="exact"/>
        <w:rPr>
          <w:rFonts w:ascii="Times New Roman" w:cs="Times New Roman" w:eastAsia="Times New Roman" w:hAnsi="Times New Roman"/>
          <w:sz w:val="20"/>
          <w:szCs w:val="20"/>
          <w:color w:val="auto"/>
        </w:rPr>
      </w:pPr>
    </w:p>
    <w:p>
      <w:pPr>
        <w:ind w:left="1080" w:hanging="370"/>
        <w:spacing w:after="0"/>
        <w:tabs>
          <w:tab w:leader="none" w:pos="108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effectively manage our growth;</w:t>
      </w:r>
    </w:p>
    <w:p>
      <w:pPr>
        <w:spacing w:after="0" w:line="130" w:lineRule="exact"/>
        <w:rPr>
          <w:rFonts w:ascii="Times New Roman" w:cs="Times New Roman" w:eastAsia="Times New Roman" w:hAnsi="Times New Roman"/>
          <w:sz w:val="20"/>
          <w:szCs w:val="20"/>
          <w:color w:val="auto"/>
        </w:rPr>
      </w:pPr>
    </w:p>
    <w:p>
      <w:pPr>
        <w:ind w:left="1080" w:hanging="370"/>
        <w:spacing w:after="0"/>
        <w:tabs>
          <w:tab w:leader="none" w:pos="108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size and growth of our initial cancer target markets;</w:t>
      </w:r>
    </w:p>
    <w:p>
      <w:pPr>
        <w:spacing w:after="0" w:line="130" w:lineRule="exact"/>
        <w:rPr>
          <w:rFonts w:ascii="Times New Roman" w:cs="Times New Roman" w:eastAsia="Times New Roman" w:hAnsi="Times New Roman"/>
          <w:sz w:val="20"/>
          <w:szCs w:val="20"/>
          <w:color w:val="auto"/>
        </w:rPr>
      </w:pPr>
    </w:p>
    <w:p>
      <w:pPr>
        <w:ind w:left="1080" w:hanging="370"/>
        <w:spacing w:after="0"/>
        <w:tabs>
          <w:tab w:leader="none" w:pos="108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successfully treat additional types of cancers or at different stages;</w:t>
      </w:r>
    </w:p>
    <w:p>
      <w:pPr>
        <w:spacing w:after="0" w:line="130" w:lineRule="exact"/>
        <w:rPr>
          <w:rFonts w:ascii="Times New Roman" w:cs="Times New Roman" w:eastAsia="Times New Roman" w:hAnsi="Times New Roman"/>
          <w:sz w:val="20"/>
          <w:szCs w:val="20"/>
          <w:color w:val="auto"/>
        </w:rPr>
      </w:pPr>
    </w:p>
    <w:p>
      <w:pPr>
        <w:ind w:left="1080" w:hanging="370"/>
        <w:spacing w:after="0"/>
        <w:tabs>
          <w:tab w:leader="none" w:pos="108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actual or anticipated variations in quarterly operating results;</w:t>
      </w:r>
    </w:p>
    <w:p>
      <w:pPr>
        <w:spacing w:after="0" w:line="130" w:lineRule="exact"/>
        <w:rPr>
          <w:rFonts w:ascii="Times New Roman" w:cs="Times New Roman" w:eastAsia="Times New Roman" w:hAnsi="Times New Roman"/>
          <w:sz w:val="20"/>
          <w:szCs w:val="20"/>
          <w:color w:val="auto"/>
        </w:rPr>
      </w:pPr>
    </w:p>
    <w:p>
      <w:pPr>
        <w:ind w:left="1080" w:hanging="370"/>
        <w:spacing w:after="0"/>
        <w:tabs>
          <w:tab w:leader="none" w:pos="108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cash position;</w:t>
      </w:r>
    </w:p>
    <w:p>
      <w:pPr>
        <w:spacing w:after="0" w:line="130" w:lineRule="exact"/>
        <w:rPr>
          <w:rFonts w:ascii="Times New Roman" w:cs="Times New Roman" w:eastAsia="Times New Roman" w:hAnsi="Times New Roman"/>
          <w:sz w:val="20"/>
          <w:szCs w:val="20"/>
          <w:color w:val="auto"/>
        </w:rPr>
      </w:pPr>
    </w:p>
    <w:p>
      <w:pPr>
        <w:ind w:left="1080" w:right="20" w:hanging="370"/>
        <w:spacing w:after="0" w:line="281" w:lineRule="auto"/>
        <w:tabs>
          <w:tab w:leader="none" w:pos="108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failure to meet the estimates and projections of the investment community or that we may otherwise provide to the public;</w:t>
      </w:r>
    </w:p>
    <w:p>
      <w:pPr>
        <w:spacing w:after="0" w:line="61" w:lineRule="exact"/>
        <w:rPr>
          <w:rFonts w:ascii="Times New Roman" w:cs="Times New Roman" w:eastAsia="Times New Roman" w:hAnsi="Times New Roman"/>
          <w:sz w:val="20"/>
          <w:szCs w:val="20"/>
          <w:color w:val="auto"/>
        </w:rPr>
      </w:pPr>
    </w:p>
    <w:p>
      <w:pPr>
        <w:ind w:left="1080" w:right="20" w:hanging="370"/>
        <w:spacing w:after="0" w:line="281" w:lineRule="auto"/>
        <w:tabs>
          <w:tab w:leader="none" w:pos="108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publication of research reports about us or our industry, or immunotherapy in particular, or positive or negative recommendations or withdrawal of research coverage by securities analysts;</w:t>
      </w:r>
    </w:p>
    <w:p>
      <w:pPr>
        <w:spacing w:after="0" w:line="61" w:lineRule="exact"/>
        <w:rPr>
          <w:rFonts w:ascii="Times New Roman" w:cs="Times New Roman" w:eastAsia="Times New Roman" w:hAnsi="Times New Roman"/>
          <w:sz w:val="20"/>
          <w:szCs w:val="20"/>
          <w:color w:val="auto"/>
        </w:rPr>
      </w:pPr>
    </w:p>
    <w:p>
      <w:pPr>
        <w:ind w:left="1080" w:hanging="370"/>
        <w:spacing w:after="0"/>
        <w:tabs>
          <w:tab w:leader="none" w:pos="108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the market valuations of similar companies;</w:t>
      </w:r>
    </w:p>
    <w:p>
      <w:pPr>
        <w:sectPr>
          <w:pgSz w:w="12240" w:h="15840" w:orient="portrait"/>
          <w:cols w:equalWidth="0" w:num="1">
            <w:col w:w="9900"/>
          </w:cols>
          <w:pgMar w:left="1180" w:top="20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95</w:t>
      </w:r>
    </w:p>
    <w:p>
      <w:pPr>
        <w:sectPr>
          <w:pgSz w:w="12240" w:h="15840" w:orient="portrait"/>
          <w:cols w:equalWidth="0" w:num="1">
            <w:col w:w="9900"/>
          </w:cols>
          <w:pgMar w:left="1180" w:top="208" w:right="1160" w:bottom="0" w:gutter="0" w:footer="0" w:header="0"/>
          <w:type w:val="continuous"/>
        </w:sectPr>
      </w:pPr>
    </w:p>
    <w:bookmarkStart w:id="95" w:name="page96"/>
    <w:bookmarkEnd w:id="95"/>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400" w:lineRule="exact"/>
        <w:rPr>
          <w:sz w:val="20"/>
          <w:szCs w:val="20"/>
          <w:color w:val="auto"/>
        </w:rPr>
      </w:pPr>
    </w:p>
    <w:p>
      <w:pPr>
        <w:ind w:left="1080" w:hanging="370"/>
        <w:spacing w:after="0"/>
        <w:tabs>
          <w:tab w:leader="none" w:pos="108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overall performance of the equity markets;</w:t>
      </w:r>
    </w:p>
    <w:p>
      <w:pPr>
        <w:spacing w:after="0" w:line="130" w:lineRule="exact"/>
        <w:rPr>
          <w:rFonts w:ascii="Times New Roman" w:cs="Times New Roman" w:eastAsia="Times New Roman" w:hAnsi="Times New Roman"/>
          <w:sz w:val="20"/>
          <w:szCs w:val="20"/>
          <w:color w:val="auto"/>
        </w:rPr>
      </w:pPr>
    </w:p>
    <w:p>
      <w:pPr>
        <w:ind w:left="1080" w:hanging="370"/>
        <w:spacing w:after="0"/>
        <w:tabs>
          <w:tab w:leader="none" w:pos="108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sales of our ADSs by us or holders of our ADSs in the future;</w:t>
      </w:r>
    </w:p>
    <w:p>
      <w:pPr>
        <w:spacing w:after="0" w:line="130" w:lineRule="exact"/>
        <w:rPr>
          <w:rFonts w:ascii="Times New Roman" w:cs="Times New Roman" w:eastAsia="Times New Roman" w:hAnsi="Times New Roman"/>
          <w:sz w:val="20"/>
          <w:szCs w:val="20"/>
          <w:color w:val="auto"/>
        </w:rPr>
      </w:pPr>
    </w:p>
    <w:p>
      <w:pPr>
        <w:ind w:left="1080" w:hanging="370"/>
        <w:spacing w:after="0"/>
        <w:tabs>
          <w:tab w:leader="none" w:pos="108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trading volume of our ADSs;</w:t>
      </w:r>
    </w:p>
    <w:p>
      <w:pPr>
        <w:spacing w:after="0" w:line="130" w:lineRule="exact"/>
        <w:rPr>
          <w:rFonts w:ascii="Times New Roman" w:cs="Times New Roman" w:eastAsia="Times New Roman" w:hAnsi="Times New Roman"/>
          <w:sz w:val="20"/>
          <w:szCs w:val="20"/>
          <w:color w:val="auto"/>
        </w:rPr>
      </w:pPr>
    </w:p>
    <w:p>
      <w:pPr>
        <w:ind w:left="1080" w:hanging="370"/>
        <w:spacing w:after="0"/>
        <w:tabs>
          <w:tab w:leader="none" w:pos="108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accounting practices;</w:t>
      </w:r>
    </w:p>
    <w:p>
      <w:pPr>
        <w:spacing w:after="0" w:line="130" w:lineRule="exact"/>
        <w:rPr>
          <w:rFonts w:ascii="Times New Roman" w:cs="Times New Roman" w:eastAsia="Times New Roman" w:hAnsi="Times New Roman"/>
          <w:sz w:val="20"/>
          <w:szCs w:val="20"/>
          <w:color w:val="auto"/>
        </w:rPr>
      </w:pPr>
    </w:p>
    <w:p>
      <w:pPr>
        <w:ind w:left="1080" w:hanging="370"/>
        <w:spacing w:after="0"/>
        <w:tabs>
          <w:tab w:leader="none" w:pos="108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ineffectiveness of our internal controls;</w:t>
      </w:r>
    </w:p>
    <w:p>
      <w:pPr>
        <w:spacing w:after="0" w:line="130" w:lineRule="exact"/>
        <w:rPr>
          <w:rFonts w:ascii="Times New Roman" w:cs="Times New Roman" w:eastAsia="Times New Roman" w:hAnsi="Times New Roman"/>
          <w:sz w:val="20"/>
          <w:szCs w:val="20"/>
          <w:color w:val="auto"/>
        </w:rPr>
      </w:pPr>
    </w:p>
    <w:p>
      <w:pPr>
        <w:ind w:left="1080" w:right="20" w:hanging="370"/>
        <w:spacing w:after="0" w:line="281" w:lineRule="auto"/>
        <w:tabs>
          <w:tab w:leader="none" w:pos="108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disputes or other developments relating to intellectual property or proprietary rights, including patents, litigation matters and our ability to obtain patent protection for our technologies;</w:t>
      </w:r>
    </w:p>
    <w:p>
      <w:pPr>
        <w:spacing w:after="0" w:line="61" w:lineRule="exact"/>
        <w:rPr>
          <w:rFonts w:ascii="Times New Roman" w:cs="Times New Roman" w:eastAsia="Times New Roman" w:hAnsi="Times New Roman"/>
          <w:sz w:val="20"/>
          <w:szCs w:val="20"/>
          <w:color w:val="auto"/>
        </w:rPr>
      </w:pPr>
    </w:p>
    <w:p>
      <w:pPr>
        <w:ind w:left="1080" w:hanging="370"/>
        <w:spacing w:after="0"/>
        <w:tabs>
          <w:tab w:leader="none" w:pos="108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significant lawsuits, including intellectual property or shareholder litigation;</w:t>
      </w:r>
    </w:p>
    <w:p>
      <w:pPr>
        <w:spacing w:after="0" w:line="130" w:lineRule="exact"/>
        <w:rPr>
          <w:rFonts w:ascii="Times New Roman" w:cs="Times New Roman" w:eastAsia="Times New Roman" w:hAnsi="Times New Roman"/>
          <w:sz w:val="20"/>
          <w:szCs w:val="20"/>
          <w:color w:val="auto"/>
        </w:rPr>
      </w:pPr>
    </w:p>
    <w:p>
      <w:pPr>
        <w:ind w:left="1080" w:hanging="370"/>
        <w:spacing w:after="0"/>
        <w:tabs>
          <w:tab w:leader="none" w:pos="108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general political and economic conditions; and</w:t>
      </w:r>
    </w:p>
    <w:p>
      <w:pPr>
        <w:spacing w:after="0" w:line="130" w:lineRule="exact"/>
        <w:rPr>
          <w:rFonts w:ascii="Times New Roman" w:cs="Times New Roman" w:eastAsia="Times New Roman" w:hAnsi="Times New Roman"/>
          <w:sz w:val="20"/>
          <w:szCs w:val="20"/>
          <w:color w:val="auto"/>
        </w:rPr>
      </w:pPr>
    </w:p>
    <w:p>
      <w:pPr>
        <w:ind w:left="1080" w:hanging="370"/>
        <w:spacing w:after="0"/>
        <w:tabs>
          <w:tab w:leader="none" w:pos="108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events or factors, many of which are beyond our control.</w:t>
      </w:r>
    </w:p>
    <w:p>
      <w:pPr>
        <w:spacing w:after="0" w:line="250" w:lineRule="exact"/>
        <w:rPr>
          <w:sz w:val="20"/>
          <w:szCs w:val="20"/>
          <w:color w:val="auto"/>
        </w:rPr>
      </w:pPr>
    </w:p>
    <w:p>
      <w:pPr>
        <w:jc w:val="both"/>
        <w:ind w:right="20" w:firstLine="720"/>
        <w:spacing w:after="0" w:line="254" w:lineRule="auto"/>
        <w:rPr>
          <w:sz w:val="20"/>
          <w:szCs w:val="20"/>
          <w:color w:val="auto"/>
        </w:rPr>
      </w:pPr>
      <w:r>
        <w:rPr>
          <w:rFonts w:ascii="Times New Roman" w:cs="Times New Roman" w:eastAsia="Times New Roman" w:hAnsi="Times New Roman"/>
          <w:sz w:val="20"/>
          <w:szCs w:val="20"/>
          <w:color w:val="auto"/>
        </w:rPr>
        <w:t>In addition, the stock market in general, and the market for biopharmaceutical companies in particular, have experienced extreme price and volume fluctuations that have often been unrelated or disproportionate to the operating performance of these companies. Broad market and industry factors may negatively affect the market price of our ADSs, regardless of our actual operating performance. If the market price of our ADSs does not exceed the price at which you purchased them, you may not realize any return on your investment in us and may lose some or all of your investment. In the past, securities class action litigation has often been instituted against companies following periods of volatility in the market price of a company’s securities. On September 28, 2022, the Company and certain of its current and former officers were named as defendants in a proposed class-action lawsuit. On August 27, 2024, the United States District Court for the Southern District of New York dismissed the plaintiff’s complaint with prejudice and ordered the case closed.</w:t>
      </w:r>
    </w:p>
    <w:p>
      <w:pPr>
        <w:spacing w:after="0" w:line="320"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Substantial future sales or issuances of shares of our ordinary shares or ADSs or other equity-related securities could adversely affect the price of our ADSs and dilute shareholders.</w:t>
      </w:r>
    </w:p>
    <w:p>
      <w:pPr>
        <w:spacing w:after="0" w:line="57" w:lineRule="exact"/>
        <w:rPr>
          <w:sz w:val="20"/>
          <w:szCs w:val="20"/>
          <w:color w:val="auto"/>
        </w:rPr>
      </w:pPr>
    </w:p>
    <w:p>
      <w:pPr>
        <w:ind w:right="280" w:firstLine="720"/>
        <w:spacing w:after="0" w:line="258" w:lineRule="auto"/>
        <w:rPr>
          <w:sz w:val="20"/>
          <w:szCs w:val="20"/>
          <w:color w:val="auto"/>
        </w:rPr>
      </w:pPr>
      <w:r>
        <w:rPr>
          <w:rFonts w:ascii="Times New Roman" w:cs="Times New Roman" w:eastAsia="Times New Roman" w:hAnsi="Times New Roman"/>
          <w:sz w:val="20"/>
          <w:szCs w:val="20"/>
          <w:color w:val="auto"/>
        </w:rPr>
        <w:t>Sales of a substantial number of ordinary shares or ADSs, and sales by our management, our directors, their affiliates, or significant shareholders, could occur at any time, and such sales could depress the market of our ADSs and could also affect our ability to raise equity capital through the sale of additional equity or equity-related securities, including ADSs, to meet our capital needs, including in connection with funding potential future acquisition or licensing opportunities, capital expenditures or product development costs.</w:t>
      </w:r>
    </w:p>
    <w:p>
      <w:pPr>
        <w:spacing w:after="0" w:line="315"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do not know whether an active, liquid and orderly trading market will develop for our ADSs or what the market price of our ADSs will be and, as a result, it may be difficult for you to sell your ADSs.</w:t>
      </w:r>
    </w:p>
    <w:p>
      <w:pPr>
        <w:spacing w:after="0" w:line="57" w:lineRule="exact"/>
        <w:rPr>
          <w:sz w:val="20"/>
          <w:szCs w:val="20"/>
          <w:color w:val="auto"/>
        </w:rPr>
      </w:pPr>
    </w:p>
    <w:p>
      <w:pPr>
        <w:jc w:val="both"/>
        <w:ind w:right="20" w:firstLine="720"/>
        <w:spacing w:after="0" w:line="256" w:lineRule="auto"/>
        <w:rPr>
          <w:sz w:val="20"/>
          <w:szCs w:val="20"/>
          <w:color w:val="auto"/>
        </w:rPr>
      </w:pPr>
      <w:r>
        <w:rPr>
          <w:rFonts w:ascii="Times New Roman" w:cs="Times New Roman" w:eastAsia="Times New Roman" w:hAnsi="Times New Roman"/>
          <w:sz w:val="20"/>
          <w:szCs w:val="20"/>
          <w:color w:val="auto"/>
        </w:rPr>
        <w:t>Although our ADSs are listed on The Nasdaq Global Select Market, an active trading market for our ADSs may never develop or be sustained. You may not be able to sell your ADSs quickly or at the market price if trading in shares of our ADSs is not active. As a result of these and other factors, you may be unable to resell your ADSs at or above the price at which you purchased them. Further, an inactive market may also impair our ability to raise capital by selling additional ADSs and may impair our ability to enter into strategic partnerships or acquire companies or products by using our ADSs as consideration.</w:t>
      </w:r>
    </w:p>
    <w:p>
      <w:pPr>
        <w:spacing w:after="0" w:line="319"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If securities or industry analysts do not maintain research coverage of our company or publish inaccurate or unfavorable research about our business, the price of our ADSs and trading volume could decline.</w:t>
      </w:r>
    </w:p>
    <w:p>
      <w:pPr>
        <w:spacing w:after="0" w:line="57" w:lineRule="exact"/>
        <w:rPr>
          <w:sz w:val="20"/>
          <w:szCs w:val="20"/>
          <w:color w:val="auto"/>
        </w:rPr>
      </w:pPr>
    </w:p>
    <w:p>
      <w:pPr>
        <w:jc w:val="both"/>
        <w:ind w:right="20" w:firstLine="720"/>
        <w:spacing w:after="0" w:line="258" w:lineRule="auto"/>
        <w:rPr>
          <w:sz w:val="20"/>
          <w:szCs w:val="20"/>
          <w:color w:val="auto"/>
        </w:rPr>
      </w:pPr>
      <w:r>
        <w:rPr>
          <w:rFonts w:ascii="Times New Roman" w:cs="Times New Roman" w:eastAsia="Times New Roman" w:hAnsi="Times New Roman"/>
          <w:sz w:val="20"/>
          <w:szCs w:val="20"/>
          <w:color w:val="auto"/>
        </w:rPr>
        <w:t>The trading market for our ADSs will depend in part on the research and reports that securities or industry analysts publish about us or our business. If one or more of the analysts who cover us downgrades our ADSs or publishes inaccurate or unfavorable research about our business, our ADS price may decline. If one or more of these analysts ceases coverage of our company or fails to publish reports on us regularly, demand for our ADSs could decrease, which might cause our ADS price and trading volume to decline.</w:t>
      </w:r>
    </w:p>
    <w:p>
      <w:pPr>
        <w:spacing w:after="0" w:line="315"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Our principal shareholders and management own a significant percentage of our voting shares and will be able to exert significant influence over matters subject to shareholders’ approval.</w:t>
      </w:r>
    </w:p>
    <w:p>
      <w:pPr>
        <w:spacing w:after="0" w:line="57" w:lineRule="exact"/>
        <w:rPr>
          <w:sz w:val="20"/>
          <w:szCs w:val="20"/>
          <w:color w:val="auto"/>
        </w:rPr>
      </w:pPr>
    </w:p>
    <w:p>
      <w:pPr>
        <w:jc w:val="both"/>
        <w:ind w:firstLine="720"/>
        <w:spacing w:after="0" w:line="281" w:lineRule="auto"/>
        <w:rPr>
          <w:sz w:val="20"/>
          <w:szCs w:val="20"/>
          <w:color w:val="auto"/>
        </w:rPr>
      </w:pPr>
      <w:r>
        <w:rPr>
          <w:rFonts w:ascii="Times New Roman" w:cs="Times New Roman" w:eastAsia="Times New Roman" w:hAnsi="Times New Roman"/>
          <w:sz w:val="20"/>
          <w:szCs w:val="20"/>
          <w:color w:val="auto"/>
        </w:rPr>
        <w:t>Our executive officers, directors, and 5.0% shareholders beneficially owned approximately 34.6% of our voting shares as of December 31, 2025. Therefore, these shareholders will have the ability to influence us through this ownership</w:t>
      </w:r>
    </w:p>
    <w:p>
      <w:pPr>
        <w:sectPr>
          <w:pgSz w:w="12240" w:h="15840" w:orient="portrait"/>
          <w:cols w:equalWidth="0" w:num="1">
            <w:col w:w="9900"/>
          </w:cols>
          <w:pgMar w:left="1180" w:top="208" w:right="1160" w:bottom="0" w:gutter="0" w:footer="0" w:header="0"/>
        </w:sectPr>
      </w:pPr>
    </w:p>
    <w:p>
      <w:pPr>
        <w:spacing w:after="0" w:line="200" w:lineRule="exact"/>
        <w:rPr>
          <w:sz w:val="20"/>
          <w:szCs w:val="20"/>
          <w:color w:val="auto"/>
        </w:rPr>
      </w:pPr>
    </w:p>
    <w:p>
      <w:pPr>
        <w:spacing w:after="0" w:line="3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96</w:t>
      </w:r>
    </w:p>
    <w:p>
      <w:pPr>
        <w:sectPr>
          <w:pgSz w:w="12240" w:h="15840" w:orient="portrait"/>
          <w:cols w:equalWidth="0" w:num="1">
            <w:col w:w="9900"/>
          </w:cols>
          <w:pgMar w:left="1180" w:top="208" w:right="1160" w:bottom="0" w:gutter="0" w:footer="0" w:header="0"/>
          <w:type w:val="continuous"/>
        </w:sectPr>
      </w:pPr>
    </w:p>
    <w:bookmarkStart w:id="96" w:name="page97"/>
    <w:bookmarkEnd w:id="96"/>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400"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position. These shareholders may be able to determine matters requiring shareholder approval. For example, these shareholders may be able to control elections, re-elections and removal of directors, amendments of our articles of association, or approval of any merger, scheme of arrangement, sale of assets, or other major corporate transaction. This may prevent or discourage unsolicited acquisition proposals or offers for our ADSs that you may feel are in your best interest as a holder of our ADSs.</w:t>
      </w:r>
    </w:p>
    <w:p>
      <w:pPr>
        <w:spacing w:after="0" w:line="204"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In addition, some of these persons or entities may have interests different than yours. For example, because many of these shareholders purchased their ordinary shares at prices substantially below the price at which you may have purchased our ADSs and have held their ordinary shares for a longer period, they may be more interested in selling our company to an acquirer than other investors or they may want us to pursue strategies that deviate from the interests of other shareholders.</w:t>
      </w:r>
    </w:p>
    <w:p>
      <w:pPr>
        <w:spacing w:after="0" w:line="315"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Future sales and issuances of our ADSs or rights to purchase ordinary shares, including pursuant to our equity incentive plans, could result in additional dilution of the percentage ownership of our shareholders and could cause the price of our ADSs to fall.</w:t>
      </w:r>
    </w:p>
    <w:p>
      <w:pPr>
        <w:spacing w:after="0" w:line="76"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We expect that significant additional capital may be needed in the future to continue our planned operations, including conducting clinical trials, expanded research and development activities, and costs associated with operating as a public company. To raise capital, we may sell ADSs, ordinary shares, convertible securities, or other equity securities in one or more transactions at prices and in a manner we determine from time to time. If we sell ADSs, ordinary shares, convertible securities, or other equity securities, investors may be materially diluted by subsequent sales, and new investors could gain rights, preferences, and privileges senior to the holders of our ADSs. Pursuant to our 2021 Plan, our management is authorized to grant share options to our employees, directors, and consultants. In September 2024, we filed a registration statement on Form S-3ASR relating to the registration of our ordinary shares, each of which may be represented by one ADS; senior or subordinated debt securities; warrants to purchase any securities that may be sold under the prospectus; units or any combination thereof. In November 2025, we entered into an amended and restated “at-the-market” offering program, which provides for the offering, issuance and sale by us of shares of our ordinary shares, represented by ADSs from time to time for aggregate gross proceeds of up to $250.0 million in sales deemed to be “at-the-market offerings” as defined by the Securities Act of 1933, as amended. Any sale or issuance of securities pursuant to this registration statement or otherwise may result in dilution to our shareholders and may cause the market price of our ADSs to decline. Furthermore, new investors purchasing securities that we may issue and sell in the future could obtain rights superior to the rights of our existing shareholders.</w:t>
      </w:r>
    </w:p>
    <w:p>
      <w:pPr>
        <w:spacing w:after="0" w:line="216"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As of December 31, 2025, the aggregate number of ordinary shares that may be issued pursuant to future share awards under the 2021 Plan is 11,255,336 ordinary shares. The number of ordinary shares reserved for issuance under the 2021 Plan shall be cumulatively increased on January 1, 2023 and each January 1 thereafter by up to 5.0% of the total number of ordinary shares outstanding on December 31 of the preceding calendar year or a lesser number of ordinary shares determined by our board of directors. Unless our board of directors elects not to increase the number of ordinary shares available for future grant each year, our shareholders may experience additional dilution, which could cause the price of our ADSs to fall.</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have broad discretion in the use of our cash resources and may not use them effectively.</w:t>
      </w:r>
    </w:p>
    <w:p>
      <w:pPr>
        <w:spacing w:after="0" w:line="139" w:lineRule="exact"/>
        <w:rPr>
          <w:sz w:val="20"/>
          <w:szCs w:val="20"/>
          <w:color w:val="auto"/>
        </w:rPr>
      </w:pPr>
    </w:p>
    <w:p>
      <w:pPr>
        <w:jc w:val="both"/>
        <w:ind w:right="20" w:firstLine="720"/>
        <w:spacing w:after="0" w:line="256" w:lineRule="auto"/>
        <w:rPr>
          <w:sz w:val="20"/>
          <w:szCs w:val="20"/>
          <w:color w:val="auto"/>
        </w:rPr>
      </w:pPr>
      <w:r>
        <w:rPr>
          <w:rFonts w:ascii="Times New Roman" w:cs="Times New Roman" w:eastAsia="Times New Roman" w:hAnsi="Times New Roman"/>
          <w:sz w:val="20"/>
          <w:szCs w:val="20"/>
          <w:color w:val="auto"/>
        </w:rPr>
        <w:t>Our management will have broad discretion in the application of our cash resources, and you will not have the opportunity as part of your investment decision to assess whether such resources are being used appropriately. Because of the number and variability of factors that will determine our use of our cash resources, their ultimate use may vary substantially from their currently intended use. Our management might not apply our cash resources in ways that ultimately increase or maintain the value of your investment. Pending their use, we may invest our cash resources in short-term, investment-grade, interest-bearing securities. These investments may not yield a favorable return to our shareholders.</w:t>
      </w:r>
    </w:p>
    <w:p>
      <w:pPr>
        <w:spacing w:after="0" w:line="319"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do not intend to pay dividends on our ordinary shares, so any returns will be limited to the value of our ordinary shares or ADSs.</w:t>
      </w:r>
    </w:p>
    <w:p>
      <w:pPr>
        <w:spacing w:after="0" w:line="57"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We currently anticipate that we will retain future earnings for the development, operation, and expansion of our business and do not anticipate declaring or paying any cash dividends for the foreseeable future. In addition, we may enter into agreements that prohibit us from paying cash dividends without prior written consent from our contracting parties, or which other terms prohibiting or limiting the amount of dividends that may be declared or paid on our ADS. Furthermore, under the Companies Act, a company’s accumulated realized profits, so far as not previously utilized by distribution or</w:t>
      </w:r>
    </w:p>
    <w:p>
      <w:pPr>
        <w:sectPr>
          <w:pgSz w:w="12240" w:h="15840" w:orient="portrait"/>
          <w:cols w:equalWidth="0" w:num="1">
            <w:col w:w="9900"/>
          </w:cols>
          <w:pgMar w:left="1180" w:top="208" w:right="1160" w:bottom="0" w:gutter="0" w:footer="0" w:header="0"/>
        </w:sectPr>
      </w:pPr>
    </w:p>
    <w:p>
      <w:pPr>
        <w:spacing w:after="0" w:line="200" w:lineRule="exact"/>
        <w:rPr>
          <w:sz w:val="20"/>
          <w:szCs w:val="20"/>
          <w:color w:val="auto"/>
        </w:rPr>
      </w:pPr>
    </w:p>
    <w:p>
      <w:pPr>
        <w:spacing w:after="0" w:line="3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97</w:t>
      </w:r>
    </w:p>
    <w:p>
      <w:pPr>
        <w:sectPr>
          <w:pgSz w:w="12240" w:h="15840" w:orient="portrait"/>
          <w:cols w:equalWidth="0" w:num="1">
            <w:col w:w="9900"/>
          </w:cols>
          <w:pgMar w:left="1180" w:top="208" w:right="1160" w:bottom="0" w:gutter="0" w:footer="0" w:header="0"/>
          <w:type w:val="continuous"/>
        </w:sectPr>
      </w:pPr>
    </w:p>
    <w:bookmarkStart w:id="97" w:name="page98"/>
    <w:bookmarkEnd w:id="97"/>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400"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capitalization, must exceed its accumulated realized losses so far as not previously written off in a reduction or reorganization of capital duly made (on a non-consolidated basis), before dividends can be paid. In the future, were our dividend policy to change, a dividend or distribution may still be restricted from being declared and paid. In addition, under the Companies Act, a public company may only effect a buyback of shares out of distributable profits or a fresh issue of shares and cannot do so out of capital. For these reasons, any return to shareholders may therefore be limited to the appreciation of their shares, which may never occur.</w:t>
      </w:r>
    </w:p>
    <w:p>
      <w:pPr>
        <w:spacing w:after="0" w:line="319"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As a public company, we may be at an increased risk of securities class action litigation, which is expensive and could divert management attention.</w:t>
      </w:r>
    </w:p>
    <w:p>
      <w:pPr>
        <w:spacing w:after="0" w:line="57" w:lineRule="exact"/>
        <w:rPr>
          <w:sz w:val="20"/>
          <w:szCs w:val="20"/>
          <w:color w:val="auto"/>
        </w:rPr>
      </w:pPr>
    </w:p>
    <w:p>
      <w:pPr>
        <w:jc w:val="both"/>
        <w:ind w:right="20" w:firstLine="720"/>
        <w:spacing w:after="0" w:line="256" w:lineRule="auto"/>
        <w:rPr>
          <w:sz w:val="20"/>
          <w:szCs w:val="20"/>
          <w:color w:val="auto"/>
        </w:rPr>
      </w:pPr>
      <w:r>
        <w:rPr>
          <w:rFonts w:ascii="Times New Roman" w:cs="Times New Roman" w:eastAsia="Times New Roman" w:hAnsi="Times New Roman"/>
          <w:sz w:val="20"/>
          <w:szCs w:val="20"/>
          <w:color w:val="auto"/>
        </w:rPr>
        <w:t>The market price of our securities may be volatile and, in the past, companies that have experienced volatility in the market price of their stock have been subject to securities class action litigation. Historically, securities class action litigation has often been brought against a company following a decline in the market price of its securities. This risk is especially relevant for us because biotechnology and pharmaceutical companies have experienced significant share price volatility in recent years. If we were to be sued, it could result in substantial costs and a diversion of management’s attention and resources, which could harm our business.</w:t>
      </w:r>
    </w:p>
    <w:p>
      <w:pPr>
        <w:spacing w:after="0" w:line="319"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incur significant increased costs as a result of operating as a public company, and our management is required to devote substantial time to compliance initiatives.</w:t>
      </w:r>
    </w:p>
    <w:p>
      <w:pPr>
        <w:spacing w:after="0" w:line="57" w:lineRule="exact"/>
        <w:rPr>
          <w:sz w:val="20"/>
          <w:szCs w:val="20"/>
          <w:color w:val="auto"/>
        </w:rPr>
      </w:pPr>
    </w:p>
    <w:p>
      <w:pPr>
        <w:jc w:val="both"/>
        <w:ind w:right="20" w:firstLine="720"/>
        <w:spacing w:after="0" w:line="266" w:lineRule="auto"/>
        <w:rPr>
          <w:sz w:val="20"/>
          <w:szCs w:val="20"/>
          <w:color w:val="auto"/>
        </w:rPr>
      </w:pPr>
      <w:r>
        <w:rPr>
          <w:rFonts w:ascii="Times New Roman" w:cs="Times New Roman" w:eastAsia="Times New Roman" w:hAnsi="Times New Roman"/>
          <w:sz w:val="19"/>
          <w:szCs w:val="19"/>
          <w:color w:val="auto"/>
        </w:rPr>
        <w:t>As a public company, we incur significant legal, accounting, and other expenses that we had not historically incurred as a private company. We are subject to the reporting requirements of the Securities Exchange Act of 1934, as amended, or the Exchange Act, which will require, among other things, that we file with the Securities and Exchange Commission (“SEC”), annual, quarterly, and current reports with respect to our business and financial condition. In addition, the Sarbanes-Oxley Act, as well as rules subsequently adopted by the SEC and The Nasdaq Global Select Market to implement provisions of the Sarbanes-Oxley Act, impose significant requirements on public companies, including requiring establishment and maintenance of effective disclosure and financial controls and changes in corporate governance practices. Further, in July 2010, the Dodd-Frank Wall Street Reform and Consumer Protection Act (the “Dodd-Frank Act”), was enacted. There are significant corporate governance and executive compensation related provisions in the Dodd-Frank Act that require the SEC to adopt additional rules and regulations in these areas, such as “say on pay” and proxy access. Emerging growth companies are permitted to implement many of these requirements over a longer period and up to five years from the pricing of our initial public offering. We have taken advantage of this; however, as of January 1, 2026, we ceased to be a “smaller reporting company” as defined in the Exchange Act. For the first fiscal quarter of 2026, we will no longer be permitted to take advantage of scaled disclosure requirements for SRCs. We will retain our non-accelerated filer status for our filings due in the fiscal year 2026. We anticipate that we will have to comply with the auditor attestation requirements of Section 404(b) of the Sarbanes-Oxley Act for the year ended December 31, 2026, and our independent registered public accounting firm will have to evaluate and report on the effectiveness of internal control over financial reporting. We will be required to implement these additional requirements, which could result in us incurring additional expenses. Shareholder activism, the current political environment, and government intervention and regulatory reform may lead to substantial new regulations and disclosure obligations, which may lead to additional compliance costs and impact the manner in which we operate our business in ways we cannot currently anticipate.</w:t>
      </w:r>
    </w:p>
    <w:p>
      <w:pPr>
        <w:spacing w:after="0" w:line="200" w:lineRule="exact"/>
        <w:rPr>
          <w:sz w:val="20"/>
          <w:szCs w:val="20"/>
          <w:color w:val="auto"/>
        </w:rPr>
      </w:pPr>
    </w:p>
    <w:p>
      <w:pPr>
        <w:spacing w:after="0" w:line="237" w:lineRule="exact"/>
        <w:rPr>
          <w:sz w:val="20"/>
          <w:szCs w:val="20"/>
          <w:color w:val="auto"/>
        </w:rPr>
      </w:pPr>
    </w:p>
    <w:p>
      <w:pPr>
        <w:jc w:val="both"/>
        <w:ind w:firstLine="720"/>
        <w:spacing w:after="0" w:line="262" w:lineRule="auto"/>
        <w:rPr>
          <w:sz w:val="20"/>
          <w:szCs w:val="20"/>
          <w:color w:val="auto"/>
        </w:rPr>
      </w:pPr>
      <w:r>
        <w:rPr>
          <w:rFonts w:ascii="Times New Roman" w:cs="Times New Roman" w:eastAsia="Times New Roman" w:hAnsi="Times New Roman"/>
          <w:sz w:val="20"/>
          <w:szCs w:val="20"/>
          <w:color w:val="auto"/>
        </w:rPr>
        <w:t>The rules and regulations applicable to public companies result in substantial legal and financial compliance costs and make some activities more time-consuming and costly than would otherwise be the case. As a result of the increased disclosure and compliance obligations we will become subject to as of December 31, 2026, including the requirement to obtain an auditor attestation of our internal control over financial reporting pursuant to Section 404(b) of the Sarbanes-Oxley Act of 2002, we will incur additional expenses in connection with compliance with these regulations and our management will need to devote additional time and effort to implement and comply with such requirements. If these requirements divert the attention of our management and personnel from other business concerns, they could have a material adverse effect on our business, financial condition, and results of operations. The increased costs will decrease our net income or increase our net loss and may require us to reduce costs in other areas of our business or increase the prices of our products or services.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spacing w:after="0" w:line="194"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have in the past and may in the future identify material weaknesses in our internal control systems over financial reporting that may cause us to fail to meet our reporting obligations, result in material misstatements in our financial</w:t>
      </w:r>
    </w:p>
    <w:p>
      <w:pPr>
        <w:sectPr>
          <w:pgSz w:w="12240" w:h="15840" w:orient="portrait"/>
          <w:cols w:equalWidth="0" w:num="1">
            <w:col w:w="9900"/>
          </w:cols>
          <w:pgMar w:left="1180" w:top="20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98</w:t>
      </w:r>
    </w:p>
    <w:p>
      <w:pPr>
        <w:sectPr>
          <w:pgSz w:w="12240" w:h="15840" w:orient="portrait"/>
          <w:cols w:equalWidth="0" w:num="1">
            <w:col w:w="9900"/>
          </w:cols>
          <w:pgMar w:left="1180" w:top="208" w:right="1160" w:bottom="0" w:gutter="0" w:footer="0" w:header="0"/>
          <w:type w:val="continuous"/>
        </w:sectPr>
      </w:pPr>
    </w:p>
    <w:bookmarkStart w:id="98" w:name="page99"/>
    <w:bookmarkEnd w:id="98"/>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91"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statements or fail to prevent fraud. We will need to continue to invest time and resources in the design, implementation and maintenance of internal controls.</w:t>
      </w:r>
    </w:p>
    <w:p>
      <w:pPr>
        <w:spacing w:after="0" w:line="57" w:lineRule="exact"/>
        <w:rPr>
          <w:sz w:val="20"/>
          <w:szCs w:val="20"/>
          <w:color w:val="auto"/>
        </w:rPr>
      </w:pPr>
    </w:p>
    <w:p>
      <w:pPr>
        <w:jc w:val="both"/>
        <w:ind w:right="20" w:firstLine="720"/>
        <w:spacing w:after="0" w:line="255" w:lineRule="auto"/>
        <w:rPr>
          <w:sz w:val="20"/>
          <w:szCs w:val="20"/>
          <w:color w:val="auto"/>
        </w:rPr>
      </w:pPr>
      <w:r>
        <w:rPr>
          <w:rFonts w:ascii="Times New Roman" w:cs="Times New Roman" w:eastAsia="Times New Roman" w:hAnsi="Times New Roman"/>
          <w:sz w:val="20"/>
          <w:szCs w:val="20"/>
          <w:color w:val="auto"/>
        </w:rPr>
        <w:t>Our management is responsible for establishing and maintaining internal control over financial reporting, disclosure controls, and compliance with the other requirements of the Sarbanes-Oxley Act and the rules promulgated by the SEC thereunder. Internal control over financial reporting is a process designed to provide reasonable assurance regarding the reliability of financial reporting and the preparation of financial statements in accordance with international financial reporting standards. A material weakness is a deficiency, or combination of deficiencies, in internal control over financial reporting, such that there is a reasonable possibility that a material misstatement of the financial statements will not be prevented or detected on a timely basis.</w:t>
      </w:r>
    </w:p>
    <w:p>
      <w:pPr>
        <w:spacing w:after="0" w:line="210" w:lineRule="exact"/>
        <w:rPr>
          <w:sz w:val="20"/>
          <w:szCs w:val="20"/>
          <w:color w:val="auto"/>
        </w:rPr>
      </w:pPr>
    </w:p>
    <w:p>
      <w:pPr>
        <w:jc w:val="both"/>
        <w:ind w:right="20" w:firstLine="720"/>
        <w:spacing w:after="0" w:line="256" w:lineRule="auto"/>
        <w:rPr>
          <w:sz w:val="20"/>
          <w:szCs w:val="20"/>
          <w:color w:val="auto"/>
        </w:rPr>
      </w:pPr>
      <w:r>
        <w:rPr>
          <w:rFonts w:ascii="Times New Roman" w:cs="Times New Roman" w:eastAsia="Times New Roman" w:hAnsi="Times New Roman"/>
          <w:sz w:val="20"/>
          <w:szCs w:val="20"/>
          <w:color w:val="auto"/>
        </w:rPr>
        <w:t>We have previously identified material weaknesses in our internal control systems, which have since been remedied by management. However, management must continually evaluate the internal control environment and make enhancements to people, processes and systems which will require the investment of significant resources. There is no guarantee that new or additional material weaknesses will not be identified in the future. If material weaknesses arise in the future, our financial statements could contain material misstatements that, when discovered in the future, could cause us to fail to meet our future reporting obligations and cause the price of our ADSs to decline.</w:t>
      </w:r>
    </w:p>
    <w:p>
      <w:pPr>
        <w:spacing w:after="0" w:line="319"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If we fail to maintain an effective system of disclosure controls and internal control over financial reporting, our ability to produce timely and accurate financial statements or comply with applicable regulations could be impaired.</w:t>
      </w:r>
    </w:p>
    <w:p>
      <w:pPr>
        <w:spacing w:after="0" w:line="57"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of the Sarbanes-Oxley Act,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Inferior internal controls could also cause investors to lose confidence in our reported financial information, which could have a negative effect on the trading price of our stock.</w:t>
      </w:r>
    </w:p>
    <w:p>
      <w:pPr>
        <w:spacing w:after="0" w:line="209" w:lineRule="exact"/>
        <w:rPr>
          <w:sz w:val="20"/>
          <w:szCs w:val="20"/>
          <w:color w:val="auto"/>
        </w:rPr>
      </w:pPr>
    </w:p>
    <w:p>
      <w:pPr>
        <w:jc w:val="both"/>
        <w:ind w:right="20" w:firstLine="720"/>
        <w:spacing w:after="0" w:line="258" w:lineRule="auto"/>
        <w:rPr>
          <w:sz w:val="20"/>
          <w:szCs w:val="20"/>
          <w:color w:val="auto"/>
        </w:rPr>
      </w:pPr>
      <w:r>
        <w:rPr>
          <w:rFonts w:ascii="Times New Roman" w:cs="Times New Roman" w:eastAsia="Times New Roman" w:hAnsi="Times New Roman"/>
          <w:sz w:val="20"/>
          <w:szCs w:val="20"/>
          <w:color w:val="auto"/>
        </w:rPr>
        <w:t>We are required to disclose changes made in our internal controls and procedures on a quarterly basis and our management is required to assess the effectiveness of these controls annually. An independent assessment of the effectiveness of our internal controls over financial reporting could detect problems that our management’s assessment might not. Undetected material weaknesses in our internal controls over financial reporting could lead to restatements of our financial statements and require us to incur the expense of remediation.</w:t>
      </w:r>
    </w:p>
    <w:p>
      <w:pPr>
        <w:spacing w:after="0" w:line="204"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As a public company, we are required to develop and maintain internal control over financial reporting and to report any material weaknesses in such internal controls. The Sarbanes-Oxley Act requires that we evaluate and determine the effectiveness of our internal control over financial reporting and provide a management report on internal control over financial reporting. In addition, once we are no longer an emerging growth company, we will be required to include an attestation report on internal control over financial reporting issued by our independent registered public accounting firm.</w:t>
      </w:r>
    </w:p>
    <w:p>
      <w:pPr>
        <w:spacing w:after="0" w:line="204" w:lineRule="exact"/>
        <w:rPr>
          <w:sz w:val="20"/>
          <w:szCs w:val="20"/>
          <w:color w:val="auto"/>
        </w:rPr>
      </w:pPr>
    </w:p>
    <w:p>
      <w:pPr>
        <w:jc w:val="both"/>
        <w:ind w:right="20" w:firstLine="720"/>
        <w:spacing w:after="0" w:line="252" w:lineRule="auto"/>
        <w:rPr>
          <w:sz w:val="20"/>
          <w:szCs w:val="20"/>
          <w:color w:val="auto"/>
        </w:rPr>
      </w:pPr>
      <w:r>
        <w:rPr>
          <w:rFonts w:ascii="Times New Roman" w:cs="Times New Roman" w:eastAsia="Times New Roman" w:hAnsi="Times New Roman"/>
          <w:sz w:val="20"/>
          <w:szCs w:val="20"/>
          <w:color w:val="auto"/>
        </w:rPr>
        <w:t>Any failure to develop or maintain effective controls, or any difficulties encountered in their implementation or improvement, could harm our results of operations, cause us to fail to meet our reporting obligations, result in a restatement of our financial statements for prior periods, or adversely affect the results of management evaluations and independent registered public accounting firm audits of our internal control over financial reporting that we will eventually be required to include in our periodic reports that will be filed with the SEC. In addition, to the extent we acquire or establish additional consolidated subsidiaries, the financial statements of such entities may not be initially prepared by us, and we will not have direct control over their financial statement preparation. As a result, we will, for our financial reporting, depend on what these entities report to us, which could result in our adding monitoring and audit processes, and increase the difficulty of implementing and maintaining adequate controls over our financial processes and reporting in the future, which could lead to delays in our external reporting. In particular, this may occur where we are establishing such entities with partners that do not have sophisticated financial accounting processes in place, or where we are entering into new relationships at a rapid pace, straining our integration capacity. Additionally, if we do not receive the information from the consolidated subsidiaries on a timely basis, it could cause delays in our external reporting. Ineffective disclosure controls and procedures and internal controls over financial reporting could also cause investors to lose confidence in our reported financial and other information, which would likely have a negative effect on the trading price of our ADSs.</w:t>
      </w:r>
    </w:p>
    <w:p>
      <w:pPr>
        <w:sectPr>
          <w:pgSz w:w="12240" w:h="15840" w:orient="portrait"/>
          <w:cols w:equalWidth="0" w:num="1">
            <w:col w:w="9900"/>
          </w:cols>
          <w:pgMar w:left="1180" w:top="20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99</w:t>
      </w:r>
    </w:p>
    <w:p>
      <w:pPr>
        <w:sectPr>
          <w:pgSz w:w="12240" w:h="15840" w:orient="portrait"/>
          <w:cols w:equalWidth="0" w:num="1">
            <w:col w:w="9900"/>
          </w:cols>
          <w:pgMar w:left="1180" w:top="208" w:right="1160" w:bottom="0" w:gutter="0" w:footer="0" w:header="0"/>
          <w:type w:val="continuous"/>
        </w:sectPr>
      </w:pPr>
    </w:p>
    <w:bookmarkStart w:id="99" w:name="page100"/>
    <w:bookmarkEnd w:id="99"/>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disclosure controls and procedures may not prevent or detect all errors or acts of fraud.</w:t>
      </w:r>
    </w:p>
    <w:p>
      <w:pPr>
        <w:spacing w:after="0" w:line="139"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Our disclosure controls and procedures are designed to reasonably assure that information required to be disclosed by us in reports we file or submit under the Exchange Act is accumulated and communicated to management, recorded, processed, summarized and reported within the time periods specified in the rules and forms of the SEC. We believe that any disclosure controls and procedures or internal controls and procedures, no matter how well 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or insufficient disclosures due to error or fraud may occur and not be detected.</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Holders of ADSs are not treated as holders of our ordinary shares.</w:t>
      </w:r>
    </w:p>
    <w:p>
      <w:pPr>
        <w:spacing w:after="0" w:line="139" w:lineRule="exact"/>
        <w:rPr>
          <w:sz w:val="20"/>
          <w:szCs w:val="20"/>
          <w:color w:val="auto"/>
        </w:rPr>
      </w:pPr>
    </w:p>
    <w:p>
      <w:pPr>
        <w:jc w:val="both"/>
        <w:ind w:right="20" w:firstLine="720"/>
        <w:spacing w:after="0" w:line="258" w:lineRule="auto"/>
        <w:rPr>
          <w:sz w:val="20"/>
          <w:szCs w:val="20"/>
          <w:color w:val="auto"/>
        </w:rPr>
      </w:pPr>
      <w:r>
        <w:rPr>
          <w:rFonts w:ascii="Times New Roman" w:cs="Times New Roman" w:eastAsia="Times New Roman" w:hAnsi="Times New Roman"/>
          <w:sz w:val="20"/>
          <w:szCs w:val="20"/>
          <w:color w:val="auto"/>
        </w:rPr>
        <w:t>By investing in our company, you are a holder of ADSs with underlying ordinary shares in a company incorporated under English law. Holders of ADSs are not treated as holders of our ordinary shares, unless they withdraw the ordinary shares underlying their ADSs in accordance with the deposit agreement and applicable laws and regulations. The depositary is the holder of the ordinary shares underlying the ADSs. Holders of ADSs therefore do not have any rights as holders of our ordinary shares, other than the rights that they have pursuant to the deposit agreement.</w:t>
      </w:r>
    </w:p>
    <w:p>
      <w:pPr>
        <w:spacing w:after="0" w:line="315"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Holders of ADSs may be subject to limitations on the transfer of their ADSs and the withdrawal of the underlying ordinary shares.</w:t>
      </w:r>
    </w:p>
    <w:p>
      <w:pPr>
        <w:spacing w:after="0" w:line="57" w:lineRule="exact"/>
        <w:rPr>
          <w:sz w:val="20"/>
          <w:szCs w:val="20"/>
          <w:color w:val="auto"/>
        </w:rPr>
      </w:pPr>
    </w:p>
    <w:p>
      <w:pPr>
        <w:jc w:val="both"/>
        <w:ind w:right="20" w:firstLine="720"/>
        <w:spacing w:after="0" w:line="253" w:lineRule="auto"/>
        <w:rPr>
          <w:sz w:val="20"/>
          <w:szCs w:val="20"/>
          <w:color w:val="auto"/>
        </w:rPr>
      </w:pPr>
      <w:r>
        <w:rPr>
          <w:rFonts w:ascii="Times New Roman" w:cs="Times New Roman" w:eastAsia="Times New Roman" w:hAnsi="Times New Roman"/>
          <w:sz w:val="20"/>
          <w:szCs w:val="20"/>
          <w:color w:val="auto"/>
        </w:rPr>
        <w:t>ADSs are transferable on the books of the depositary. However, the depositary may close its books at any time or from time to time when it deems expedient in connection with the performance of its duties. The depositary may refuse to deliver, transfer or register transfers of ADSs generally when our books or the books of the depositary are closed, or at any time if we or the depositary think it is advisable to do so because of any requirement of law, government or governmental body, or under any provision of the deposit agreement, or for any other reason, subject to the right of ADS holders to cancel their ADSs and withdraw the underlying ordinary shares. Temporary delays in the cancellation of your ADSs and withdrawal of the underlying ordinary shares may arise because the depositary has closed its transfer books or we have closed our transfer books, the transfer of ordinary shares is blocked to permit voting at a shareholders’ meeting or we are paying a dividend on our ordinary shares. In addition, ADS holders may not be able to cancel their ADSs and withdraw the underlying ordinary shares when they owe money for fees, taxes and similar charges and when it is necessary to prohibit withdrawals in order to comply with any laws or governmental regulations that apply to ADSs or to the withdrawal of ordinary shares or other deposited securities.</w:t>
      </w:r>
    </w:p>
    <w:p>
      <w:pPr>
        <w:spacing w:after="0" w:line="322"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are entitled to amend the deposit agreement and to change the rights of ADS holders under the terms of such agreement, or to terminate the deposit agreement, without the prior consent of the ADS holders.</w:t>
      </w:r>
    </w:p>
    <w:p>
      <w:pPr>
        <w:spacing w:after="0" w:line="57"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We are entitled to amend the deposit agreement and to change the rights of the ADS holders under the terms of such agreement, without the prior consent of the ADS holders. We and the depositary may agree to amend the deposit agreement in any way we decide is necessary or advantageous to us or to the depositary. Amendments may reflect, among other things, operational changes in the ADS program, legal developments affecting ADSs or changes in the terms of our business relationship with the depositary. In the event that the terms of an amendment are materially disadvantageous to ADS holders, ADS holders will only receive 30 days’ advance notice of the amendment, and no prior consent of the ADS holders is required under the deposit agreement. Furthermore, we may decide to direct the depositary to terminate the ADS facility at any time for any reason. For example, terminations may occur when we decide to list our ordinary shares on a non-U.S. securities exchange and determine not to continue to sponsor an ADS facility or when we become the subject of a takeover or a going-private transaction. If the ADS facility will terminate, ADS holders will receive at least 30 days’ prior notice, but no prior consent is required from them. Under the circumstances that we decide to make an amendment to the deposit agreement that is disadvantageous to ADS holders or terminate the deposit agreement, the ADS holders may choose to sell their ADSs or surrender their ADSs and become direct holders of the underlying ordinary shares, but will have no right to any compensation whatsoever.</w:t>
      </w:r>
    </w:p>
    <w:p>
      <w:pPr>
        <w:sectPr>
          <w:pgSz w:w="12240" w:h="15840" w:orient="portrait"/>
          <w:cols w:equalWidth="0" w:num="1">
            <w:col w:w="9900"/>
          </w:cols>
          <w:pgMar w:left="1180" w:top="20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100</w:t>
      </w:r>
    </w:p>
    <w:p>
      <w:pPr>
        <w:sectPr>
          <w:pgSz w:w="12240" w:h="15840" w:orient="portrait"/>
          <w:cols w:equalWidth="0" w:num="1">
            <w:col w:w="9900"/>
          </w:cols>
          <w:pgMar w:left="1180" w:top="208" w:right="1160" w:bottom="0" w:gutter="0" w:footer="0" w:header="0"/>
          <w:type w:val="continuous"/>
        </w:sectPr>
      </w:pPr>
    </w:p>
    <w:bookmarkStart w:id="100" w:name="page101"/>
    <w:bookmarkEnd w:id="100"/>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91"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ADS holders may not be entitled to a jury trial with respect to claims arising under the deposit agreement, which could result in less favorable outcomes to the plaintiff(s) in any such action.</w:t>
      </w:r>
    </w:p>
    <w:p>
      <w:pPr>
        <w:spacing w:after="0" w:line="57" w:lineRule="exact"/>
        <w:rPr>
          <w:sz w:val="20"/>
          <w:szCs w:val="20"/>
          <w:color w:val="auto"/>
        </w:rPr>
      </w:pPr>
    </w:p>
    <w:p>
      <w:pPr>
        <w:jc w:val="both"/>
        <w:ind w:firstLine="720"/>
        <w:spacing w:after="0" w:line="266" w:lineRule="auto"/>
        <w:rPr>
          <w:sz w:val="20"/>
          <w:szCs w:val="20"/>
          <w:color w:val="auto"/>
        </w:rPr>
      </w:pPr>
      <w:r>
        <w:rPr>
          <w:rFonts w:ascii="Times New Roman" w:cs="Times New Roman" w:eastAsia="Times New Roman" w:hAnsi="Times New Roman"/>
          <w:sz w:val="20"/>
          <w:szCs w:val="20"/>
          <w:color w:val="auto"/>
        </w:rPr>
        <w:t>The deposit agreement governing the ADSs representing our ordinary shares provides that, to the fullest extent permitted by law, holders and beneficial owners of ADSs irrevocably waive the right to a jury trial of any claim they may have against us or the depositary arising out of or relating to the ADSs or the deposit agreement.</w:t>
      </w:r>
    </w:p>
    <w:p>
      <w:pPr>
        <w:spacing w:after="0" w:line="195" w:lineRule="exact"/>
        <w:rPr>
          <w:sz w:val="20"/>
          <w:szCs w:val="20"/>
          <w:color w:val="auto"/>
        </w:rPr>
      </w:pPr>
    </w:p>
    <w:p>
      <w:pPr>
        <w:jc w:val="both"/>
        <w:ind w:firstLine="720"/>
        <w:spacing w:after="0" w:line="253" w:lineRule="auto"/>
        <w:rPr>
          <w:sz w:val="20"/>
          <w:szCs w:val="20"/>
          <w:color w:val="auto"/>
        </w:rPr>
      </w:pPr>
      <w:r>
        <w:rPr>
          <w:rFonts w:ascii="Times New Roman" w:cs="Times New Roman" w:eastAsia="Times New Roman" w:hAnsi="Times New Roman"/>
          <w:sz w:val="20"/>
          <w:szCs w:val="20"/>
          <w:color w:val="auto"/>
        </w:rPr>
        <w:t>If this jury trial waiver provision is not permitted by applicable law, an action could proceed under the terms of the deposit agreement with a jury trial. If we or the depositary opposed a jury trial demand based on the waiver, the court would determine whether the waiver was enforceable based on the facts and circumstances of that case in accordance with the applicable state and federal law. To our knowledge, the enforceability of a contractual pre-dispute jury trial waiver in connection with claims arising under the federal securities laws has not been finally adjudicated by the United States Supreme Court. However, we believe that a contractual pre-dispute jury trial waiver provision is generally enforceable, including under the laws of the State of New York, which govern the deposit agreement, by a federal or state court in the City of New York, which has non-exclusive jurisdiction over matters arising under the deposit agreement. In determining whether to enforce a contractual pre-dispute jury trial waiver provision, courts will generally consider whether a party knowingly, intelligently and voluntarily waived the right to a jury trial. We believe that this is the case with respect to the deposit agreement and the ADSs. It is advisable that you consult legal counsel regarding the jury waiver provision before entering into the deposit agreement.</w:t>
      </w:r>
    </w:p>
    <w:p>
      <w:pPr>
        <w:spacing w:after="0" w:line="211"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If ADS holders or beneficial owners of ADSs bring a claim against us or the depositary in connection with matters arising under the deposit agreement or the ADSs, including claims under federal securities laws, the ADS holder or beneficial owner may not be entitled to a jury trial with respect to such claims, which may have the effect of limiting and discouraging lawsuits against us and/or the depositary. If a lawsuit is brought against us and/or the depositary under the deposit agreement, it may be heard only by a judge or justice of the applicable trial court, which would be conducted according to different civil procedures and may result in different outcomes than a trial by jury would have had, including results that could be less favorable to the plaintiff(s) in any such action, depending on, among other things, the nature of the claims, the judge or justice hearing such claims, and the venue of the hearing.</w:t>
      </w:r>
    </w:p>
    <w:p>
      <w:pPr>
        <w:spacing w:after="0" w:line="213" w:lineRule="exact"/>
        <w:rPr>
          <w:sz w:val="20"/>
          <w:szCs w:val="20"/>
          <w:color w:val="auto"/>
        </w:rPr>
      </w:pPr>
    </w:p>
    <w:p>
      <w:pPr>
        <w:jc w:val="both"/>
        <w:ind w:firstLine="720"/>
        <w:spacing w:after="0" w:line="266" w:lineRule="auto"/>
        <w:rPr>
          <w:sz w:val="20"/>
          <w:szCs w:val="20"/>
          <w:color w:val="auto"/>
        </w:rPr>
      </w:pPr>
      <w:r>
        <w:rPr>
          <w:rFonts w:ascii="Times New Roman" w:cs="Times New Roman" w:eastAsia="Times New Roman" w:hAnsi="Times New Roman"/>
          <w:sz w:val="20"/>
          <w:szCs w:val="20"/>
          <w:color w:val="auto"/>
        </w:rPr>
        <w:t>No condition, stipulation or provision of the deposit agreement or ADSs serves as a waiver by any holder or beneficial owner of ADSs or by us or the depositary of compliance with the U.S. federal securities laws and the rules and regulations promulgated thereunder.</w:t>
      </w:r>
    </w:p>
    <w:p>
      <w:pPr>
        <w:spacing w:after="0" w:line="195"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Moreover, as the jury trial waiver relates to claims arising out of or relating to the ADSs or the deposit agreement, we believe that, as a matter of construction of the clause, the waiver would likely continue to apply to ADS holders who withdraw the ordinary shares from the ADS facility with respect to claims arising before the cancellation of the ADSs and the withdrawal of the ordinary shares, and the waiver would most likely not apply to ADS holders who subsequently withdraw the ordinary shares represented by ADSs from the ADS facility with respect to claims arising after the withdrawal. However, to our knowledge, there has been no case law on the applicability of the jury trial waiver to ADS holders who withdraw the ordinary shares represented by the ADSs from the ADS facility.</w:t>
      </w:r>
    </w:p>
    <w:p>
      <w:pPr>
        <w:spacing w:after="0" w:line="320"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ADS holders will not have the same voting rights as the holders of our ordinary shares and may not receive voting materials in time to be able to exercise their right to vote.</w:t>
      </w:r>
    </w:p>
    <w:p>
      <w:pPr>
        <w:spacing w:after="0" w:line="57"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Except as described in the deposit agreement, holders of the ADSs will not be able to exercise voting rights attaching to the ordinary shares represented by the ADSs. Under the terms of the deposit agreement, holders of the ADSs may instruct the depositary to vote the ordinary shares underlying their ADSs. Otherwise, holders of ADSs will not be able to exercise their right to vote unless they withdraw the ordinary shares underlying their ADSs to vote them in person or by proxy in accordance with applicable laws and regulations and our articles of association. Even so, ADS holders may not know about a meeting far enough in advance to withdraw those ordinary shares. If we ask for the instructions of holders of the ADSs, the depositary, upon timely notice from us, will notify ADS holders of the upcoming vote and arrange to deliver our voting materials to them. Upon our request, the depositary will mail to holders a shareholder meeting notice that contains, among other things, a statement as to the manner in which voting instructions may be given. We cannot guarantee that ADS holders will receive the voting materials in time to ensure that they can instruct the depositary to vote the ordinary shares underlying their ADSs. A shareholder is only entitled to participate in, and vote at, the meeting of shareholders, provided that it holds our ordinary shares as of the record date set for such meeting and otherwise complies with our articles of association. In addition, the depositary’s liability to ADS holders for failing to execute voting instructions or for the manner of executing voting instructions is limited by the deposit agreement. As a result, holders of ADSs may not be able to exercise their right to give voting instructions or to vote in person or by proxy and they may not</w:t>
      </w:r>
    </w:p>
    <w:p>
      <w:pPr>
        <w:sectPr>
          <w:pgSz w:w="12240" w:h="15840" w:orient="portrait"/>
          <w:cols w:equalWidth="0" w:num="1">
            <w:col w:w="9880"/>
          </w:cols>
          <w:pgMar w:left="1180" w:top="208" w:right="1180" w:bottom="0" w:gutter="0" w:footer="0" w:header="0"/>
        </w:sect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101</w:t>
      </w:r>
    </w:p>
    <w:p>
      <w:pPr>
        <w:sectPr>
          <w:pgSz w:w="12240" w:h="15840" w:orient="portrait"/>
          <w:cols w:equalWidth="0" w:num="1">
            <w:col w:w="9880"/>
          </w:cols>
          <w:pgMar w:left="1180" w:top="208" w:right="1180" w:bottom="0" w:gutter="0" w:footer="0" w:header="0"/>
          <w:type w:val="continuous"/>
        </w:sectPr>
      </w:pPr>
    </w:p>
    <w:bookmarkStart w:id="101" w:name="page102"/>
    <w:bookmarkEnd w:id="101"/>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400"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have any recourse against the depositary or us if their ordinary shares are not voted as they have requested or if their shares cannot be voted.</w:t>
      </w:r>
    </w:p>
    <w:p>
      <w:pPr>
        <w:spacing w:after="0" w:line="292"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ADS holders may not receive distributions on our ordinary shares represented by the ADSs or any value for them if it is illegal or impractical to make them available to holders of ADSs.</w:t>
      </w:r>
    </w:p>
    <w:p>
      <w:pPr>
        <w:spacing w:after="0" w:line="57"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The depositary for the ADSs has agreed to pay to you the cash dividends or other distributions it or the custodian receives on our ordinary shares or other deposited securities after deducting its fees and expenses. You will receive these distributions in proportion to the number of our ordinary shares your ADSs represent. However, in accordance with the limitations set forth in the deposit agreement, it may be unlawful or impractical to make a distribution available to holders of ADSs. We have no obligation to take any other action to permit distribution on the ADSs, ordinary shares, rights or anything else to holders of the ADSs. This means that ADS holders may not receive the distributions we make on our ordinary shares or any value from them if it is unlawful or impractical to make them available. These restrictions may have an adverse effect on the value of your ADSs.</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Claims of U.S. civil liabilities may not be enforceable against us.</w:t>
      </w:r>
    </w:p>
    <w:p>
      <w:pPr>
        <w:spacing w:after="0" w:line="139"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We are incorporated under English law and have our registered office in England. Certain members of our board of directors and senior management are non-residents of the United States, and all or a substantial portion of our assets and the assets of such persons are located outside the United States. As a result, it may not be possible to serve process on such persons or us in the United States or to enforce judgments obtained in U.S. courts against them or us based on civil liability provisions of the securities laws of the United States.</w:t>
      </w:r>
    </w:p>
    <w:p>
      <w:pPr>
        <w:spacing w:after="0" w:line="204"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The United States and England and Wales do not currently have a treaty providing for recognition and enforcement of judgments (other than arbitration awards) in civil and commercial matters. Consequently, a final judgment for payment given by a court in the United States, whether or not predicated solely upon U.S. securities laws, would not automatically be recognized or enforceable in England and Wales. In addition, uncertainty exists as to whether the courts of England and Wales would entertain original actions brought in England and Wales against us or our directors or senior management predicated upon the securities laws of the United States or any state in the United States. Any final and conclusive monetary judgment for a definite sum obtained against us in U.S. courts would be treated by the courts of England and Wales as a cause of action in itself and sued upon as a debt at common law so that no retrial of the issues would be necessary, provided that certain requirements are met. Whether these requirements are met in respect of a judgment based upon the civil liability provisions of the U.S. securities laws, including whether the award of monetary damages under such laws would constitute a penalty, is an issue for the court making such decision. If the courts of England and Wales give judgment for the sum payable under a U.S. judgment, the judgment of the English and Welsh court will be enforceable by methods generally available for this purpose. These methods generally permit the courts of England and Wales discretion to prescribe the manner of enforcement.</w:t>
      </w:r>
    </w:p>
    <w:p>
      <w:pPr>
        <w:spacing w:after="0" w:line="219" w:lineRule="exact"/>
        <w:rPr>
          <w:sz w:val="20"/>
          <w:szCs w:val="20"/>
          <w:color w:val="auto"/>
        </w:rPr>
      </w:pPr>
    </w:p>
    <w:p>
      <w:pPr>
        <w:jc w:val="both"/>
        <w:ind w:firstLine="720"/>
        <w:spacing w:after="0" w:line="260" w:lineRule="auto"/>
        <w:rPr>
          <w:sz w:val="20"/>
          <w:szCs w:val="20"/>
          <w:color w:val="auto"/>
        </w:rPr>
      </w:pPr>
      <w:r>
        <w:rPr>
          <w:rFonts w:ascii="Times New Roman" w:cs="Times New Roman" w:eastAsia="Times New Roman" w:hAnsi="Times New Roman"/>
          <w:sz w:val="20"/>
          <w:szCs w:val="20"/>
          <w:color w:val="auto"/>
        </w:rPr>
        <w:t>As a result, U.S. investors may not be able to enforce against us or our senior management, board of directors or certain experts named herein who are residents of England and Wales or countries other than the United States any judgments obtained in U.S. courts in civil and commercial matters, including judgments under the U.S. federal securities laws.</w:t>
      </w:r>
    </w:p>
    <w:p>
      <w:pPr>
        <w:spacing w:after="0" w:line="314"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ADS holders’ right to participate in any future rights offerings may be limited, which may cause dilution to their holdings.</w:t>
      </w:r>
    </w:p>
    <w:p>
      <w:pPr>
        <w:spacing w:after="0" w:line="57" w:lineRule="exact"/>
        <w:rPr>
          <w:sz w:val="20"/>
          <w:szCs w:val="20"/>
          <w:color w:val="auto"/>
        </w:rPr>
      </w:pPr>
    </w:p>
    <w:p>
      <w:pPr>
        <w:jc w:val="both"/>
        <w:ind w:right="20" w:firstLine="720"/>
        <w:spacing w:after="0" w:line="253" w:lineRule="auto"/>
        <w:rPr>
          <w:sz w:val="20"/>
          <w:szCs w:val="20"/>
          <w:color w:val="auto"/>
        </w:rPr>
      </w:pPr>
      <w:r>
        <w:rPr>
          <w:rFonts w:ascii="Times New Roman" w:cs="Times New Roman" w:eastAsia="Times New Roman" w:hAnsi="Times New Roman"/>
          <w:sz w:val="20"/>
          <w:szCs w:val="20"/>
          <w:color w:val="auto"/>
        </w:rPr>
        <w:t>We may from time to time distribute rights to our shareholders, including rights to acquire our securities. However, we cannot make rights available to ADS holders in the United States unless we register the rights and the securities to which the rights relate under the Securities Act or an exemption from the registration requirements is available. Also, under the deposit agreement, the depositary bank will not make rights available to ADS holders unless either both the rights and any related securities are registered under the Securities Act, or the distribution of them to ADS holders is exempted from registration under the Securities Act. We are under no obligation to file a registration statement with respect to any such rights or securities or to endeavor to cause such a registration statement to be declared effective. Moreover, we may not be able to establish an exemption from registration under the Securities Act. If the depositary does not distribute the rights, it may, under the deposit agreement, either sell them, if possible, or allow them to lapse. Accordingly, ADS holders may be unable to participate in our rights offerings and may experience dilution in your holdings.</w:t>
      </w:r>
    </w:p>
    <w:p>
      <w:pPr>
        <w:sectPr>
          <w:pgSz w:w="12240" w:h="15840" w:orient="portrait"/>
          <w:cols w:equalWidth="0" w:num="1">
            <w:col w:w="9900"/>
          </w:cols>
          <w:pgMar w:left="1180" w:top="20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102</w:t>
      </w:r>
    </w:p>
    <w:p>
      <w:pPr>
        <w:sectPr>
          <w:pgSz w:w="12240" w:h="15840" w:orient="portrait"/>
          <w:cols w:equalWidth="0" w:num="1">
            <w:col w:w="9900"/>
          </w:cols>
          <w:pgMar w:left="1180" w:top="208" w:right="1160" w:bottom="0" w:gutter="0" w:footer="0" w:header="0"/>
          <w:type w:val="continuous"/>
        </w:sectPr>
      </w:pPr>
    </w:p>
    <w:bookmarkStart w:id="102" w:name="page103"/>
    <w:bookmarkEnd w:id="102"/>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91"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If we are a controlled foreign corporation, there could be material adverse U.S. federal income tax consequences to certain U.S. Holders.</w:t>
      </w:r>
    </w:p>
    <w:p>
      <w:pPr>
        <w:spacing w:after="0" w:line="57" w:lineRule="exact"/>
        <w:rPr>
          <w:sz w:val="20"/>
          <w:szCs w:val="20"/>
          <w:color w:val="auto"/>
        </w:rPr>
      </w:pPr>
    </w:p>
    <w:p>
      <w:pPr>
        <w:jc w:val="both"/>
        <w:ind w:firstLine="720"/>
        <w:spacing w:after="0" w:line="253" w:lineRule="auto"/>
        <w:rPr>
          <w:sz w:val="20"/>
          <w:szCs w:val="20"/>
          <w:color w:val="auto"/>
        </w:rPr>
      </w:pPr>
      <w:r>
        <w:rPr>
          <w:rFonts w:ascii="Times New Roman" w:cs="Times New Roman" w:eastAsia="Times New Roman" w:hAnsi="Times New Roman"/>
          <w:sz w:val="20"/>
          <w:szCs w:val="20"/>
          <w:color w:val="auto"/>
        </w:rPr>
        <w:t>Each “Ten Percent Shareholder” (as defined below) in a non-U.S. corporation that is classified as a “controlled foreign corporation,” or a CFC, for U.S. federal income tax purposes generally is required to include in income for U.S. federal tax purposes such Ten Percent Shareholder’s pro rata share of the CFC’s “Subpart F income” and investment of earnings in U.S. property, even if the CFC has made no distributions to its shareholders. Subpart F income generally includes dividends, interest, rents, royalties, “net CFC tested income” gains from the sale of securities and income from certain transactions with related parties. In addition, a Ten Percent Shareholder that realizes gain from the sale or exchange of shares in a CFC may be required to classify a portion of such gain as dividend income rather than capital gain. A non-U.S. corporation generally will be classified as a CFC for U.S. federal income tax purposes if Ten Percent Shareholders own, directly or indirectly, more than 50% of either the total combined voting power of all classes of stock of such corporation entitled to vote or of the total value of the stock of such corporation. A “Ten Percent Shareholder” is a United States person (as defined by the Code) who owns or is considered to own 10% or more of the total combined voting power of all classes of stock entitled to vote or 10% or more of the total value of all classes of stock of such corporation.</w:t>
      </w:r>
    </w:p>
    <w:p>
      <w:pPr>
        <w:spacing w:after="0" w:line="211" w:lineRule="exact"/>
        <w:rPr>
          <w:sz w:val="20"/>
          <w:szCs w:val="20"/>
          <w:color w:val="auto"/>
        </w:rPr>
      </w:pPr>
    </w:p>
    <w:p>
      <w:pPr>
        <w:jc w:val="both"/>
        <w:ind w:right="20" w:firstLine="720"/>
        <w:spacing w:after="0" w:line="256" w:lineRule="auto"/>
        <w:rPr>
          <w:sz w:val="20"/>
          <w:szCs w:val="20"/>
          <w:color w:val="auto"/>
        </w:rPr>
      </w:pPr>
      <w:r>
        <w:rPr>
          <w:rFonts w:ascii="Times New Roman" w:cs="Times New Roman" w:eastAsia="Times New Roman" w:hAnsi="Times New Roman"/>
          <w:sz w:val="20"/>
          <w:szCs w:val="20"/>
          <w:color w:val="auto"/>
        </w:rPr>
        <w:t>We do not expect to be a CFC in the current taxable year; however, it is possible that we may become a CFC in a subsequent taxable year. The determination of CFC status is complex and includes attribution rules, the application of which is not certain. In addition, as a result of attribution rules in the Code applicable to taxable years prior to January 1, 2026, the stock of our non-U.S. subsidiaries is attributed to our U.S. subsidiary, which results in our non-U.S. subsidiaries being treated as CFCs and could result in certain United States persons being treated as Ten Percent Shareholders of such non-U.S. subsidiary CFCs.</w:t>
      </w:r>
    </w:p>
    <w:p>
      <w:pPr>
        <w:spacing w:after="0" w:line="208" w:lineRule="exact"/>
        <w:rPr>
          <w:sz w:val="20"/>
          <w:szCs w:val="20"/>
          <w:color w:val="auto"/>
        </w:rPr>
      </w:pPr>
    </w:p>
    <w:p>
      <w:pPr>
        <w:jc w:val="both"/>
        <w:ind w:right="20" w:firstLine="720"/>
        <w:spacing w:after="0" w:line="254" w:lineRule="auto"/>
        <w:rPr>
          <w:sz w:val="20"/>
          <w:szCs w:val="20"/>
          <w:color w:val="auto"/>
        </w:rPr>
      </w:pPr>
      <w:r>
        <w:rPr>
          <w:rFonts w:ascii="Times New Roman" w:cs="Times New Roman" w:eastAsia="Times New Roman" w:hAnsi="Times New Roman"/>
          <w:sz w:val="20"/>
          <w:szCs w:val="20"/>
          <w:color w:val="auto"/>
        </w:rPr>
        <w:t>For taxable years of non-U.S. corporations beginning after December 31, 2025, a non-U.S. corporation will be treated as an “foreign controlled foreign corporation” (“FCFC”) if it is not a CFC and “Foreign Controlled United States Shareholders” (as defined below) collectively own, directly, indirectly through certain entities or constructively, more than 50% of the total combined voting power or total value of the corporation’s stock. Under Section 951B of the Code, any United States person (as defined in Section 957(c) of the Code) who directly, indirectly through certain entities or constructively owns 50% or more of the total combined voting power or value of all classes of stock of the non-U.S. corporation will be considered to be a “Foreign Controlled United States Shareholder”. In general, the rules described above with respect to Ten Percent Shareholders of CFCs also apply to Foreign Controlled United States Shareholders of FCFCs.</w:t>
      </w:r>
    </w:p>
    <w:p>
      <w:pPr>
        <w:spacing w:after="0" w:line="209" w:lineRule="exact"/>
        <w:rPr>
          <w:sz w:val="20"/>
          <w:szCs w:val="20"/>
          <w:color w:val="auto"/>
        </w:rPr>
      </w:pPr>
    </w:p>
    <w:p>
      <w:pPr>
        <w:jc w:val="both"/>
        <w:ind w:right="20" w:firstLine="720"/>
        <w:spacing w:after="0" w:line="258" w:lineRule="auto"/>
        <w:rPr>
          <w:sz w:val="20"/>
          <w:szCs w:val="20"/>
          <w:color w:val="auto"/>
        </w:rPr>
      </w:pPr>
      <w:r>
        <w:rPr>
          <w:rFonts w:ascii="Times New Roman" w:cs="Times New Roman" w:eastAsia="Times New Roman" w:hAnsi="Times New Roman"/>
          <w:sz w:val="20"/>
          <w:szCs w:val="20"/>
          <w:color w:val="auto"/>
        </w:rPr>
        <w:t>We cannot provide any assurances that we will assist holders of our ordinary shares or ADSs in determining whether we are treated as a CFC or FCFC or whether any holder of ordinary shares or ADSs is treated as a Ten Percent Shareholder or Foreign Controlled United States Shareholder with respect to any such CFC or FCFC, as applicable, or furnish to any Ten Percent Shareholders or Foreign Controlled United States Shareholder information that may be necessary to comply with the aforementioned reporting and tax paying obligations.</w:t>
      </w:r>
    </w:p>
    <w:p>
      <w:pPr>
        <w:spacing w:after="0" w:line="204" w:lineRule="exact"/>
        <w:rPr>
          <w:sz w:val="20"/>
          <w:szCs w:val="20"/>
          <w:color w:val="auto"/>
        </w:rPr>
      </w:pPr>
    </w:p>
    <w:p>
      <w:pPr>
        <w:jc w:val="both"/>
        <w:ind w:right="20" w:firstLine="720"/>
        <w:spacing w:after="0" w:line="256" w:lineRule="auto"/>
        <w:rPr>
          <w:sz w:val="20"/>
          <w:szCs w:val="20"/>
          <w:color w:val="auto"/>
        </w:rPr>
      </w:pPr>
      <w:r>
        <w:rPr>
          <w:rFonts w:ascii="Times New Roman" w:cs="Times New Roman" w:eastAsia="Times New Roman" w:hAnsi="Times New Roman"/>
          <w:sz w:val="20"/>
          <w:szCs w:val="20"/>
          <w:color w:val="auto"/>
        </w:rPr>
        <w:t>U.S. Holders should consult their own tax advisors with respect to the potential material adverse U.S. tax consequences of becoming a Ten Percent Shareholder in a CFC or a Foreign Controlled United States Shareholder in an FCFC, including the possibility and consequences of becoming a Ten Percent Shareholder in our non-U.S. subsidiaries that are treated as CFCs or FCFCs. If we are classified as both a CFC and a PFIC (as defined below), we generally will not be treated as a PFIC with respect to those U.S. Holders that meet the definition of a Ten Percent Shareholder during the period in which we are a CFC.</w:t>
      </w:r>
    </w:p>
    <w:p>
      <w:pPr>
        <w:spacing w:after="0" w:line="319"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There is substantial uncertainty as to whether we are or will be a Passive Foreign Investment Company (“PFIC”). If we are a PFIC, there could be material adverse U.S. federal income tax consequences to U.S. Holders.</w:t>
      </w:r>
    </w:p>
    <w:p>
      <w:pPr>
        <w:spacing w:after="0" w:line="57" w:lineRule="exact"/>
        <w:rPr>
          <w:sz w:val="20"/>
          <w:szCs w:val="20"/>
          <w:color w:val="auto"/>
        </w:rPr>
      </w:pPr>
    </w:p>
    <w:p>
      <w:pPr>
        <w:jc w:val="both"/>
        <w:ind w:right="20" w:firstLine="720"/>
        <w:spacing w:after="0" w:line="253" w:lineRule="auto"/>
        <w:rPr>
          <w:sz w:val="20"/>
          <w:szCs w:val="20"/>
          <w:color w:val="auto"/>
        </w:rPr>
      </w:pPr>
      <w:r>
        <w:rPr>
          <w:rFonts w:ascii="Times New Roman" w:cs="Times New Roman" w:eastAsia="Times New Roman" w:hAnsi="Times New Roman"/>
          <w:sz w:val="20"/>
          <w:szCs w:val="20"/>
          <w:color w:val="auto"/>
        </w:rPr>
        <w:t>Under the Code, we will be a PFIC, for any taxable year in which (1) 75% or more of our gross income consists of passive income or (2) 50% or more of the average quarterly value of our assets consists of assets that produce, or are held for the production of, passive income. For purposes of these tests, passive income includes dividends, interest, gains from the sale or exchange of investment property and certain rents and royalties. In addition, for purposes of the above calculations, a non-U.S. corporation that directly or indirectly owns at least 25% by value of the shares of another corporation is treated as holding and receiving directly its proportionate share of assets and income of such corporation. If we are a PFIC for any taxable year during which a U.S. Holder holds our ordinary shares or ADSs, the U.S. Holder may be subject to material adverse tax consequences regardless of whether we continue to qualify as a PFIC, including ineligibility for any preferred tax rates on capital gains or on actual or deemed dividends, interest charges on certain taxes treated as deferred and additional reporting requirements.</w:t>
      </w:r>
    </w:p>
    <w:p>
      <w:pPr>
        <w:sectPr>
          <w:pgSz w:w="12240" w:h="15840" w:orient="portrait"/>
          <w:cols w:equalWidth="0" w:num="1">
            <w:col w:w="9900"/>
          </w:cols>
          <w:pgMar w:left="1180" w:top="208" w:right="1160" w:bottom="0"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103</w:t>
      </w:r>
    </w:p>
    <w:p>
      <w:pPr>
        <w:sectPr>
          <w:pgSz w:w="12240" w:h="15840" w:orient="portrait"/>
          <w:cols w:equalWidth="0" w:num="1">
            <w:col w:w="9900"/>
          </w:cols>
          <w:pgMar w:left="1180" w:top="208" w:right="1160" w:bottom="0" w:gutter="0" w:footer="0" w:header="0"/>
          <w:type w:val="continuous"/>
        </w:sectPr>
      </w:pPr>
    </w:p>
    <w:bookmarkStart w:id="103" w:name="page104"/>
    <w:bookmarkEnd w:id="103"/>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400" w:lineRule="exact"/>
        <w:rPr>
          <w:sz w:val="20"/>
          <w:szCs w:val="20"/>
          <w:color w:val="auto"/>
        </w:rPr>
      </w:pPr>
    </w:p>
    <w:p>
      <w:pPr>
        <w:jc w:val="both"/>
        <w:ind w:right="20" w:firstLine="720"/>
        <w:spacing w:after="0" w:line="253" w:lineRule="auto"/>
        <w:rPr>
          <w:sz w:val="20"/>
          <w:szCs w:val="20"/>
          <w:color w:val="auto"/>
        </w:rPr>
      </w:pPr>
      <w:r>
        <w:rPr>
          <w:rFonts w:ascii="Times New Roman" w:cs="Times New Roman" w:eastAsia="Times New Roman" w:hAnsi="Times New Roman"/>
          <w:sz w:val="20"/>
          <w:szCs w:val="20"/>
          <w:color w:val="auto"/>
        </w:rPr>
        <w:t>While we believe we were not a PFIC for 2025, it is uncertain whether we or any of our Centessa Subsidiaries were, are, or will be treated as a PFIC for U.S. federal income tax purposes for any past, current or subsequent tax year. The determination of whether we are a PFIC is a fact-intensive determination made on an annual basis applying principles and methodologies that in some circumstances are unclear and subject to varying interpretation. The value of our assets would also be determined differently for the purposes of this determination if we were treated as a CFC, as discussed above. Under the income test described above, our status as a PFIC depends on the composition of our income which will depend on the transactions we enter into in the future and our corporate structure. The composition of our income and assets is also affected by the spending of the cash we raise in any offering, including in our initial public offering. Because PFIC status is based on our income, assets, and activities for the entire taxable year, our PFIC status may change from year to year. In addition, the total value of our assets for PFIC testing purposes may be determined in part by reference to the market price of our ordinary shares or ADSs from time to time, which may fluctuate considerably. Until we generate sufficient revenue from active licensing and other non-passive sources, there is a risk that we could be classified as a PFIC under the income test as our current operations generate limited amounts of non-passive income.</w:t>
      </w:r>
    </w:p>
    <w:p>
      <w:pPr>
        <w:spacing w:after="0" w:line="208" w:lineRule="exact"/>
        <w:rPr>
          <w:sz w:val="20"/>
          <w:szCs w:val="20"/>
          <w:color w:val="auto"/>
        </w:rPr>
      </w:pPr>
    </w:p>
    <w:p>
      <w:pPr>
        <w:jc w:val="both"/>
        <w:ind w:right="20" w:firstLine="720"/>
        <w:spacing w:after="0" w:line="254" w:lineRule="auto"/>
        <w:rPr>
          <w:sz w:val="20"/>
          <w:szCs w:val="20"/>
          <w:color w:val="auto"/>
        </w:rPr>
      </w:pPr>
      <w:r>
        <w:rPr>
          <w:rFonts w:ascii="Times New Roman" w:cs="Times New Roman" w:eastAsia="Times New Roman" w:hAnsi="Times New Roman"/>
          <w:sz w:val="20"/>
          <w:szCs w:val="20"/>
          <w:color w:val="auto"/>
        </w:rPr>
        <w:t>In certain circumstances, a U.S. Holder of shares in a PFIC may alleviate some of the adverse tax consequences described above by making either a “qualified electing fund” (“QEF”), election or a mark-to-market election (if our ordinary shares or ADSs constitute “marketable” securities under the Code). However, a U.S. Holder may make a QEF election with respect to our ordinary shares or ADSs only if we agree to furnish such U.S. Holder annually with required information. If we determine that we are a PFIC for this taxable year or any future taxable year, we currently expect that we would make available the information necessary for U.S. Holders to make a QEF Election. However, there is also no assurance that we will have timely knowledge of our status as a PFIC in the future or of the required information to be provided.</w:t>
      </w:r>
    </w:p>
    <w:p>
      <w:pPr>
        <w:spacing w:after="0" w:line="213" w:lineRule="exact"/>
        <w:rPr>
          <w:sz w:val="20"/>
          <w:szCs w:val="20"/>
          <w:color w:val="auto"/>
        </w:rPr>
      </w:pPr>
    </w:p>
    <w:p>
      <w:pPr>
        <w:jc w:val="both"/>
        <w:ind w:firstLine="720"/>
        <w:spacing w:after="0" w:line="253" w:lineRule="auto"/>
        <w:rPr>
          <w:sz w:val="20"/>
          <w:szCs w:val="20"/>
          <w:color w:val="auto"/>
        </w:rPr>
      </w:pPr>
      <w:r>
        <w:rPr>
          <w:rFonts w:ascii="Times New Roman" w:cs="Times New Roman" w:eastAsia="Times New Roman" w:hAnsi="Times New Roman"/>
          <w:sz w:val="20"/>
          <w:szCs w:val="20"/>
          <w:color w:val="auto"/>
        </w:rPr>
        <w:t>If we are a PFIC and, at any time, have a foreign subsidiary that is classified as a PFIC, U.S. Holders generally would be deemed to own a portion of the shares of such lower-tier PFIC, and generally could incur liability for the deferred tax and interest charge described above if we receive a distribution from, or dispose of all or part of our interest in, the lower-tier PFIC or the U.S. Holders otherwise were deemed to have disposed of an interest in the lower-tier PFIC. If we determine that we are a PFIC, to the extent appropriate, we currently expect that we will cause any lower-tier PFIC that we control to provide to a U.S. Holder the information necessary for U.S. Holders to make or maintain a QEF election with respect to the lower-tier PFIC. However, in the future, we may not hold a controlling interest in any such lower-tier PFIC and thus there can be no assurance that we will be able to cause the lower-tier PFIC to provide such required information. A mark-to-market election generally would not be available with respect to such lower-tier PFIC. U.S. Holders are urged to consult their tax advisors regarding the tax issues raised by lower-tier PFICs.</w:t>
      </w:r>
    </w:p>
    <w:p>
      <w:pPr>
        <w:spacing w:after="0" w:line="216" w:lineRule="exact"/>
        <w:rPr>
          <w:sz w:val="20"/>
          <w:szCs w:val="20"/>
          <w:color w:val="auto"/>
        </w:rPr>
      </w:pPr>
    </w:p>
    <w:p>
      <w:pPr>
        <w:jc w:val="both"/>
        <w:ind w:right="20" w:firstLine="720"/>
        <w:spacing w:after="0" w:line="281" w:lineRule="auto"/>
        <w:rPr>
          <w:sz w:val="20"/>
          <w:szCs w:val="20"/>
          <w:color w:val="auto"/>
        </w:rPr>
      </w:pPr>
      <w:r>
        <w:rPr>
          <w:rFonts w:ascii="Times New Roman" w:cs="Times New Roman" w:eastAsia="Times New Roman" w:hAnsi="Times New Roman"/>
          <w:sz w:val="20"/>
          <w:szCs w:val="20"/>
          <w:color w:val="auto"/>
        </w:rPr>
        <w:t>U.S. Holders should consult their own tax advisors with respect to the potential material adverse U.S. tax consequences if we or any of our Centessa Subsidiaries are or were to become a PFIC.</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Future changes to tax laws could materially adversely affect our company and reduce net returns to our shareholders.</w:t>
      </w:r>
    </w:p>
    <w:p>
      <w:pPr>
        <w:spacing w:after="0" w:line="139" w:lineRule="exact"/>
        <w:rPr>
          <w:sz w:val="20"/>
          <w:szCs w:val="20"/>
          <w:color w:val="auto"/>
        </w:rPr>
      </w:pPr>
    </w:p>
    <w:p>
      <w:pPr>
        <w:jc w:val="both"/>
        <w:ind w:right="20" w:firstLine="720"/>
        <w:spacing w:after="0" w:line="255" w:lineRule="auto"/>
        <w:rPr>
          <w:sz w:val="20"/>
          <w:szCs w:val="20"/>
          <w:color w:val="auto"/>
        </w:rPr>
      </w:pPr>
      <w:r>
        <w:rPr>
          <w:rFonts w:ascii="Times New Roman" w:cs="Times New Roman" w:eastAsia="Times New Roman" w:hAnsi="Times New Roman"/>
          <w:sz w:val="20"/>
          <w:szCs w:val="20"/>
          <w:color w:val="auto"/>
        </w:rPr>
        <w:t>We conduct business globally. The tax treatment of the company or any of the group companies is subject to changes in tax laws, regulations and treaties, or the interpretation thereof, tax policy initiatives and reforms under consideration and the practices of tax authorities in jurisdictions in which we operate, as well as international tax policy initiatives and reforms including those related to the Organisation for Economic Co-Operation and Development’s (“OECD”), Base Erosion and Profit Shifting (“BEPS”), Project, the European Commission’s state aid investigations and other initiatives. Such changes may include (but are not limited to) the taxation of operating income, investment income, dividends received or (in the specific context of withholding tax) dividends paid.</w:t>
      </w:r>
    </w:p>
    <w:p>
      <w:pPr>
        <w:spacing w:after="0" w:line="210"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We are unable to predict what tax reform may be proposed or enacted in the future or what effect such changes would have on our business, but such changes, to the extent they are brought into tax legislation, regulations, policies or practices, could affect our financial position, future results of operations, cash flows in a particular period and overall or effective tax rates in the future in countries where we have operations, reduce post-tax returns to our shareholders, and increase the complexity, burden and cost of tax compliance.</w:t>
      </w:r>
    </w:p>
    <w:p>
      <w:pPr>
        <w:spacing w:after="0" w:line="315"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Tax authorities may disagree with our positions and conclusions regarding certain tax positions, resulting in unanticipated costs, taxes or non-realization of expected benefits.</w:t>
      </w:r>
    </w:p>
    <w:p>
      <w:pPr>
        <w:spacing w:after="0" w:line="57" w:lineRule="exact"/>
        <w:rPr>
          <w:sz w:val="20"/>
          <w:szCs w:val="20"/>
          <w:color w:val="auto"/>
        </w:rPr>
      </w:pPr>
    </w:p>
    <w:p>
      <w:pPr>
        <w:jc w:val="both"/>
        <w:ind w:right="20" w:firstLine="720"/>
        <w:spacing w:after="0" w:line="281" w:lineRule="auto"/>
        <w:rPr>
          <w:sz w:val="20"/>
          <w:szCs w:val="20"/>
          <w:color w:val="auto"/>
        </w:rPr>
      </w:pPr>
      <w:r>
        <w:rPr>
          <w:rFonts w:ascii="Times New Roman" w:cs="Times New Roman" w:eastAsia="Times New Roman" w:hAnsi="Times New Roman"/>
          <w:sz w:val="20"/>
          <w:szCs w:val="20"/>
          <w:color w:val="auto"/>
        </w:rPr>
        <w:t>We operate through various Centessa Subsidiaries in the U.S. and UK. Consequently, we are subject to tax laws, treaties, and regulations in the countries in which we operate, and these laws and treaties are subject to interpretation. Our</w:t>
      </w:r>
    </w:p>
    <w:p>
      <w:pPr>
        <w:sectPr>
          <w:pgSz w:w="12240" w:h="15840" w:orient="portrait"/>
          <w:cols w:equalWidth="0" w:num="1">
            <w:col w:w="9900"/>
          </w:cols>
          <w:pgMar w:left="1180" w:top="208" w:right="1160" w:bottom="0" w:gutter="0" w:footer="0" w:header="0"/>
        </w:sect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104</w:t>
      </w:r>
    </w:p>
    <w:p>
      <w:pPr>
        <w:sectPr>
          <w:pgSz w:w="12240" w:h="15840" w:orient="portrait"/>
          <w:cols w:equalWidth="0" w:num="1">
            <w:col w:w="9900"/>
          </w:cols>
          <w:pgMar w:left="1180" w:top="208" w:right="1160" w:bottom="0" w:gutter="0" w:footer="0" w:header="0"/>
          <w:type w:val="continuous"/>
        </w:sectPr>
      </w:pPr>
    </w:p>
    <w:bookmarkStart w:id="104" w:name="page105"/>
    <w:bookmarkEnd w:id="104"/>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400"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20"/>
          <w:szCs w:val="20"/>
          <w:color w:val="auto"/>
        </w:rPr>
        <w:t>effective tax rate is influenced by many factors including changes in our operating structure, changes in the mix of our earnings among countries, our allocation of profits and losses among our subsidiaries, our intercompany transfer pricing agreements and rules relating to transfer pricing, the availability of U.S. research and development tax credits, and future changes in tax laws and regulations in the U.S. and foreign countries. Significant judgment is required in determining our tax liabilities including management’s judgment for uncertain tax positions. We have taken, and will continue to take, tax positions based on our interpretation of such tax laws. A tax authority may disagree with tax positions that we have taken, which could result in increased tax liabilities. For example, HM Revenue &amp; Customs (“HMRC”), the Internal Revenue Service or another tax authority could challenge our allocation of income by tax jurisdiction and the amounts paid between our affiliated companies pursuant to our intercompany arrangements and transfer pricing policies, including amounts paid with respect to our intellectual property development. There can be no assurance that a taxing authority will not have a different interpretation of applicable law and assess us with additional taxes. Similarly, a tax authority could assert that we are subject to tax in a jurisdiction where we believe we have not established a taxable connection, often referred to as a “permanent establishment” under international tax treaties, and such an assertion, if successful, could increase our expected tax liability in one or more jurisdictions. If we are assessed with additional taxes, this may result in a material adverse effect on our results of operations and/or financial condition.</w:t>
      </w:r>
    </w:p>
    <w:p>
      <w:pPr>
        <w:spacing w:after="0" w:line="218" w:lineRule="exact"/>
        <w:rPr>
          <w:sz w:val="20"/>
          <w:szCs w:val="20"/>
          <w:color w:val="auto"/>
        </w:rPr>
      </w:pPr>
    </w:p>
    <w:p>
      <w:pPr>
        <w:jc w:val="both"/>
        <w:ind w:right="20" w:firstLine="720"/>
        <w:spacing w:after="0" w:line="258" w:lineRule="auto"/>
        <w:rPr>
          <w:sz w:val="20"/>
          <w:szCs w:val="20"/>
          <w:color w:val="auto"/>
        </w:rPr>
      </w:pPr>
      <w:r>
        <w:rPr>
          <w:rFonts w:ascii="Times New Roman" w:cs="Times New Roman" w:eastAsia="Times New Roman" w:hAnsi="Times New Roman"/>
          <w:sz w:val="20"/>
          <w:szCs w:val="20"/>
          <w:color w:val="auto"/>
        </w:rPr>
        <w:t>A tax authority may take the position that material income tax liabilities, interest and penalties are payable by us, for example where there has been a technical violation of contradictory laws and regulations that are relatively new and have not been subject to extensive review or interpretation, in which case, we expect that we might contest such assessment. Contesting such an assessment may be lengthy and costly and if we were unsuccessful in disputing the assessment, the implications could increase our anticipated effective tax rate, where applicable, or result in other liabilities.</w:t>
      </w:r>
    </w:p>
    <w:p>
      <w:pPr>
        <w:spacing w:after="0" w:line="315"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may be unable to use UK net operating loss and tax credit carryforwards and certain built-in losses to reduce future tax payments or benefit from favorable UK tax legislation.</w:t>
      </w:r>
    </w:p>
    <w:p>
      <w:pPr>
        <w:spacing w:after="0" w:line="57" w:lineRule="exact"/>
        <w:rPr>
          <w:sz w:val="20"/>
          <w:szCs w:val="20"/>
          <w:color w:val="auto"/>
        </w:rPr>
      </w:pPr>
    </w:p>
    <w:p>
      <w:pPr>
        <w:jc w:val="both"/>
        <w:ind w:right="20" w:firstLine="720"/>
        <w:spacing w:after="0" w:line="253" w:lineRule="auto"/>
        <w:rPr>
          <w:sz w:val="20"/>
          <w:szCs w:val="20"/>
          <w:color w:val="auto"/>
        </w:rPr>
      </w:pPr>
      <w:r>
        <w:rPr>
          <w:rFonts w:ascii="Times New Roman" w:cs="Times New Roman" w:eastAsia="Times New Roman" w:hAnsi="Times New Roman"/>
          <w:sz w:val="20"/>
          <w:szCs w:val="20"/>
          <w:color w:val="auto"/>
        </w:rPr>
        <w:t>As a UK incorporated and tax resident entity, we are subject to UK corporate taxation on tax-adjusted trading profits. Due to the nature of our business, we have generated losses since inception and have not paid any UK corporation tax. We therefore have accumulated carryforward tax losses. Subject to numerous utilization criteria and restrictions (including those that limit the percentage of profits that can be reduced by carried forward losses and those that can restrict the use of carried forward losses where there is a change of ownership of more than half the ordinary shares of the Company and a major change in the nature, conduct or scale of the trade), we expect these to be eligible for carry forward and utilization against future operating profits. The use of loss carryforwards in relation to UK profits incurred on or after April 1, 2017 is generally limited each year to £5.0 million plus an incremental 50% of UK taxable profits. In addition, if we were to have a major change in the nature of the conduct of our trade, loss carryforwards may be restricted or extinguished.</w:t>
      </w:r>
    </w:p>
    <w:p>
      <w:pPr>
        <w:spacing w:after="0" w:line="216"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As a company that carries out extensive research and development activities, we seek to benefit from the UK research and development (“R&amp;D”) tax relief program. For accounting periods prior to April 1, 2024 this consisted of two programs: the Small and Medium-sized Enterprises R&amp;D tax relief program, or SME Program, and, to the extent that our projects are grant funded or relate to work subcontracted to us by third parties, the Research and Development Expenditure Credit program, (“RDEC Program”). For accounting periods beginning on or after April 1, 2024 these two regimes have been merged into one program for all companies, R&amp;D expenditure credit, (“RDEC”), alongside the introduction of a new enhanced R&amp;D intensive support program, or ERIS, specifically for loss-making R&amp;D intensive SMEs. In addition, unless limited exceptions apply, for accounting periods beginning on or after April 1, 2024, restrictions were introduced which apply to the tax relief that can be claimed for expenditure incurred on sub-contracted R&amp;D activities or externally provided workers (where such sub-contracted activities are not carried out in the UK or such workers are not subject to UK payroll taxes). These changes, including the rate of deduction for qualifying R&amp;D expenditures and activities for which relief may be claimed, may have a material impact on the quantum of R&amp;D relief that we are able to claim in the future. Further, the UK R&amp;D tax relief program’s rules are complex, and if a tax authority were to challenge or seek to disallow our claims (in whole or in part), for example by asserting that we do not (or the relevant expenditure does not) meet the technical conditions to be granted tax credits (or cash rebates), then such challenge or disallowance, if successful, could have a material impact on our cash-flow and financial performance. In addition, future changes to the UK R&amp;D tax credit program may mean that we no longer qualify for it or have a material impact on the extent to which we can make claims (or benefit from them).</w:t>
      </w:r>
    </w:p>
    <w:p>
      <w:pPr>
        <w:spacing w:after="0" w:line="213" w:lineRule="exact"/>
        <w:rPr>
          <w:sz w:val="20"/>
          <w:szCs w:val="20"/>
          <w:color w:val="auto"/>
        </w:rPr>
      </w:pPr>
    </w:p>
    <w:p>
      <w:pPr>
        <w:jc w:val="both"/>
        <w:ind w:right="20" w:firstLine="720"/>
        <w:spacing w:after="0" w:line="266" w:lineRule="auto"/>
        <w:rPr>
          <w:sz w:val="20"/>
          <w:szCs w:val="20"/>
          <w:color w:val="auto"/>
        </w:rPr>
      </w:pPr>
      <w:r>
        <w:rPr>
          <w:rFonts w:ascii="Times New Roman" w:cs="Times New Roman" w:eastAsia="Times New Roman" w:hAnsi="Times New Roman"/>
          <w:sz w:val="20"/>
          <w:szCs w:val="20"/>
          <w:color w:val="auto"/>
        </w:rPr>
        <w:t>We may benefit in the future from the United Kingdom’s “patent box” regime, which allows certain profits attributable to revenues from patented products (and other qualifying income) to be taxed at an effective rate of 10%. We are the exclusive licensee or owner of several patent applications which, if granted, would cover our product candidates,</w:t>
      </w:r>
    </w:p>
    <w:p>
      <w:pPr>
        <w:sectPr>
          <w:pgSz w:w="12240" w:h="15840" w:orient="portrait"/>
          <w:cols w:equalWidth="0" w:num="1">
            <w:col w:w="9900"/>
          </w:cols>
          <w:pgMar w:left="1180" w:top="208" w:right="1160" w:bottom="0" w:gutter="0" w:footer="0" w:header="0"/>
        </w:sect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105</w:t>
      </w:r>
    </w:p>
    <w:p>
      <w:pPr>
        <w:sectPr>
          <w:pgSz w:w="12240" w:h="15840" w:orient="portrait"/>
          <w:cols w:equalWidth="0" w:num="1">
            <w:col w:w="9900"/>
          </w:cols>
          <w:pgMar w:left="1180" w:top="208" w:right="1160" w:bottom="0" w:gutter="0" w:footer="0" w:header="0"/>
          <w:type w:val="continuous"/>
        </w:sectPr>
      </w:pPr>
    </w:p>
    <w:bookmarkStart w:id="105" w:name="page106"/>
    <w:bookmarkEnd w:id="105"/>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400"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and accordingly, future upfront fees, milestone fees, product revenues and royalties could be taxed at this lower tax rate. When taken in combination with the enhanced relief available on our research and development expenditures, we expect a long-term lower rate of corporation tax to apply to us. If, however, there are unexpected adverse changes to the UK research and development tax credit regime or the “patent box” regime, or for any reason we are unable to qualify for such advantageous tax legislation, or we are unable to use net operating loss and tax credit carryforwards and certain built-in losses to reduce future tax payments then our business, results of operations and financial condition may be adversely affected.</w:t>
      </w:r>
    </w:p>
    <w:p>
      <w:pPr>
        <w:spacing w:after="0" w:line="32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Shareholder protections found in provisions under the UK City Code on Takeovers and Mergers, or the Takeover Code, will not apply if: (i) our place of central management and control remains outside of the United Kingdom (or the Channel Islands or the Isle of Man); and (ii) our securities are not admitted to trading on a UK-regulated market.</w:t>
      </w:r>
    </w:p>
    <w:p>
      <w:pPr>
        <w:spacing w:after="0" w:line="76" w:lineRule="exact"/>
        <w:rPr>
          <w:sz w:val="20"/>
          <w:szCs w:val="20"/>
          <w:color w:val="auto"/>
        </w:rPr>
      </w:pPr>
    </w:p>
    <w:p>
      <w:pPr>
        <w:jc w:val="both"/>
        <w:ind w:right="20" w:firstLine="720"/>
        <w:spacing w:after="0" w:line="253" w:lineRule="auto"/>
        <w:rPr>
          <w:sz w:val="20"/>
          <w:szCs w:val="20"/>
          <w:color w:val="auto"/>
        </w:rPr>
      </w:pPr>
      <w:r>
        <w:rPr>
          <w:rFonts w:ascii="Times New Roman" w:cs="Times New Roman" w:eastAsia="Times New Roman" w:hAnsi="Times New Roman"/>
          <w:sz w:val="20"/>
          <w:szCs w:val="20"/>
          <w:color w:val="auto"/>
        </w:rPr>
        <w:t>We are classified as a “transition company” under the revised scope of the Takeover Code that became effective on February 3, 2025. As a result, certain provisions of the Takeover Code may apply to any takeover attempt we may be subject to from February 3, 2025 until February 2, 2027 (the “transition period”) if we either become UK quoted or UK resident at any time during the transition period and remain so at the time of any such transaction. We believe that our place of central management and control is not in the United Kingdom (or the Channel Islands or the Isle of Man) for the purposes of the jurisdictional criteria of the Takeover Code, and therefore we are not a UK resident for the purposes of the Takeover Code, and our securities are not admitted to trading on a UK-regulated market. Accordingly, we believe that any takeover attempt we may be subject to would not be subject to the Takeover Code and, as a result, our shareholders would not be entitled to the benefit of certain takeover offer protections provided under the Takeover Code, including the rules regarding mandatory takeover bids.</w:t>
      </w:r>
    </w:p>
    <w:p>
      <w:pPr>
        <w:spacing w:after="0" w:line="216" w:lineRule="exact"/>
        <w:rPr>
          <w:sz w:val="20"/>
          <w:szCs w:val="20"/>
          <w:color w:val="auto"/>
        </w:rPr>
      </w:pPr>
    </w:p>
    <w:p>
      <w:pPr>
        <w:jc w:val="both"/>
        <w:ind w:right="20" w:firstLine="720"/>
        <w:spacing w:after="0" w:line="255" w:lineRule="auto"/>
        <w:rPr>
          <w:sz w:val="20"/>
          <w:szCs w:val="20"/>
          <w:color w:val="auto"/>
        </w:rPr>
      </w:pPr>
      <w:r>
        <w:rPr>
          <w:rFonts w:ascii="Times New Roman" w:cs="Times New Roman" w:eastAsia="Times New Roman" w:hAnsi="Times New Roman"/>
          <w:sz w:val="20"/>
          <w:szCs w:val="20"/>
          <w:color w:val="auto"/>
        </w:rPr>
        <w:t>We will cease to be classified as a transition company at the end of the transition period and therefore from February 3, 2027 will no longer be subject to these transitional arrangements under the Takeover Code. Following the transition period, we will only be subject to the Takeover Code in the event that we become a UK quoted company. In the event that this changes, or if the interpretation and application of the Takeover Code by the Panel on Takeovers and Mergers (“Takeover Panel”), changes (including changes to the way in which the Takeover Panel assesses the application of the Takeover Code to English companies whose shares are listed outside of the United Kingdom), the Takeover Code may apply to us in the future.</w:t>
      </w:r>
    </w:p>
    <w:p>
      <w:pPr>
        <w:spacing w:after="0" w:line="210" w:lineRule="exact"/>
        <w:rPr>
          <w:sz w:val="20"/>
          <w:szCs w:val="20"/>
          <w:color w:val="auto"/>
        </w:rPr>
      </w:pPr>
    </w:p>
    <w:p>
      <w:pPr>
        <w:jc w:val="both"/>
        <w:ind w:right="20" w:firstLine="720"/>
        <w:spacing w:after="0" w:line="266" w:lineRule="auto"/>
        <w:rPr>
          <w:sz w:val="20"/>
          <w:szCs w:val="20"/>
          <w:color w:val="auto"/>
        </w:rPr>
      </w:pPr>
      <w:r>
        <w:rPr>
          <w:rFonts w:ascii="Times New Roman" w:cs="Times New Roman" w:eastAsia="Times New Roman" w:hAnsi="Times New Roman"/>
          <w:sz w:val="20"/>
          <w:szCs w:val="20"/>
          <w:color w:val="auto"/>
        </w:rPr>
        <w:t>The Takeover Code provides a framework within which takeovers of companies which are subject to the Takeover Code are regulated and conducted. The following is a brief summary of some of the most important rules of the Takeover Code:</w:t>
      </w:r>
    </w:p>
    <w:p>
      <w:pPr>
        <w:spacing w:after="0" w:line="75" w:lineRule="exact"/>
        <w:rPr>
          <w:sz w:val="20"/>
          <w:szCs w:val="20"/>
          <w:color w:val="auto"/>
        </w:rPr>
      </w:pPr>
    </w:p>
    <w:p>
      <w:pPr>
        <w:jc w:val="both"/>
        <w:ind w:left="1080" w:hanging="370"/>
        <w:spacing w:after="0" w:line="260" w:lineRule="auto"/>
        <w:tabs>
          <w:tab w:leader="none" w:pos="108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connection with a potential offer, if following an approach by or on behalf of a potential bidder, the company is “the subject of rumor or speculation” or there is an “untoward movement” in the company’s share price, there is a requirement for the potential bidder to make a public announcement about a potential offer for the company, or for the company to make a public announcement about its review of a potential offer;</w:t>
      </w:r>
    </w:p>
    <w:p>
      <w:pPr>
        <w:spacing w:after="0" w:line="83" w:lineRule="exact"/>
        <w:rPr>
          <w:rFonts w:ascii="Times New Roman" w:cs="Times New Roman" w:eastAsia="Times New Roman" w:hAnsi="Times New Roman"/>
          <w:sz w:val="20"/>
          <w:szCs w:val="20"/>
          <w:color w:val="auto"/>
        </w:rPr>
      </w:pPr>
    </w:p>
    <w:p>
      <w:pPr>
        <w:jc w:val="both"/>
        <w:ind w:left="1080" w:right="20" w:hanging="370"/>
        <w:spacing w:after="0" w:line="256" w:lineRule="auto"/>
        <w:tabs>
          <w:tab w:leader="none" w:pos="108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when any person, or group of persons acting in concert, acquires, whether by a series of transactions over a period of time or not, an interest in shares which (taken together with shares already held by that person and an interest in shares held or acquired by persons acting in concert with him or her) carry 30% or more of the voting rights of a company that is subject to the Takeover Code, that person is generally required to make a mandatory offer to all the holders of any class of equity share capital or other class of transferable securities carrying voting rights in that company to acquire the balance of their interests in the company;</w:t>
      </w:r>
    </w:p>
    <w:p>
      <w:pPr>
        <w:spacing w:after="0" w:line="88" w:lineRule="exact"/>
        <w:rPr>
          <w:rFonts w:ascii="Times New Roman" w:cs="Times New Roman" w:eastAsia="Times New Roman" w:hAnsi="Times New Roman"/>
          <w:sz w:val="20"/>
          <w:szCs w:val="20"/>
          <w:color w:val="auto"/>
        </w:rPr>
      </w:pPr>
    </w:p>
    <w:p>
      <w:pPr>
        <w:jc w:val="both"/>
        <w:ind w:left="1080" w:hanging="370"/>
        <w:spacing w:after="0" w:line="255" w:lineRule="auto"/>
        <w:tabs>
          <w:tab w:leader="none" w:pos="108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when any person who, together with persons acting in concert with him or her, is interested in shares representing not less than 30% but does not hold more than 50% of the voting rights of a company that is subject to the Takeover Code, and such person, or any person acting in concert with him or her, acquires an additional interest in shares which increases the percentage of shares carrying voting rights in which he or she is interested, then such person is generally required to make a mandatory offer to all the holders of any class of equity share capital or other class of transferable securities carrying voting rights of that company to acquire the balance of their interests in the company;</w:t>
      </w:r>
    </w:p>
    <w:p>
      <w:pPr>
        <w:spacing w:after="0" w:line="89" w:lineRule="exact"/>
        <w:rPr>
          <w:rFonts w:ascii="Times New Roman" w:cs="Times New Roman" w:eastAsia="Times New Roman" w:hAnsi="Times New Roman"/>
          <w:sz w:val="20"/>
          <w:szCs w:val="20"/>
          <w:color w:val="auto"/>
        </w:rPr>
      </w:pPr>
    </w:p>
    <w:p>
      <w:pPr>
        <w:jc w:val="both"/>
        <w:ind w:left="1080" w:hanging="370"/>
        <w:spacing w:after="0" w:line="260" w:lineRule="auto"/>
        <w:tabs>
          <w:tab w:leader="none" w:pos="108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mandatory offer triggered in the circumstances described in the two paragraphs above must be in cash (or be accompanied by a cash alternative) and at not less than the highest price paid within the preceding 12 months to acquire any interest in shares in the company by the person required to make the offer or any person acting in concert with him or her;</w:t>
      </w:r>
    </w:p>
    <w:p>
      <w:pPr>
        <w:sectPr>
          <w:pgSz w:w="12240" w:h="15840" w:orient="portrait"/>
          <w:cols w:equalWidth="0" w:num="1">
            <w:col w:w="9900"/>
          </w:cols>
          <w:pgMar w:left="1180" w:top="20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106</w:t>
      </w:r>
    </w:p>
    <w:p>
      <w:pPr>
        <w:sectPr>
          <w:pgSz w:w="12240" w:h="15840" w:orient="portrait"/>
          <w:cols w:equalWidth="0" w:num="1">
            <w:col w:w="9900"/>
          </w:cols>
          <w:pgMar w:left="1180" w:top="208" w:right="1160" w:bottom="0" w:gutter="0" w:footer="0" w:header="0"/>
          <w:type w:val="continuous"/>
        </w:sectPr>
      </w:pPr>
    </w:p>
    <w:bookmarkStart w:id="106" w:name="page107"/>
    <w:bookmarkEnd w:id="106"/>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400" w:lineRule="exact"/>
        <w:rPr>
          <w:sz w:val="20"/>
          <w:szCs w:val="20"/>
          <w:color w:val="auto"/>
        </w:rPr>
      </w:pPr>
    </w:p>
    <w:p>
      <w:pPr>
        <w:jc w:val="both"/>
        <w:ind w:left="1080" w:hanging="370"/>
        <w:spacing w:after="0" w:line="254" w:lineRule="auto"/>
        <w:tabs>
          <w:tab w:leader="none" w:pos="108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relation to a voluntary offer (i.e. any offer which is not a mandatory offer), when interests in shares representing 10% or more of the shares of a class have been acquired for cash by an offeror (i.e., a bidder) and any person acting in concert with it in the offer period and the previous 12 months, the offer must be in cash or include a cash alternative for all shareholders of that class at not less than the highest price paid for any interest in shares of that class by the offeror and by any person acting in concert with it in that period. Further, if an offeror, or any person acting in concert with them, acquires for cash any interest in shares during the offer period, a cash alternative must be made available at not less than the highest price paid for any interest in the shares of that class;</w:t>
      </w:r>
    </w:p>
    <w:p>
      <w:pPr>
        <w:spacing w:after="0" w:line="92" w:lineRule="exact"/>
        <w:rPr>
          <w:rFonts w:ascii="Times New Roman" w:cs="Times New Roman" w:eastAsia="Times New Roman" w:hAnsi="Times New Roman"/>
          <w:sz w:val="20"/>
          <w:szCs w:val="20"/>
          <w:color w:val="auto"/>
        </w:rPr>
      </w:pPr>
    </w:p>
    <w:p>
      <w:pPr>
        <w:jc w:val="both"/>
        <w:ind w:left="1080" w:hanging="370"/>
        <w:spacing w:after="0" w:line="266" w:lineRule="auto"/>
        <w:tabs>
          <w:tab w:leader="none" w:pos="108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after making an offer for a company, the offeror or any person acting in concert with them acquires an interest in shares in an offeree company (i.e., a target) at a price higher than the value of the offer, the offer must be increased to not less than the highest price paid for the interest in shares so acquired;</w:t>
      </w:r>
    </w:p>
    <w:p>
      <w:pPr>
        <w:spacing w:after="0" w:line="75" w:lineRule="exact"/>
        <w:rPr>
          <w:rFonts w:ascii="Times New Roman" w:cs="Times New Roman" w:eastAsia="Times New Roman" w:hAnsi="Times New Roman"/>
          <w:sz w:val="20"/>
          <w:szCs w:val="20"/>
          <w:color w:val="auto"/>
        </w:rPr>
      </w:pPr>
    </w:p>
    <w:p>
      <w:pPr>
        <w:jc w:val="both"/>
        <w:ind w:left="1080" w:hanging="370"/>
        <w:spacing w:after="0" w:line="266" w:lineRule="auto"/>
        <w:tabs>
          <w:tab w:leader="none" w:pos="108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offeree company must appoint a competent independent adviser whose advice on the financial terms of the offer must be made known to all the shareholders, together with the opinion of the board of directors of the offeree company;</w:t>
      </w:r>
    </w:p>
    <w:p>
      <w:pPr>
        <w:spacing w:after="0" w:line="75" w:lineRule="exact"/>
        <w:rPr>
          <w:rFonts w:ascii="Times New Roman" w:cs="Times New Roman" w:eastAsia="Times New Roman" w:hAnsi="Times New Roman"/>
          <w:sz w:val="20"/>
          <w:szCs w:val="20"/>
          <w:color w:val="auto"/>
        </w:rPr>
      </w:pPr>
    </w:p>
    <w:p>
      <w:pPr>
        <w:jc w:val="both"/>
        <w:ind w:left="1080" w:hanging="370"/>
        <w:spacing w:after="0" w:line="266" w:lineRule="auto"/>
        <w:tabs>
          <w:tab w:leader="none" w:pos="108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special or favorable deals for selected shareholders are not permitted, except in certain circumstances where independent shareholder approval is given and the arrangements are regarded as fair and reasonable in the opinion of the financial adviser to the offeree;</w:t>
      </w:r>
    </w:p>
    <w:p>
      <w:pPr>
        <w:spacing w:after="0" w:line="75" w:lineRule="exact"/>
        <w:rPr>
          <w:rFonts w:ascii="Times New Roman" w:cs="Times New Roman" w:eastAsia="Times New Roman" w:hAnsi="Times New Roman"/>
          <w:sz w:val="20"/>
          <w:szCs w:val="20"/>
          <w:color w:val="auto"/>
        </w:rPr>
      </w:pPr>
    </w:p>
    <w:p>
      <w:pPr>
        <w:ind w:left="1080" w:hanging="370"/>
        <w:spacing w:after="0"/>
        <w:tabs>
          <w:tab w:leader="none" w:pos="108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shareholders must be given the same information;</w:t>
      </w:r>
    </w:p>
    <w:p>
      <w:pPr>
        <w:spacing w:after="0" w:line="130" w:lineRule="exact"/>
        <w:rPr>
          <w:rFonts w:ascii="Times New Roman" w:cs="Times New Roman" w:eastAsia="Times New Roman" w:hAnsi="Times New Roman"/>
          <w:sz w:val="20"/>
          <w:szCs w:val="20"/>
          <w:color w:val="auto"/>
        </w:rPr>
      </w:pPr>
    </w:p>
    <w:p>
      <w:pPr>
        <w:jc w:val="both"/>
        <w:ind w:left="1080" w:hanging="370"/>
        <w:spacing w:after="0" w:line="266" w:lineRule="auto"/>
        <w:tabs>
          <w:tab w:leader="none" w:pos="108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document published in connection with an offer by or on behalf of the offeror or offeree must state that the directors of the offeror or the offeree, as the case may be, accept responsibility for the information contained therein;</w:t>
      </w:r>
    </w:p>
    <w:p>
      <w:pPr>
        <w:spacing w:after="0" w:line="75" w:lineRule="exact"/>
        <w:rPr>
          <w:rFonts w:ascii="Times New Roman" w:cs="Times New Roman" w:eastAsia="Times New Roman" w:hAnsi="Times New Roman"/>
          <w:sz w:val="20"/>
          <w:szCs w:val="20"/>
          <w:color w:val="auto"/>
        </w:rPr>
      </w:pPr>
    </w:p>
    <w:p>
      <w:pPr>
        <w:ind w:left="1080" w:hanging="370"/>
        <w:spacing w:after="0" w:line="281" w:lineRule="auto"/>
        <w:tabs>
          <w:tab w:leader="none" w:pos="108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profit forecasts, quantified financial benefits statements and asset valuations must be made to specified standards and must be reported on by professional advisers;</w:t>
      </w:r>
    </w:p>
    <w:p>
      <w:pPr>
        <w:spacing w:after="0" w:line="61" w:lineRule="exact"/>
        <w:rPr>
          <w:rFonts w:ascii="Times New Roman" w:cs="Times New Roman" w:eastAsia="Times New Roman" w:hAnsi="Times New Roman"/>
          <w:sz w:val="20"/>
          <w:szCs w:val="20"/>
          <w:color w:val="auto"/>
        </w:rPr>
      </w:pPr>
    </w:p>
    <w:p>
      <w:pPr>
        <w:ind w:left="1080" w:hanging="370"/>
        <w:spacing w:after="0" w:line="281" w:lineRule="auto"/>
        <w:tabs>
          <w:tab w:leader="none" w:pos="108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misleading, inaccurate or unsubstantiated statements made in documents or to the media must be publicly corrected immediately;</w:t>
      </w:r>
    </w:p>
    <w:p>
      <w:pPr>
        <w:spacing w:after="0" w:line="61" w:lineRule="exact"/>
        <w:rPr>
          <w:rFonts w:ascii="Times New Roman" w:cs="Times New Roman" w:eastAsia="Times New Roman" w:hAnsi="Times New Roman"/>
          <w:sz w:val="20"/>
          <w:szCs w:val="20"/>
          <w:color w:val="auto"/>
        </w:rPr>
      </w:pPr>
    </w:p>
    <w:p>
      <w:pPr>
        <w:jc w:val="both"/>
        <w:ind w:left="1080" w:hanging="370"/>
        <w:spacing w:after="0" w:line="260" w:lineRule="auto"/>
        <w:tabs>
          <w:tab w:leader="none" w:pos="108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actions during the course of an offer by the offeree company, which might frustrate the offer are generally prohibited unless shareholders approve these plans. Frustrating actions would include, for example, lengthening the notice period for directors under their service contract or agreeing to sell off material parts of the target group;</w:t>
      </w:r>
    </w:p>
    <w:p>
      <w:pPr>
        <w:spacing w:after="0" w:line="83" w:lineRule="exact"/>
        <w:rPr>
          <w:rFonts w:ascii="Times New Roman" w:cs="Times New Roman" w:eastAsia="Times New Roman" w:hAnsi="Times New Roman"/>
          <w:sz w:val="20"/>
          <w:szCs w:val="20"/>
          <w:color w:val="auto"/>
        </w:rPr>
      </w:pPr>
    </w:p>
    <w:p>
      <w:pPr>
        <w:jc w:val="both"/>
        <w:ind w:left="1080" w:hanging="370"/>
        <w:spacing w:after="0" w:line="266" w:lineRule="auto"/>
        <w:tabs>
          <w:tab w:leader="none" w:pos="108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stringent requirements are laid down for the disclosure of dealings in relevant securities during an offer, including the prompt disclosure of positions and dealing in relevant securities by the parties to an offer and any person who is interested (directly or indirectly) in 1% or more of any class of relevant securities; and</w:t>
      </w:r>
    </w:p>
    <w:p>
      <w:pPr>
        <w:spacing w:after="0" w:line="75" w:lineRule="exact"/>
        <w:rPr>
          <w:rFonts w:ascii="Times New Roman" w:cs="Times New Roman" w:eastAsia="Times New Roman" w:hAnsi="Times New Roman"/>
          <w:sz w:val="20"/>
          <w:szCs w:val="20"/>
          <w:color w:val="auto"/>
        </w:rPr>
      </w:pPr>
    </w:p>
    <w:p>
      <w:pPr>
        <w:jc w:val="both"/>
        <w:ind w:left="1080" w:hanging="370"/>
        <w:spacing w:after="0" w:line="260" w:lineRule="auto"/>
        <w:tabs>
          <w:tab w:leader="none" w:pos="108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employees of both the offeror and the offeree company and the trustees of the offeree company’s pension scheme must be informed about an offer. In addition, the offeree company’s employee representatives and pension scheme trustees have the right to have a separate opinion on the effects of the offer on employment appended to the offeree board of directors’ circular or published on a website.</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The rights of our shareholders may differ from the rights typically offered to shareholders of a U.S. corporation.</w:t>
      </w:r>
    </w:p>
    <w:p>
      <w:pPr>
        <w:spacing w:after="0" w:line="139" w:lineRule="exact"/>
        <w:rPr>
          <w:sz w:val="20"/>
          <w:szCs w:val="20"/>
          <w:color w:val="auto"/>
        </w:rPr>
      </w:pPr>
    </w:p>
    <w:p>
      <w:pPr>
        <w:jc w:val="both"/>
        <w:ind w:firstLine="720"/>
        <w:spacing w:after="0" w:line="260" w:lineRule="auto"/>
        <w:rPr>
          <w:sz w:val="20"/>
          <w:szCs w:val="20"/>
          <w:color w:val="auto"/>
        </w:rPr>
      </w:pPr>
      <w:r>
        <w:rPr>
          <w:rFonts w:ascii="Times New Roman" w:cs="Times New Roman" w:eastAsia="Times New Roman" w:hAnsi="Times New Roman"/>
          <w:sz w:val="20"/>
          <w:szCs w:val="20"/>
          <w:color w:val="auto"/>
        </w:rPr>
        <w:t>We are incorporated under the laws of England and Wales. The rights of holders of ordinary shares and, therefore, certain of the rights of holders of ADS, are governed by English law, including the provisions of the Companies Act, and by our articles of association. These rights differ in certain respects from the rights of shareholders in typical U.S. corporations.</w:t>
      </w:r>
    </w:p>
    <w:p>
      <w:pPr>
        <w:spacing w:after="0" w:line="20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principal differences include the following:</w:t>
      </w:r>
    </w:p>
    <w:p>
      <w:pPr>
        <w:spacing w:after="0" w:line="130" w:lineRule="exact"/>
        <w:rPr>
          <w:sz w:val="20"/>
          <w:szCs w:val="20"/>
          <w:color w:val="auto"/>
        </w:rPr>
      </w:pPr>
    </w:p>
    <w:p>
      <w:pPr>
        <w:jc w:val="both"/>
        <w:ind w:left="1080" w:hanging="370"/>
        <w:spacing w:after="0" w:line="266" w:lineRule="auto"/>
        <w:tabs>
          <w:tab w:leader="none" w:pos="108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under English law and our articles of association, each shareholder present at a meeting has only one vote unless demand is made for a vote on a poll, in which case each holder gets one vote per share owned. Under U.S. law, each shareholder typically is entitled to one vote per share at all meetings;</w:t>
      </w:r>
    </w:p>
    <w:p>
      <w:pPr>
        <w:spacing w:after="0" w:line="75" w:lineRule="exact"/>
        <w:rPr>
          <w:rFonts w:ascii="Times New Roman" w:cs="Times New Roman" w:eastAsia="Times New Roman" w:hAnsi="Times New Roman"/>
          <w:sz w:val="20"/>
          <w:szCs w:val="20"/>
          <w:color w:val="auto"/>
        </w:rPr>
      </w:pPr>
    </w:p>
    <w:p>
      <w:pPr>
        <w:jc w:val="both"/>
        <w:ind w:left="1080" w:hanging="370"/>
        <w:spacing w:after="0" w:line="266" w:lineRule="auto"/>
        <w:tabs>
          <w:tab w:leader="none" w:pos="108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under English law, it is only on a poll that the number of shares determines the number of votes a holder may cast. You should be aware, however, that the voting rights of ADS are also governed by the provisions of a deposit agreement with our depositary bank;</w:t>
      </w:r>
    </w:p>
    <w:p>
      <w:pPr>
        <w:sectPr>
          <w:pgSz w:w="12240" w:h="15840" w:orient="portrait"/>
          <w:cols w:equalWidth="0" w:num="1">
            <w:col w:w="9880"/>
          </w:cols>
          <w:pgMar w:left="1180" w:top="20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107</w:t>
      </w:r>
    </w:p>
    <w:p>
      <w:pPr>
        <w:sectPr>
          <w:pgSz w:w="12240" w:h="15840" w:orient="portrait"/>
          <w:cols w:equalWidth="0" w:num="1">
            <w:col w:w="9880"/>
          </w:cols>
          <w:pgMar w:left="1180" w:top="208" w:right="1180" w:bottom="0" w:gutter="0" w:footer="0" w:header="0"/>
          <w:type w:val="continuous"/>
        </w:sectPr>
      </w:pPr>
    </w:p>
    <w:bookmarkStart w:id="107" w:name="page108"/>
    <w:bookmarkEnd w:id="107"/>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400" w:lineRule="exact"/>
        <w:rPr>
          <w:sz w:val="20"/>
          <w:szCs w:val="20"/>
          <w:color w:val="auto"/>
        </w:rPr>
      </w:pPr>
    </w:p>
    <w:p>
      <w:pPr>
        <w:jc w:val="both"/>
        <w:ind w:left="1080" w:right="20" w:hanging="370"/>
        <w:spacing w:after="0" w:line="260" w:lineRule="auto"/>
        <w:tabs>
          <w:tab w:leader="none" w:pos="108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under English law, subject to certain exceptions and disapplications, each shareholder generally has preemptive rights to subscribe on a proportionate basis to any issuance of ordinary shares or rights to subscribe for, or to convert securities into, ordinary shares for cash. Under U.S. law, shareholders generally do not have preemptive rights unless specifically granted in the certificate of incorporation or otherwise;</w:t>
      </w:r>
    </w:p>
    <w:p>
      <w:pPr>
        <w:spacing w:after="0" w:line="83" w:lineRule="exact"/>
        <w:rPr>
          <w:rFonts w:ascii="Times New Roman" w:cs="Times New Roman" w:eastAsia="Times New Roman" w:hAnsi="Times New Roman"/>
          <w:sz w:val="20"/>
          <w:szCs w:val="20"/>
          <w:color w:val="auto"/>
        </w:rPr>
      </w:pPr>
    </w:p>
    <w:p>
      <w:pPr>
        <w:jc w:val="both"/>
        <w:ind w:left="1080" w:hanging="370"/>
        <w:spacing w:after="0" w:line="256" w:lineRule="auto"/>
        <w:tabs>
          <w:tab w:leader="none" w:pos="108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under English law and our articles of association, certain matters require the approval of 75% of the shareholders who vote (in person or by proxy) on the relevant resolution (or on a poll of shareholders representing 75% of the ordinary shares voting (in person or by proxy)), including amendments to the articles of association. This may make it more difficult for us to complete corporate transactions deemed advisable by our board of directors. Under U.S. law, generally only majority shareholder approval is required to amend the certificate of incorporation or to approve other significant transactions;</w:t>
      </w:r>
    </w:p>
    <w:p>
      <w:pPr>
        <w:spacing w:after="0" w:line="88" w:lineRule="exact"/>
        <w:rPr>
          <w:rFonts w:ascii="Times New Roman" w:cs="Times New Roman" w:eastAsia="Times New Roman" w:hAnsi="Times New Roman"/>
          <w:sz w:val="20"/>
          <w:szCs w:val="20"/>
          <w:color w:val="auto"/>
        </w:rPr>
      </w:pPr>
    </w:p>
    <w:p>
      <w:pPr>
        <w:jc w:val="both"/>
        <w:ind w:left="1080" w:right="20" w:hanging="370"/>
        <w:spacing w:after="0" w:line="254" w:lineRule="auto"/>
        <w:tabs>
          <w:tab w:leader="none" w:pos="108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United Kingdom, takeovers may be structured as takeover offers or as schemes of arrangement. Under English law, a bidder seeking to acquire us by means of a takeover offer would need to make an offer for all of our outstanding ordinary shares/ADS. If acceptances are not received for 90% or more of the ordinary shares/ADS under the offer, under English law, the bidder cannot complete a “squeeze out” to obtain 100% control of us. Accordingly, acceptances of 90% of our outstanding ordinary shares/ADSs will likely be a condition in any takeover offer to acquire us, not 50% as is more common in tender offers for corporations organized under Delaware law. By contrast, a scheme of arrangement, the successful completion of which would result in a bidder obtaining 100% control of us, requires the approval of a majority of shareholders voting at the meeting and representing 75% of the ordinary shares voting for approval; and</w:t>
      </w:r>
    </w:p>
    <w:p>
      <w:pPr>
        <w:spacing w:after="0" w:line="89" w:lineRule="exact"/>
        <w:rPr>
          <w:rFonts w:ascii="Times New Roman" w:cs="Times New Roman" w:eastAsia="Times New Roman" w:hAnsi="Times New Roman"/>
          <w:sz w:val="20"/>
          <w:szCs w:val="20"/>
          <w:color w:val="auto"/>
        </w:rPr>
      </w:pPr>
    </w:p>
    <w:p>
      <w:pPr>
        <w:jc w:val="both"/>
        <w:ind w:left="1080" w:right="20" w:hanging="370"/>
        <w:spacing w:after="0" w:line="256" w:lineRule="auto"/>
        <w:tabs>
          <w:tab w:leader="none" w:pos="108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under English law and our articles of association, shareholders and other persons whom we know or have reasonable cause to believe are, or have been, interested in our shares may be required to disclose information regarding their interests in our shares upon our request, and the failure to provide the required information could result in the loss or restriction of rights attaching to the shares, including prohibitions on certain transfers of the shares, withholding of dividends and loss of voting rights. Comparable provisions generally do not exist under U.S. law.</w:t>
      </w:r>
    </w:p>
    <w:p>
      <w:pPr>
        <w:spacing w:after="0" w:line="319"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As an English public limited company, certain capital structure decisions will require shareholder approval, which may limit our flexibility to manage our capital structure.</w:t>
      </w:r>
    </w:p>
    <w:p>
      <w:pPr>
        <w:spacing w:after="0" w:line="57"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English law provides that a board of directors may only allot shares (or grant rights to subscribe for or to convert any security into shares) with the prior authorization of shareholders, either pursuant to an ordinary resolution or as set out in the articles of association. This authorization must state the aggregate nominal amount of shares that it covers, can be valid up to a maximum period of five years and can be varied, renewed or revoked by shareholders. Such authority from our shareholders to allot additional shares for a period of five years from 2025 was included in the ordinary resolution passed by our shareholders on June 20, 2025, which authorization will need to be renewed upon expiration (i.e., at least every five years) but may be sought more frequently for additional five-year terms (or any shorter period).</w:t>
      </w:r>
    </w:p>
    <w:p>
      <w:pPr>
        <w:spacing w:after="0" w:line="210" w:lineRule="exact"/>
        <w:rPr>
          <w:sz w:val="20"/>
          <w:szCs w:val="20"/>
          <w:color w:val="auto"/>
        </w:rPr>
      </w:pPr>
    </w:p>
    <w:p>
      <w:pPr>
        <w:jc w:val="both"/>
        <w:ind w:firstLine="720"/>
        <w:spacing w:after="0" w:line="253" w:lineRule="auto"/>
        <w:rPr>
          <w:sz w:val="20"/>
          <w:szCs w:val="20"/>
          <w:color w:val="auto"/>
        </w:rPr>
      </w:pPr>
      <w:r>
        <w:rPr>
          <w:rFonts w:ascii="Times New Roman" w:cs="Times New Roman" w:eastAsia="Times New Roman" w:hAnsi="Times New Roman"/>
          <w:sz w:val="20"/>
          <w:szCs w:val="20"/>
          <w:color w:val="auto"/>
        </w:rPr>
        <w:t>English law also generally provides shareholders with preemptive rights when new shares are issued for cash. However, it is possible for the articles of association, or for shareholders to pass a special resolution at a general meeting, being a resolution passed by at least 75% of the votes cast, to disapply preemptive rights. Such a disapplication of preemptive rights may be for a maximum period of up to five years from the date of adoption of the articles of association, if the disapplication is contained in the articles of association, but not longer than the duration of the authority to allot shares to which this disapplication relates or from the date of the shareholder special resolution, if the disapplication is by shareholder special resolution. In either case, this disapplication would need to be renewed by our shareholders upon its expiration (i.e., at least every five years). Such authority from our shareholders to disapply preemptive rights for a period of five years was included as a special resolution passed by our shareholders on June 20, 2025, which disapplication will need to be renewed upon expiration (i.e., at least every five years) to remain effective, but may be sought more frequently for additional five-year terms (or any shorter period).</w:t>
      </w:r>
    </w:p>
    <w:p>
      <w:pPr>
        <w:spacing w:after="0" w:line="213" w:lineRule="exact"/>
        <w:rPr>
          <w:sz w:val="20"/>
          <w:szCs w:val="20"/>
          <w:color w:val="auto"/>
        </w:rPr>
      </w:pPr>
    </w:p>
    <w:p>
      <w:pPr>
        <w:jc w:val="both"/>
        <w:ind w:right="20" w:firstLine="720"/>
        <w:spacing w:after="0" w:line="260" w:lineRule="auto"/>
        <w:rPr>
          <w:sz w:val="20"/>
          <w:szCs w:val="20"/>
          <w:color w:val="auto"/>
        </w:rPr>
      </w:pPr>
      <w:r>
        <w:rPr>
          <w:rFonts w:ascii="Times New Roman" w:cs="Times New Roman" w:eastAsia="Times New Roman" w:hAnsi="Times New Roman"/>
          <w:sz w:val="20"/>
          <w:szCs w:val="20"/>
          <w:color w:val="auto"/>
        </w:rPr>
        <w:t>English law also generally prohibits a public company from repurchasing its own shares without the prior approval of its shareholders by ordinary resolution, being a resolution passed by a simple majority of votes cast, and other formalities. Such approval may be provided for a maximum period of up to five years. In addition, a public company can only affect a buyback of shares out of distributable profits or a fresh issue of shares and cannot do so out of capital.</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General Risk Factors</w:t>
      </w:r>
    </w:p>
    <w:p>
      <w:pPr>
        <w:sectPr>
          <w:pgSz w:w="12240" w:h="15840" w:orient="portrait"/>
          <w:cols w:equalWidth="0" w:num="1">
            <w:col w:w="9900"/>
          </w:cols>
          <w:pgMar w:left="1180" w:top="20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108</w:t>
      </w:r>
    </w:p>
    <w:p>
      <w:pPr>
        <w:sectPr>
          <w:pgSz w:w="12240" w:h="15840" w:orient="portrait"/>
          <w:cols w:equalWidth="0" w:num="1">
            <w:col w:w="9900"/>
          </w:cols>
          <w:pgMar w:left="1180" w:top="208" w:right="1160" w:bottom="0" w:gutter="0" w:footer="0" w:header="0"/>
          <w:type w:val="continuous"/>
        </w:sectPr>
      </w:pPr>
    </w:p>
    <w:bookmarkStart w:id="108" w:name="page109"/>
    <w:bookmarkEnd w:id="108"/>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9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Business interruptions resulting from the Russia-Ukraine war, the Middle East conflict(s), tensions in U.S.-China relations, changes in trade policy, including the imposition of tariffs, or similar geo-political conflicts could cause a disruption to our business activities including the development of our product candidates and the conduct of clinical trials thereby adversely impacting our business.</w:t>
      </w:r>
    </w:p>
    <w:p>
      <w:pPr>
        <w:spacing w:after="0" w:line="83" w:lineRule="exact"/>
        <w:rPr>
          <w:sz w:val="20"/>
          <w:szCs w:val="20"/>
          <w:color w:val="auto"/>
        </w:rPr>
      </w:pPr>
    </w:p>
    <w:p>
      <w:pPr>
        <w:jc w:val="both"/>
        <w:ind w:right="20" w:firstLine="720"/>
        <w:spacing w:after="0" w:line="256" w:lineRule="auto"/>
        <w:rPr>
          <w:sz w:val="20"/>
          <w:szCs w:val="20"/>
          <w:color w:val="auto"/>
        </w:rPr>
      </w:pPr>
      <w:r>
        <w:rPr>
          <w:rFonts w:ascii="Times New Roman" w:cs="Times New Roman" w:eastAsia="Times New Roman" w:hAnsi="Times New Roman"/>
          <w:sz w:val="20"/>
          <w:szCs w:val="20"/>
          <w:color w:val="auto"/>
        </w:rPr>
        <w:t>Geo-political conflicts including the Russia-Ukraine war, the Middle East conflict(s), tensions in U.S.-China relations and the impact of changes in trade policy, including the imposition of tariffs, may impact our CROs, clinical data management organizations, and clinical investigators’ ability to conduct certain of our trials in the applicable countries, and may prevent us from obtaining data on patients already enrolled at sites in these countries. This could negatively impact the completion of our clinical trials and/or analyses of clinical results, which may increase our product development costs, elongate clinical trial timeframes and materially harm our business.</w:t>
      </w:r>
    </w:p>
    <w:p>
      <w:pPr>
        <w:spacing w:after="0" w:line="236" w:lineRule="exact"/>
        <w:rPr>
          <w:sz w:val="20"/>
          <w:szCs w:val="20"/>
          <w:color w:val="auto"/>
        </w:rPr>
      </w:pPr>
    </w:p>
    <w:p>
      <w:pPr>
        <w:jc w:val="both"/>
        <w:ind w:firstLine="786"/>
        <w:spacing w:after="0" w:line="257" w:lineRule="auto"/>
        <w:rPr>
          <w:sz w:val="20"/>
          <w:szCs w:val="20"/>
          <w:color w:val="auto"/>
        </w:rPr>
      </w:pPr>
      <w:r>
        <w:rPr>
          <w:rFonts w:ascii="Times New Roman" w:cs="Times New Roman" w:eastAsia="Times New Roman" w:hAnsi="Times New Roman"/>
          <w:sz w:val="20"/>
          <w:szCs w:val="20"/>
          <w:color w:val="auto"/>
        </w:rPr>
        <w:t>The global economy has been impacted by geopolitical tensions. The U.S. and other governments have imposed, and propose to impose additional, export controls and tariffs on certain products, and financial and economic sanctions on certain industry sectors and parties. These geopolitical tensions could result in, among other things, cyberattacks, supply chain disruptions, higher energy and other commodity costs, lower consumer demand, and changes to foreign exchange rates and financial markets, and tariffs and trade restrictions may result in increased production costs and product pricing, further supply chain disruptions, limited access to end markets, lower profitability, and uncertainty related to planning long-term investments and strategies, and may have other competitive effects. Any of the foregoing could have a material adverse effect on our business, financial condition, and results of operations.</w:t>
      </w:r>
    </w:p>
    <w:p>
      <w:pPr>
        <w:spacing w:after="0" w:line="321"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We or the third parties upon whom we depend may be adversely affected by earthquakes, outbreak of disease, or other natural disasters and our business continuity and disaster recovery plans may not adequately protect us from a serious disaster.</w:t>
      </w:r>
    </w:p>
    <w:p>
      <w:pPr>
        <w:spacing w:after="0" w:line="76" w:lineRule="exact"/>
        <w:rPr>
          <w:sz w:val="20"/>
          <w:szCs w:val="20"/>
          <w:color w:val="auto"/>
        </w:rPr>
      </w:pPr>
    </w:p>
    <w:p>
      <w:pPr>
        <w:jc w:val="both"/>
        <w:ind w:right="20" w:firstLine="720"/>
        <w:spacing w:after="0" w:line="254" w:lineRule="auto"/>
        <w:rPr>
          <w:sz w:val="20"/>
          <w:szCs w:val="20"/>
          <w:color w:val="auto"/>
        </w:rPr>
      </w:pPr>
      <w:r>
        <w:rPr>
          <w:rFonts w:ascii="Times New Roman" w:cs="Times New Roman" w:eastAsia="Times New Roman" w:hAnsi="Times New Roman"/>
          <w:sz w:val="20"/>
          <w:szCs w:val="20"/>
          <w:color w:val="auto"/>
        </w:rPr>
        <w:t>Earthquakes, outbreak of disease, or other natural disasters could severely disrupt our operations, and have a material adverse effect on our business, results of operations, financial condition and prospects. If a natural disaster, power outage or other event occurred that prevented us from using all or a significant portion of our headquarters, that damaged critical infrastructure, such as the manufacturing facilities of our third-party CMOs, or that otherwise disrupted operations, it may be difficult or, in certain cases, impossible for us to continue our business for a substantial period of time. The disaster recovery and business continuity plans we have in place currently are limited and are unlikely to prove adequate in the event of a serious disaster or similar event. We may incur substantial expenses as a result of the limited nature of our disaster recovery and business continuity plans, which, particularly when taken together with our lack of earthquake insurance, could have a material adverse effect on our business.</w:t>
      </w:r>
    </w:p>
    <w:p>
      <w:pPr>
        <w:spacing w:after="0" w:line="320"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Unfavorable global economic conditions could adversely affect our business, financial condition or results of operations.</w:t>
      </w:r>
    </w:p>
    <w:p>
      <w:pPr>
        <w:spacing w:after="0" w:line="57" w:lineRule="exact"/>
        <w:rPr>
          <w:sz w:val="20"/>
          <w:szCs w:val="20"/>
          <w:color w:val="auto"/>
        </w:rPr>
      </w:pPr>
    </w:p>
    <w:p>
      <w:pPr>
        <w:jc w:val="both"/>
        <w:ind w:firstLine="720"/>
        <w:spacing w:after="0" w:line="253" w:lineRule="auto"/>
        <w:rPr>
          <w:sz w:val="20"/>
          <w:szCs w:val="20"/>
          <w:color w:val="auto"/>
        </w:rPr>
      </w:pPr>
      <w:r>
        <w:rPr>
          <w:rFonts w:ascii="Times New Roman" w:cs="Times New Roman" w:eastAsia="Times New Roman" w:hAnsi="Times New Roman"/>
          <w:sz w:val="20"/>
          <w:szCs w:val="20"/>
          <w:color w:val="auto"/>
        </w:rPr>
        <w:t>Our results of operations could be adversely affected by general conditions in the global economy and in the global financial markets. For example, high inflation and trade wars, including the imposition of tariffs, may cause our cost of doing business to materially increase and may adversely impact our ability to operate or may adversely impact other parties upon whom we rely for research and development capabilities to operate. The most recent global financial crisis caused extreme volatility and disruptions in the capital and credit markets. A severe or prolonged economic downturn, such as the most recent global financial crisis, could result in a variety of risks to our business, including weakened demand for our product candidates and our ability to raise additional capital when needed on acceptable terms, if at all. A weak or declining economy could strain our suppliers, possibly resulting in supply disruption, or cause delays in payments for our services by third-party payors or our collaborators. Any of the foregoing could harm our business and we cannot anticipate all of the ways in which the current economic climate and financial market conditions could adversely impact our business.</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1B. Unresolved Staff Comments</w:t>
      </w:r>
    </w:p>
    <w:p>
      <w:pPr>
        <w:spacing w:after="0" w:line="13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None.</w:t>
      </w: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1C. Cybersecurity</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Cybersecurity Risk Management</w:t>
      </w:r>
    </w:p>
    <w:p>
      <w:pPr>
        <w:spacing w:after="0" w:line="137" w:lineRule="exact"/>
        <w:rPr>
          <w:sz w:val="20"/>
          <w:szCs w:val="20"/>
          <w:color w:val="auto"/>
        </w:rPr>
      </w:pPr>
    </w:p>
    <w:p>
      <w:pPr>
        <w:jc w:val="both"/>
        <w:ind w:right="20" w:firstLine="720"/>
        <w:spacing w:after="0" w:line="281" w:lineRule="auto"/>
        <w:rPr>
          <w:sz w:val="20"/>
          <w:szCs w:val="20"/>
          <w:color w:val="auto"/>
        </w:rPr>
      </w:pPr>
      <w:r>
        <w:rPr>
          <w:rFonts w:ascii="Times New Roman" w:cs="Times New Roman" w:eastAsia="Times New Roman" w:hAnsi="Times New Roman"/>
          <w:sz w:val="20"/>
          <w:szCs w:val="20"/>
          <w:color w:val="auto"/>
        </w:rPr>
        <w:t>We recognize the importance of developing, implementing, and maintaining cybersecurity measures designed to safeguard our information systems and protect the confidentiality, integrity, privacy, and availability of our data. We have</w:t>
      </w:r>
    </w:p>
    <w:p>
      <w:pPr>
        <w:sectPr>
          <w:pgSz w:w="12240" w:h="15840" w:orient="portrait"/>
          <w:cols w:equalWidth="0" w:num="1">
            <w:col w:w="9900"/>
          </w:cols>
          <w:pgMar w:left="1180" w:top="208" w:right="1160" w:bottom="0" w:gutter="0" w:footer="0" w:header="0"/>
        </w:sect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109</w:t>
      </w:r>
    </w:p>
    <w:p>
      <w:pPr>
        <w:sectPr>
          <w:pgSz w:w="12240" w:h="15840" w:orient="portrait"/>
          <w:cols w:equalWidth="0" w:num="1">
            <w:col w:w="9900"/>
          </w:cols>
          <w:pgMar w:left="1180" w:top="208" w:right="1160" w:bottom="0" w:gutter="0" w:footer="0" w:header="0"/>
          <w:type w:val="continuous"/>
        </w:sectPr>
      </w:pPr>
    </w:p>
    <w:bookmarkStart w:id="109" w:name="page110"/>
    <w:bookmarkEnd w:id="109"/>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400"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20"/>
          <w:szCs w:val="20"/>
          <w:color w:val="auto"/>
        </w:rPr>
        <w:t>implemented and integrated into our broader risk management framework a cybersecurity risk management program designed to promote a company-wide culture of cybersecurity risk awareness and management. Our cybersecurity risk management program includes a number of components, including periodic system audits and ongoing monitoring of critical risks from cybersecurity threats supported by third-party providers and technologies as well as automated tools. This process is designed to evaluate, assess, identify, and manage cyber risks in alignment with our business objectives and operational needs. In support of those efforts, we leverage a managed service provider (“MSP”) including a 24x7 Security Operations Center (SOC) and also engage with other third-party providers, consultants, and auditors to support our cyber risk management program, including periodic engagement of third parties to conduct security assessments and testing related to our computer systems. We have a process to implement mitigation plans to monitor, respond, and address identified cybersecurity events and incidents. Additionally, we have implemented an end-user education program that is designed to raise awareness of cybersecurity threats, including risks posed by phishing attempts and emerging threats associated with artificial intelligence (AI), such as AI-driven social engineering and automated attack techniques. We have implemented a process for this training to be included during the end-user onboarding process and at least annually thereafter.</w:t>
      </w:r>
    </w:p>
    <w:p>
      <w:pPr>
        <w:spacing w:after="0" w:line="219" w:lineRule="exact"/>
        <w:rPr>
          <w:sz w:val="20"/>
          <w:szCs w:val="20"/>
          <w:color w:val="auto"/>
        </w:rPr>
      </w:pPr>
    </w:p>
    <w:p>
      <w:pPr>
        <w:jc w:val="both"/>
        <w:ind w:right="20" w:firstLine="720"/>
        <w:spacing w:after="0" w:line="258" w:lineRule="auto"/>
        <w:rPr>
          <w:sz w:val="20"/>
          <w:szCs w:val="20"/>
          <w:color w:val="auto"/>
        </w:rPr>
      </w:pPr>
      <w:r>
        <w:rPr>
          <w:rFonts w:ascii="Times New Roman" w:cs="Times New Roman" w:eastAsia="Times New Roman" w:hAnsi="Times New Roman"/>
          <w:sz w:val="20"/>
          <w:szCs w:val="20"/>
          <w:color w:val="auto"/>
        </w:rPr>
        <w:t>We rely on our vendor network to enable the performance of core research and development activities, including clinical trials. As part of our cybersecurity risk management program, we therefore maintain processes to, prior to onboarding and periodically thereafter, assess and review vendor standards and compliance with industry best practices around cybersecurity, incident management, and personal data processing, as applicable. Additionally, as appropriate, we include security requirements in vendor contracts.</w:t>
      </w:r>
    </w:p>
    <w:p>
      <w:pPr>
        <w:spacing w:after="0" w:line="204" w:lineRule="exact"/>
        <w:rPr>
          <w:sz w:val="20"/>
          <w:szCs w:val="20"/>
          <w:color w:val="auto"/>
        </w:rPr>
      </w:pPr>
    </w:p>
    <w:p>
      <w:pPr>
        <w:jc w:val="both"/>
        <w:ind w:right="20" w:firstLine="720"/>
        <w:spacing w:after="0" w:line="255" w:lineRule="auto"/>
        <w:rPr>
          <w:sz w:val="20"/>
          <w:szCs w:val="20"/>
          <w:color w:val="auto"/>
        </w:rPr>
      </w:pPr>
      <w:r>
        <w:rPr>
          <w:rFonts w:ascii="Times New Roman" w:cs="Times New Roman" w:eastAsia="Times New Roman" w:hAnsi="Times New Roman"/>
          <w:sz w:val="20"/>
          <w:szCs w:val="20"/>
          <w:color w:val="auto"/>
        </w:rPr>
        <w:t>We, like other companies in our industry, face a number of cybersecurity risks in connection with our business. Although our business strategy, results of operations, and financial condition have not, to date, been materially affected by risks from cybersecurity threats, including as a result of previously identified cybersecurity incidents, we have, from time to time, experienced threats to and security incidents related to our data and systems, including phishing attacks. For more information on our cybersecurity-related risks, see “</w:t>
      </w:r>
      <w:r>
        <w:rPr>
          <w:rFonts w:ascii="Times New Roman" w:cs="Times New Roman" w:eastAsia="Times New Roman" w:hAnsi="Times New Roman"/>
          <w:sz w:val="20"/>
          <w:szCs w:val="20"/>
          <w:b w:val="1"/>
          <w:bCs w:val="1"/>
          <w:i w:val="1"/>
          <w:iCs w:val="1"/>
          <w:color w:val="auto"/>
        </w:rPr>
        <w:t>Our internal computer systems have suffered, and our collaborators or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 xml:space="preserve">other contractors or consultants may suffer from security breaches, which could result in a material disruption of our product development programs,” </w:t>
      </w:r>
      <w:r>
        <w:rPr>
          <w:rFonts w:ascii="Times New Roman" w:cs="Times New Roman" w:eastAsia="Times New Roman" w:hAnsi="Times New Roman"/>
          <w:sz w:val="20"/>
          <w:szCs w:val="20"/>
          <w:color w:val="auto"/>
        </w:rPr>
        <w:t>in Item 1A “Risk Factors.”</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Governance</w:t>
      </w:r>
    </w:p>
    <w:p>
      <w:pPr>
        <w:spacing w:after="0" w:line="137" w:lineRule="exact"/>
        <w:rPr>
          <w:sz w:val="20"/>
          <w:szCs w:val="20"/>
          <w:color w:val="auto"/>
        </w:rPr>
      </w:pPr>
    </w:p>
    <w:p>
      <w:pPr>
        <w:jc w:val="both"/>
        <w:ind w:firstLine="720"/>
        <w:spacing w:after="0" w:line="256" w:lineRule="auto"/>
        <w:rPr>
          <w:sz w:val="20"/>
          <w:szCs w:val="20"/>
          <w:color w:val="auto"/>
        </w:rPr>
      </w:pPr>
      <w:r>
        <w:rPr>
          <w:rFonts w:ascii="Times New Roman" w:cs="Times New Roman" w:eastAsia="Times New Roman" w:hAnsi="Times New Roman"/>
          <w:sz w:val="20"/>
          <w:szCs w:val="20"/>
          <w:color w:val="auto"/>
        </w:rPr>
        <w:t>The Board of Directors has responsibility for oversight of cybersecurity risk management. As part of our enterprise risk management program, the Board has established oversight mechanisms that seek to implement effective governance in managing risks associated with cybersecurity threats. In particular, the Audit Committee has been vested with cybersecurity governance mandate that includes defining the Company’s cybersecurity strategy and implementation plan, performing regular oversight over Company’s cybersecurity landscape, and assessing the impact of material cyber incidents, should they happen.</w:t>
      </w:r>
    </w:p>
    <w:p>
      <w:pPr>
        <w:spacing w:after="0" w:line="208"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Day-to-day responsibility for assessing, monitoring, and managing our cybersecurity risk management program rests with our IT Department, supported by broader MSP’s service team, and members of our finance and legal teams as appropriate, and our Head of Compliance on cyber matters. Our Head of Compliance oversees our risk management governance and works with our IT Department and other functions, as appropriate, on the mitigation and management of identified cyber risks. The IT Department, supported by broader MSP’s service team executes the cybersecurity strategy. The IT Department and Head of Compliance report periodically to the Chief Legal Officer as well as to our Governance, Risk Management, and Compliance Committee (“GRC Committee”) on cyber matters. Our GRC Committee is responsible for monitoring and overseeing our overall enterprise risk management process, including assessing, identifying, and managing cybersecurity related risks as part of its annual assessment of critical risks facing the Company.</w:t>
      </w:r>
    </w:p>
    <w:p>
      <w:pPr>
        <w:spacing w:after="0" w:line="199" w:lineRule="exact"/>
        <w:rPr>
          <w:sz w:val="20"/>
          <w:szCs w:val="20"/>
          <w:color w:val="auto"/>
        </w:rPr>
      </w:pPr>
    </w:p>
    <w:p>
      <w:pPr>
        <w:jc w:val="both"/>
        <w:ind w:right="20" w:firstLine="720"/>
        <w:spacing w:after="0" w:line="260" w:lineRule="auto"/>
        <w:rPr>
          <w:sz w:val="20"/>
          <w:szCs w:val="20"/>
          <w:color w:val="auto"/>
        </w:rPr>
      </w:pPr>
      <w:r>
        <w:rPr>
          <w:rFonts w:ascii="Times New Roman" w:cs="Times New Roman" w:eastAsia="Times New Roman" w:hAnsi="Times New Roman"/>
          <w:sz w:val="20"/>
          <w:szCs w:val="20"/>
          <w:color w:val="auto"/>
        </w:rPr>
        <w:t>On at least an annual basis, management provides an update to the Audit Committee regarding critical cybersecurity risks and ongoing cybersecurity initiatives and strategies. We have implemented a process for significant cybersecurity matters and strategic risk management decisions related to cyber risks to be escalated to the GRC Committee and/or the Audit Committee, as appropriate.</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2. Properties</w:t>
      </w:r>
    </w:p>
    <w:p>
      <w:pPr>
        <w:spacing w:after="0" w:line="137" w:lineRule="exact"/>
        <w:rPr>
          <w:sz w:val="20"/>
          <w:szCs w:val="20"/>
          <w:color w:val="auto"/>
        </w:rPr>
      </w:pPr>
    </w:p>
    <w:p>
      <w:pPr>
        <w:jc w:val="both"/>
        <w:ind w:right="20" w:firstLine="720"/>
        <w:spacing w:after="0" w:line="234" w:lineRule="auto"/>
        <w:rPr>
          <w:sz w:val="20"/>
          <w:szCs w:val="20"/>
          <w:color w:val="auto"/>
        </w:rPr>
      </w:pPr>
      <w:r>
        <w:rPr>
          <w:rFonts w:ascii="Times New Roman" w:cs="Times New Roman" w:eastAsia="Times New Roman" w:hAnsi="Times New Roman"/>
          <w:sz w:val="20"/>
          <w:szCs w:val="20"/>
          <w:color w:val="auto"/>
        </w:rPr>
        <w:t>Our UK corporate registered office is 3</w:t>
      </w:r>
      <w:r>
        <w:rPr>
          <w:rFonts w:ascii="Times New Roman" w:cs="Times New Roman" w:eastAsia="Times New Roman" w:hAnsi="Times New Roman"/>
          <w:sz w:val="26"/>
          <w:szCs w:val="26"/>
          <w:color w:val="auto"/>
          <w:vertAlign w:val="superscript"/>
        </w:rPr>
        <w:t>rd</w:t>
      </w:r>
      <w:r>
        <w:rPr>
          <w:rFonts w:ascii="Times New Roman" w:cs="Times New Roman" w:eastAsia="Times New Roman" w:hAnsi="Times New Roman"/>
          <w:sz w:val="20"/>
          <w:szCs w:val="20"/>
          <w:color w:val="auto"/>
        </w:rPr>
        <w:t xml:space="preserve"> Floor, 1 Ashley Road, Altrincham, Cheshire, United Kingdom WA14 2DT. On February 7, 2022, we entered into a 10-year lease for approximately 18,922 square feet of office space in Boston, Massachusetts. After a build out of the space, the Boston Lease commenced on March 31, 2023. On October 11, 2023, the</w:t>
      </w:r>
    </w:p>
    <w:p>
      <w:pPr>
        <w:sectPr>
          <w:pgSz w:w="12240" w:h="15840" w:orient="portrait"/>
          <w:cols w:equalWidth="0" w:num="1">
            <w:col w:w="9900"/>
          </w:cols>
          <w:pgMar w:left="1180" w:top="208" w:right="1160" w:bottom="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110</w:t>
      </w:r>
    </w:p>
    <w:p>
      <w:pPr>
        <w:sectPr>
          <w:pgSz w:w="12240" w:h="15840" w:orient="portrait"/>
          <w:cols w:equalWidth="0" w:num="1">
            <w:col w:w="9900"/>
          </w:cols>
          <w:pgMar w:left="1180" w:top="208" w:right="1160" w:bottom="0" w:gutter="0" w:footer="0" w:header="0"/>
          <w:type w:val="continuous"/>
        </w:sectPr>
      </w:pPr>
    </w:p>
    <w:bookmarkStart w:id="110" w:name="page111"/>
    <w:bookmarkEnd w:id="110"/>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40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Company entered into a five-year agreement to sublet 4,242 square feet of the Boston Lease, which may be extended at subtenant’s option. The Boston leased premises serve as our U.S. corporate registered office. We continue to operate in a hybrid working model, combining in-person working and remote working.</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3. Legal Proceedings</w:t>
      </w:r>
    </w:p>
    <w:p>
      <w:pPr>
        <w:spacing w:after="0" w:line="13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None.</w:t>
      </w:r>
    </w:p>
    <w:p>
      <w:pPr>
        <w:spacing w:after="0" w:line="363" w:lineRule="exact"/>
        <w:rPr>
          <w:sz w:val="20"/>
          <w:szCs w:val="20"/>
          <w:color w:val="auto"/>
        </w:rPr>
      </w:pPr>
    </w:p>
    <w:p>
      <w:pPr>
        <w:jc w:val="center"/>
        <w:ind w:right="7200"/>
        <w:spacing w:after="0"/>
        <w:rPr>
          <w:sz w:val="20"/>
          <w:szCs w:val="20"/>
          <w:color w:val="auto"/>
        </w:rPr>
      </w:pPr>
      <w:r>
        <w:rPr>
          <w:rFonts w:ascii="Times New Roman" w:cs="Times New Roman" w:eastAsia="Times New Roman" w:hAnsi="Times New Roman"/>
          <w:sz w:val="19"/>
          <w:szCs w:val="19"/>
          <w:b w:val="1"/>
          <w:bCs w:val="1"/>
          <w:color w:val="auto"/>
        </w:rPr>
        <w:t>Item 4. Mine Safety Disclosures</w:t>
      </w:r>
    </w:p>
    <w:p>
      <w:pPr>
        <w:spacing w:after="0" w:line="149" w:lineRule="exact"/>
        <w:rPr>
          <w:sz w:val="20"/>
          <w:szCs w:val="20"/>
          <w:color w:val="auto"/>
        </w:rPr>
      </w:pPr>
    </w:p>
    <w:p>
      <w:pPr>
        <w:jc w:val="center"/>
        <w:ind w:right="7220"/>
        <w:spacing w:after="0"/>
        <w:rPr>
          <w:sz w:val="20"/>
          <w:szCs w:val="20"/>
          <w:color w:val="auto"/>
        </w:rPr>
      </w:pPr>
      <w:r>
        <w:rPr>
          <w:rFonts w:ascii="Times New Roman" w:cs="Times New Roman" w:eastAsia="Times New Roman" w:hAnsi="Times New Roman"/>
          <w:sz w:val="20"/>
          <w:szCs w:val="20"/>
          <w:color w:val="auto"/>
        </w:rPr>
        <w:t>Not applicable.</w:t>
      </w:r>
    </w:p>
    <w:p>
      <w:pPr>
        <w:sectPr>
          <w:pgSz w:w="12240" w:h="15840" w:orient="portrait"/>
          <w:cols w:equalWidth="0" w:num="1">
            <w:col w:w="9880"/>
          </w:cols>
          <w:pgMar w:left="1180" w:top="20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111</w:t>
      </w:r>
    </w:p>
    <w:p>
      <w:pPr>
        <w:sectPr>
          <w:pgSz w:w="12240" w:h="15840" w:orient="portrait"/>
          <w:cols w:equalWidth="0" w:num="1">
            <w:col w:w="9880"/>
          </w:cols>
          <w:pgMar w:left="1180" w:top="208" w:right="1180" w:bottom="0" w:gutter="0" w:footer="0" w:header="0"/>
          <w:type w:val="continuous"/>
        </w:sectPr>
      </w:pPr>
    </w:p>
    <w:bookmarkStart w:id="111" w:name="page112"/>
    <w:bookmarkEnd w:id="111"/>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PART II</w:t>
      </w:r>
    </w:p>
    <w:p>
      <w:pPr>
        <w:spacing w:after="0" w:line="370"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20"/>
          <w:szCs w:val="20"/>
          <w:b w:val="1"/>
          <w:bCs w:val="1"/>
          <w:color w:val="auto"/>
        </w:rPr>
        <w:t>Item 5. Market for Registrant's Common Equity, Related Stockholder Matters and Issuer Purchases of Equity Securities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Market Information</w:t>
      </w:r>
    </w:p>
    <w:p>
      <w:pPr>
        <w:spacing w:after="0" w:line="139"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0"/>
          <w:szCs w:val="20"/>
          <w:color w:val="auto"/>
        </w:rPr>
        <w:t>Our American Depositary Shares (“ADSs”), which represent an ordinary share in Centessa, are listed on The NASDAQ Global Select Market under the symbol CNTA. As of March 17, 2026, there were approximately four registered holders of record of Centessa’s ordinary shares, which include shares of record held by banks, brokers, and other financial institutions on behalf of beneficial owners. The transfer agent of our ADSs is Citibank Shareholder Services, whose telephone numbers are U.S. Toll Free: 1 (877) 248-4237 &amp; International Tel: 1 (781) 575-4555.</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Dividend Policy</w:t>
      </w:r>
    </w:p>
    <w:p>
      <w:pPr>
        <w:spacing w:after="0" w:line="139" w:lineRule="exact"/>
        <w:rPr>
          <w:sz w:val="20"/>
          <w:szCs w:val="20"/>
          <w:color w:val="auto"/>
        </w:rPr>
      </w:pPr>
    </w:p>
    <w:p>
      <w:pPr>
        <w:jc w:val="both"/>
        <w:ind w:right="20" w:firstLine="720"/>
        <w:spacing w:after="0" w:line="260" w:lineRule="auto"/>
        <w:rPr>
          <w:sz w:val="20"/>
          <w:szCs w:val="20"/>
          <w:color w:val="auto"/>
        </w:rPr>
      </w:pPr>
      <w:r>
        <w:rPr>
          <w:rFonts w:ascii="Times New Roman" w:cs="Times New Roman" w:eastAsia="Times New Roman" w:hAnsi="Times New Roman"/>
          <w:sz w:val="20"/>
          <w:szCs w:val="20"/>
          <w:color w:val="auto"/>
        </w:rPr>
        <w:t>We have not declared or paid any dividends to our shareholders on our ordinary shares or our convertible preferred shares. We currently intend to retain all available funds and any future earnings, if any, to fund the development and expansion of our business and we do not anticipate paying any cash dividends in the foreseeable future. Investors should not purchase the ADSs with the expectation of receiving cash dividends.</w:t>
      </w:r>
    </w:p>
    <w:p>
      <w:pPr>
        <w:spacing w:after="0" w:line="203"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Any future determination to pay dividends will be made at the discretion of our board of directors and may be based on a number of factors, including our future operations and earnings, capital requirements and surplus, general financial condition, contractual restrictions and other factors that our board of directors may deem relevant. In addition, our ability to pay dividends may be limited under English law. See “Risk Factors—</w:t>
      </w:r>
      <w:r>
        <w:rPr>
          <w:rFonts w:ascii="Times New Roman" w:cs="Times New Roman" w:eastAsia="Times New Roman" w:hAnsi="Times New Roman"/>
          <w:sz w:val="20"/>
          <w:szCs w:val="20"/>
          <w:b w:val="1"/>
          <w:bCs w:val="1"/>
          <w:i w:val="1"/>
          <w:iCs w:val="1"/>
          <w:color w:val="auto"/>
        </w:rPr>
        <w:t>We do not intend to pay dividends on our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ordinary shares, so any returns will be limited to the value of our ordinary shares or ADSs</w:t>
      </w:r>
      <w:r>
        <w:rPr>
          <w:rFonts w:ascii="Times New Roman" w:cs="Times New Roman" w:eastAsia="Times New Roman" w:hAnsi="Times New Roman"/>
          <w:sz w:val="20"/>
          <w:szCs w:val="20"/>
          <w:color w:val="auto"/>
        </w:rPr>
        <w:t>.” If we pay any dividends, ADS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holders will generally have the right to receive the dividends paid on the underlying ordinary shares, subject to the terms of the deposit agreement, including the fees and expenses payable thereunder.</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Equity Compensation Information</w:t>
      </w:r>
    </w:p>
    <w:p>
      <w:pPr>
        <w:spacing w:after="0" w:line="139" w:lineRule="exact"/>
        <w:rPr>
          <w:sz w:val="20"/>
          <w:szCs w:val="20"/>
          <w:color w:val="auto"/>
        </w:rPr>
      </w:pPr>
    </w:p>
    <w:p>
      <w:pPr>
        <w:jc w:val="both"/>
        <w:ind w:right="20" w:firstLine="720"/>
        <w:spacing w:after="0" w:line="281" w:lineRule="auto"/>
        <w:rPr>
          <w:sz w:val="20"/>
          <w:szCs w:val="20"/>
          <w:color w:val="auto"/>
        </w:rPr>
      </w:pPr>
      <w:r>
        <w:rPr>
          <w:rFonts w:ascii="Times New Roman" w:cs="Times New Roman" w:eastAsia="Times New Roman" w:hAnsi="Times New Roman"/>
          <w:sz w:val="20"/>
          <w:szCs w:val="20"/>
          <w:color w:val="auto"/>
        </w:rPr>
        <w:t>The information required by this item regarding equity compensation plans is incorporated by reference to the information set forth in Item 13 of this Annual Report on Form 10-K.</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Recent Sales of Unregistered Securities</w:t>
      </w:r>
    </w:p>
    <w:p>
      <w:pPr>
        <w:spacing w:after="0" w:line="13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Not applicable.</w:t>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Purchases of Equity Securities by the Issuer and Affiliated Purchasers</w:t>
      </w:r>
    </w:p>
    <w:p>
      <w:pPr>
        <w:spacing w:after="0" w:line="13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Not applicable.</w:t>
      </w: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6. [Reserved.]</w:t>
      </w:r>
    </w:p>
    <w:p>
      <w:pPr>
        <w:sectPr>
          <w:pgSz w:w="12240" w:h="15840" w:orient="portrait"/>
          <w:cols w:equalWidth="0" w:num="1">
            <w:col w:w="9900"/>
          </w:cols>
          <w:pgMar w:left="1180" w:top="20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112</w:t>
      </w:r>
    </w:p>
    <w:p>
      <w:pPr>
        <w:sectPr>
          <w:pgSz w:w="12240" w:h="15840" w:orient="portrait"/>
          <w:cols w:equalWidth="0" w:num="1">
            <w:col w:w="9900"/>
          </w:cols>
          <w:pgMar w:left="1180" w:top="208" w:right="1160" w:bottom="0" w:gutter="0" w:footer="0" w:header="0"/>
          <w:type w:val="continuous"/>
        </w:sectPr>
      </w:pPr>
    </w:p>
    <w:bookmarkStart w:id="112" w:name="page113"/>
    <w:bookmarkEnd w:id="112"/>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7. Management’s Discussion and Analysis of Financial Condition and Results of Operations</w:t>
      </w:r>
    </w:p>
    <w:p>
      <w:pPr>
        <w:spacing w:after="0" w:line="13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20"/>
          <w:szCs w:val="20"/>
          <w:b w:val="1"/>
          <w:bCs w:val="1"/>
          <w:i w:val="1"/>
          <w:iCs w:val="1"/>
          <w:color w:val="auto"/>
        </w:rPr>
        <w:t>The following discussion and analysis should be read in conjunction with the consolidated financial statements and related notes thereto of Centessa Pharmaceuticals plc, included elsewhere herein.</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137" w:lineRule="exact"/>
        <w:rPr>
          <w:sz w:val="20"/>
          <w:szCs w:val="20"/>
          <w:color w:val="auto"/>
        </w:rPr>
      </w:pPr>
    </w:p>
    <w:p>
      <w:pPr>
        <w:jc w:val="both"/>
        <w:ind w:right="20" w:firstLine="720"/>
        <w:spacing w:after="0" w:line="255" w:lineRule="auto"/>
        <w:rPr>
          <w:sz w:val="20"/>
          <w:szCs w:val="20"/>
          <w:color w:val="auto"/>
        </w:rPr>
      </w:pPr>
      <w:r>
        <w:rPr>
          <w:rFonts w:ascii="Times New Roman" w:cs="Times New Roman" w:eastAsia="Times New Roman" w:hAnsi="Times New Roman"/>
          <w:sz w:val="20"/>
          <w:szCs w:val="20"/>
          <w:color w:val="auto"/>
        </w:rPr>
        <w:t>We are a clinical-stage biotechnology company pioneering a new class of therapeutics in orexin-based neuroscience. We are developing a franchise of small molecule orexin receptor 2 (OX2R) agonists designed to address neuroscience diseases underpinned by dysregulation of wakefulness, attention, cognition, mood, and other symptoms, each grounded in the shared biology of the orexin pathway. Our OX2R agonist pipeline includes cleminorexton, our most advanced OX2R agonist development candidate, ORX142, ORX489, and other OX2R agonists in preclinical development, and research efforts on differentiated pharmacology associated with the activation of the orexin system. We also have an early-stage immuno-oncology program focused on our novel LockBody® technology platform.</w:t>
      </w:r>
    </w:p>
    <w:p>
      <w:pPr>
        <w:spacing w:after="0" w:line="90" w:lineRule="exact"/>
        <w:rPr>
          <w:sz w:val="20"/>
          <w:szCs w:val="20"/>
          <w:color w:val="auto"/>
        </w:rPr>
      </w:pPr>
    </w:p>
    <w:p>
      <w:pPr>
        <w:jc w:val="both"/>
        <w:ind w:right="20" w:firstLine="720"/>
        <w:spacing w:after="0" w:line="281" w:lineRule="auto"/>
        <w:rPr>
          <w:sz w:val="20"/>
          <w:szCs w:val="20"/>
          <w:color w:val="auto"/>
        </w:rPr>
      </w:pPr>
      <w:r>
        <w:rPr>
          <w:rFonts w:ascii="Times New Roman" w:cs="Times New Roman" w:eastAsia="Times New Roman" w:hAnsi="Times New Roman"/>
          <w:sz w:val="20"/>
          <w:szCs w:val="20"/>
          <w:color w:val="auto"/>
        </w:rPr>
        <w:t>We own worldwide rights to all of our pipeline programs and may opportunistically evaluate and enter into strategic partnerships around certain product candidates, targets, geographies, or disease areas.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The Proposed Lilly Transaction</w:t>
      </w:r>
    </w:p>
    <w:p>
      <w:pPr>
        <w:spacing w:after="0" w:line="137" w:lineRule="exact"/>
        <w:rPr>
          <w:sz w:val="20"/>
          <w:szCs w:val="20"/>
          <w:color w:val="auto"/>
        </w:rPr>
      </w:pPr>
    </w:p>
    <w:p>
      <w:pPr>
        <w:jc w:val="both"/>
        <w:ind w:firstLine="720"/>
        <w:spacing w:after="0" w:line="253" w:lineRule="auto"/>
        <w:rPr>
          <w:sz w:val="20"/>
          <w:szCs w:val="20"/>
          <w:color w:val="auto"/>
        </w:rPr>
      </w:pPr>
      <w:r>
        <w:rPr>
          <w:rFonts w:ascii="Times New Roman" w:cs="Times New Roman" w:eastAsia="Times New Roman" w:hAnsi="Times New Roman"/>
          <w:sz w:val="20"/>
          <w:szCs w:val="20"/>
          <w:color w:val="auto"/>
        </w:rPr>
        <w:t>On March 31, 2026, we entered into a Transaction Agreement with Lilly and Purchaser, pursuant to which Purchaser (and/or at Parent’s election its nominee(s)), will acquire our entire issued and to be issued share capital (including shares represented by our ADSs) pursuant to the Scheme of Arrangement, for $38.00 in cash, without interest, plus one non-transferable contingent value right entitling the holders to receive up to three contingent cash payments of up to an aggregate of $9.00 per Company Share, contingent upon the achievement of specified milestones set forth in the CVR Agreement. The Transaction is expected to close in the third quarter of 2026, subject to certain customary closing conditions, including the approval of the Scheme of Arrangement by our shareholders, the sanction of the Scheme of Arrangement by the High Court of Justice of England and Wales and receipt of the required regulatory approvals. See “Note 12 – Subsequent events” to our audited consolidated financial statements included elsewhere in this Form 10-K for additional information regarding the Transaction.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Liquidity and Capital Resources</w:t>
      </w:r>
    </w:p>
    <w:p>
      <w:pPr>
        <w:spacing w:after="0" w:line="134" w:lineRule="exact"/>
        <w:rPr>
          <w:sz w:val="20"/>
          <w:szCs w:val="20"/>
          <w:color w:val="auto"/>
        </w:rPr>
      </w:pPr>
    </w:p>
    <w:p>
      <w:pPr>
        <w:jc w:val="both"/>
        <w:ind w:firstLine="720"/>
        <w:spacing w:after="0" w:line="267" w:lineRule="auto"/>
        <w:rPr>
          <w:sz w:val="20"/>
          <w:szCs w:val="20"/>
          <w:color w:val="auto"/>
        </w:rPr>
      </w:pPr>
      <w:r>
        <w:rPr>
          <w:rFonts w:ascii="Times New Roman" w:cs="Times New Roman" w:eastAsia="Times New Roman" w:hAnsi="Times New Roman"/>
          <w:sz w:val="19"/>
          <w:szCs w:val="19"/>
          <w:color w:val="auto"/>
        </w:rPr>
        <w:t>As of December 31, 2025, we had cash, cash equivalents, and investments of $577.1 million. Since inception, we have devoted substantially all of our resources to acquiring and developing product and technology rights, conducting research and development in its discovery and enabling stages, in our clinical and preclinical trials, business operations and raising capital. We have incurred recurring losses and negative cash flows from operations since inception and have funded operations primarily through the sale and issuance of our equity securities and debt. The ability to generate product revenue sufficient to achieve profitability will depend heavily on the successful development and eventual commercialization of current or future product candidates. We expect to continue to incur significant expenses and operating losses for the foreseeable future in connection with ongoing development activities related to the portfolio of programs as we advance the preclinical and clinical development of product candidates; perform research activities as we seek to discover and develop additional programs and product candidates; carry out maintenance, expansion enforcement, defense, and protection of our intellectual property portfolio; and hire additional research and development, clinical and commercial personnel. Further, inflation may affect our use of capital resources by increasing our cost of labor, research, manufacturing and clinical trial expenses. Based on our current operating model and development plans, we expect cash, cash equivalents, and investments as of December 31, 2025 of $577.1 million, to fund our planned operations into mid-2028.</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Components of Results of Operations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Revenues</w:t>
      </w:r>
    </w:p>
    <w:p>
      <w:pPr>
        <w:spacing w:after="0" w:line="139" w:lineRule="exact"/>
        <w:rPr>
          <w:sz w:val="20"/>
          <w:szCs w:val="20"/>
          <w:color w:val="auto"/>
        </w:rPr>
      </w:pPr>
    </w:p>
    <w:p>
      <w:pPr>
        <w:jc w:val="both"/>
        <w:ind w:firstLine="720"/>
        <w:spacing w:after="0" w:line="260" w:lineRule="auto"/>
        <w:rPr>
          <w:sz w:val="20"/>
          <w:szCs w:val="20"/>
          <w:color w:val="auto"/>
        </w:rPr>
      </w:pPr>
      <w:r>
        <w:rPr>
          <w:rFonts w:ascii="Times New Roman" w:cs="Times New Roman" w:eastAsia="Times New Roman" w:hAnsi="Times New Roman"/>
          <w:sz w:val="20"/>
          <w:szCs w:val="20"/>
          <w:color w:val="auto"/>
        </w:rPr>
        <w:t>While we received non-recurring revenue related to out-licensing in the past (including most recently the limited out-license of the LockBody technology platform to Genmab for up to three targets earlier this year), our ability to generate recurring product revenue and to become profitable will depend upon the ability to successfully develop, obtain regulatory approval and commercialize any current and future product candidates. Because of the numerous risks and uncertainties</w:t>
      </w:r>
    </w:p>
    <w:p>
      <w:pPr>
        <w:sectPr>
          <w:pgSz w:w="12240" w:h="15840" w:orient="portrait"/>
          <w:cols w:equalWidth="0" w:num="1">
            <w:col w:w="9900"/>
          </w:cols>
          <w:pgMar w:left="1180" w:top="20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113</w:t>
      </w:r>
    </w:p>
    <w:p>
      <w:pPr>
        <w:sectPr>
          <w:pgSz w:w="12240" w:h="15840" w:orient="portrait"/>
          <w:cols w:equalWidth="0" w:num="1">
            <w:col w:w="9900"/>
          </w:cols>
          <w:pgMar w:left="1180" w:top="208" w:right="1160" w:bottom="0" w:gutter="0" w:footer="0" w:header="0"/>
          <w:type w:val="continuous"/>
        </w:sectPr>
      </w:pPr>
    </w:p>
    <w:bookmarkStart w:id="113" w:name="page114"/>
    <w:bookmarkEnd w:id="113"/>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400"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associated with product development and regulatory approval, we are unable to predict the amount or timing of product revenue.</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Research and Development Expenses</w:t>
      </w:r>
    </w:p>
    <w:p>
      <w:pPr>
        <w:spacing w:after="0" w:line="139" w:lineRule="exact"/>
        <w:rPr>
          <w:sz w:val="20"/>
          <w:szCs w:val="20"/>
          <w:color w:val="auto"/>
        </w:rPr>
      </w:pPr>
    </w:p>
    <w:p>
      <w:pPr>
        <w:jc w:val="both"/>
        <w:ind w:firstLine="720"/>
        <w:spacing w:after="0" w:line="266" w:lineRule="auto"/>
        <w:rPr>
          <w:sz w:val="20"/>
          <w:szCs w:val="20"/>
          <w:color w:val="auto"/>
        </w:rPr>
      </w:pPr>
      <w:r>
        <w:rPr>
          <w:rFonts w:ascii="Times New Roman" w:cs="Times New Roman" w:eastAsia="Times New Roman" w:hAnsi="Times New Roman"/>
          <w:sz w:val="20"/>
          <w:szCs w:val="20"/>
          <w:color w:val="auto"/>
        </w:rPr>
        <w:t>Research and development expenses consist primarily of costs incurred in connection with the discovery and development of the Company’s clinical and preclinical programs, net of reimbursements. Research and development costs are expensed as incurred. These expenses include:</w:t>
      </w:r>
    </w:p>
    <w:p>
      <w:pPr>
        <w:spacing w:after="0" w:line="75" w:lineRule="exact"/>
        <w:rPr>
          <w:sz w:val="20"/>
          <w:szCs w:val="20"/>
          <w:color w:val="auto"/>
        </w:rPr>
      </w:pPr>
    </w:p>
    <w:p>
      <w:pPr>
        <w:ind w:left="1080" w:right="20" w:hanging="370"/>
        <w:spacing w:after="0" w:line="281" w:lineRule="auto"/>
        <w:tabs>
          <w:tab w:leader="none" w:pos="108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expenses incurred to conduct the necessary preclinical studies and clinical trials required to obtain regulatory approval;</w:t>
      </w:r>
    </w:p>
    <w:p>
      <w:pPr>
        <w:spacing w:after="0" w:line="61" w:lineRule="exact"/>
        <w:rPr>
          <w:rFonts w:ascii="Times New Roman" w:cs="Times New Roman" w:eastAsia="Times New Roman" w:hAnsi="Times New Roman"/>
          <w:sz w:val="20"/>
          <w:szCs w:val="20"/>
          <w:color w:val="auto"/>
        </w:rPr>
      </w:pPr>
    </w:p>
    <w:p>
      <w:pPr>
        <w:ind w:left="1080" w:hanging="370"/>
        <w:spacing w:after="0"/>
        <w:tabs>
          <w:tab w:leader="none" w:pos="108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milestone payments pursuant to the license agreements;</w:t>
      </w:r>
    </w:p>
    <w:p>
      <w:pPr>
        <w:spacing w:after="0" w:line="130" w:lineRule="exact"/>
        <w:rPr>
          <w:rFonts w:ascii="Times New Roman" w:cs="Times New Roman" w:eastAsia="Times New Roman" w:hAnsi="Times New Roman"/>
          <w:sz w:val="20"/>
          <w:szCs w:val="20"/>
          <w:color w:val="auto"/>
        </w:rPr>
      </w:pPr>
    </w:p>
    <w:p>
      <w:pPr>
        <w:ind w:left="1080" w:right="20" w:hanging="370"/>
        <w:spacing w:after="0" w:line="281" w:lineRule="auto"/>
        <w:tabs>
          <w:tab w:leader="none" w:pos="108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personnel expenses, including salaries, benefits and share-based compensation expense for employees engaged in research and development functions;</w:t>
      </w:r>
    </w:p>
    <w:p>
      <w:pPr>
        <w:spacing w:after="0" w:line="61" w:lineRule="exact"/>
        <w:rPr>
          <w:rFonts w:ascii="Times New Roman" w:cs="Times New Roman" w:eastAsia="Times New Roman" w:hAnsi="Times New Roman"/>
          <w:sz w:val="20"/>
          <w:szCs w:val="20"/>
          <w:color w:val="auto"/>
        </w:rPr>
      </w:pPr>
    </w:p>
    <w:p>
      <w:pPr>
        <w:jc w:val="both"/>
        <w:ind w:left="1080" w:right="20" w:hanging="370"/>
        <w:spacing w:after="0" w:line="266" w:lineRule="auto"/>
        <w:tabs>
          <w:tab w:leader="none" w:pos="108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costs of funding research and development performed by third parties, including pursuant to agreements with contract research organizations ("CROs") for active and discontinued programs, as well as investigative sites and consultants that conduct preclinical studies and clinical trials;</w:t>
      </w:r>
    </w:p>
    <w:p>
      <w:pPr>
        <w:spacing w:after="0" w:line="75" w:lineRule="exact"/>
        <w:rPr>
          <w:rFonts w:ascii="Times New Roman" w:cs="Times New Roman" w:eastAsia="Times New Roman" w:hAnsi="Times New Roman"/>
          <w:sz w:val="20"/>
          <w:szCs w:val="20"/>
          <w:color w:val="auto"/>
        </w:rPr>
      </w:pPr>
    </w:p>
    <w:p>
      <w:pPr>
        <w:jc w:val="both"/>
        <w:ind w:left="1080" w:right="20" w:hanging="370"/>
        <w:spacing w:after="0" w:line="266" w:lineRule="auto"/>
        <w:tabs>
          <w:tab w:leader="none" w:pos="108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expenses incurred under agreements with contract manufacturing organizations (“CMOs”), including committed costs for discontinued programs, manufacturing scale-up expenses and the cost of acquiring and manufacturing preclinical study and clinical trial materials;</w:t>
      </w:r>
    </w:p>
    <w:p>
      <w:pPr>
        <w:spacing w:after="0" w:line="75" w:lineRule="exact"/>
        <w:rPr>
          <w:rFonts w:ascii="Times New Roman" w:cs="Times New Roman" w:eastAsia="Times New Roman" w:hAnsi="Times New Roman"/>
          <w:sz w:val="20"/>
          <w:szCs w:val="20"/>
          <w:color w:val="auto"/>
        </w:rPr>
      </w:pPr>
    </w:p>
    <w:p>
      <w:pPr>
        <w:ind w:left="1080" w:hanging="370"/>
        <w:spacing w:after="0"/>
        <w:tabs>
          <w:tab w:leader="none" w:pos="108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fees paid to consultants who assist with research and development activities;</w:t>
      </w:r>
    </w:p>
    <w:p>
      <w:pPr>
        <w:spacing w:after="0" w:line="130" w:lineRule="exact"/>
        <w:rPr>
          <w:rFonts w:ascii="Times New Roman" w:cs="Times New Roman" w:eastAsia="Times New Roman" w:hAnsi="Times New Roman"/>
          <w:sz w:val="20"/>
          <w:szCs w:val="20"/>
          <w:color w:val="auto"/>
        </w:rPr>
      </w:pPr>
    </w:p>
    <w:p>
      <w:pPr>
        <w:ind w:left="1080" w:hanging="370"/>
        <w:spacing w:after="0"/>
        <w:tabs>
          <w:tab w:leader="none" w:pos="108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expenses related to regulatory activities, including filing fees paid to regulatory agencies; and</w:t>
      </w:r>
    </w:p>
    <w:p>
      <w:pPr>
        <w:spacing w:after="0" w:line="130" w:lineRule="exact"/>
        <w:rPr>
          <w:rFonts w:ascii="Times New Roman" w:cs="Times New Roman" w:eastAsia="Times New Roman" w:hAnsi="Times New Roman"/>
          <w:sz w:val="20"/>
          <w:szCs w:val="20"/>
          <w:color w:val="auto"/>
        </w:rPr>
      </w:pPr>
    </w:p>
    <w:p>
      <w:pPr>
        <w:ind w:left="1080" w:hanging="370"/>
        <w:spacing w:after="0"/>
        <w:tabs>
          <w:tab w:leader="none" w:pos="108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allocated expenses for facility costs, including rent, utilities, maintenance.</w:t>
      </w:r>
    </w:p>
    <w:p>
      <w:pPr>
        <w:spacing w:after="0" w:line="250" w:lineRule="exact"/>
        <w:rPr>
          <w:sz w:val="20"/>
          <w:szCs w:val="20"/>
          <w:color w:val="auto"/>
        </w:rPr>
      </w:pPr>
    </w:p>
    <w:p>
      <w:pPr>
        <w:jc w:val="both"/>
        <w:ind w:right="20" w:firstLine="720"/>
        <w:spacing w:after="0" w:line="256" w:lineRule="auto"/>
        <w:rPr>
          <w:sz w:val="20"/>
          <w:szCs w:val="20"/>
          <w:color w:val="auto"/>
        </w:rPr>
      </w:pPr>
      <w:r>
        <w:rPr>
          <w:rFonts w:ascii="Times New Roman" w:cs="Times New Roman" w:eastAsia="Times New Roman" w:hAnsi="Times New Roman"/>
          <w:sz w:val="20"/>
          <w:szCs w:val="20"/>
          <w:color w:val="auto"/>
        </w:rPr>
        <w:t>Research and development activities are central to our business model. Product candidates in later stages of clinical development will generally have higher development costs than those in earlier stages of clinical development, primarily due to the increased size and duration of later-stage clinical trials. We expect research and development expenses to increase significantly over the next several years due to increases in personnel costs, including share-based compensation, increases in costs to conduct clinical trials for current product candidates and other clinical trials for future product candidates and costs to prepare regulatory filings for any product candidates.</w:t>
      </w:r>
    </w:p>
    <w:p>
      <w:pPr>
        <w:spacing w:after="0" w:line="208" w:lineRule="exact"/>
        <w:rPr>
          <w:sz w:val="20"/>
          <w:szCs w:val="20"/>
          <w:color w:val="auto"/>
        </w:rPr>
      </w:pPr>
    </w:p>
    <w:p>
      <w:pPr>
        <w:jc w:val="both"/>
        <w:ind w:right="20" w:firstLine="720"/>
        <w:spacing w:after="0" w:line="258" w:lineRule="auto"/>
        <w:rPr>
          <w:sz w:val="20"/>
          <w:szCs w:val="20"/>
          <w:color w:val="auto"/>
        </w:rPr>
      </w:pPr>
      <w:r>
        <w:rPr>
          <w:rFonts w:ascii="Times New Roman" w:cs="Times New Roman" w:eastAsia="Times New Roman" w:hAnsi="Times New Roman"/>
          <w:sz w:val="20"/>
          <w:szCs w:val="20"/>
          <w:color w:val="auto"/>
        </w:rPr>
        <w:t>The successful development of our current or future product candidates is highly uncertain. At this time, we cannot reasonably estimate or know the nature, timing and costs of the efforts that will be necessary to complete the remainder of the development of current or future product candidates, or when, if ever, material net cash inflows may commence from product candidates. This uncertainty is due to the numerous risks and uncertainties associated with the duration and cost of clinical trials, which vary significantly over the life of a project as a result of many factors, including:</w:t>
      </w:r>
    </w:p>
    <w:p>
      <w:pPr>
        <w:spacing w:after="0" w:line="84" w:lineRule="exact"/>
        <w:rPr>
          <w:sz w:val="20"/>
          <w:szCs w:val="20"/>
          <w:color w:val="auto"/>
        </w:rPr>
      </w:pPr>
    </w:p>
    <w:p>
      <w:pPr>
        <w:ind w:left="1080" w:hanging="370"/>
        <w:spacing w:after="0" w:line="281" w:lineRule="auto"/>
        <w:tabs>
          <w:tab w:leader="none" w:pos="108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delays in regulators or institutional review boards authorizing us or its investigators to commence our clinical trials, or in our ability to negotiate agreements with clinical trial sites or CROs;</w:t>
      </w:r>
    </w:p>
    <w:p>
      <w:pPr>
        <w:spacing w:after="0" w:line="61" w:lineRule="exact"/>
        <w:rPr>
          <w:rFonts w:ascii="Times New Roman" w:cs="Times New Roman" w:eastAsia="Times New Roman" w:hAnsi="Times New Roman"/>
          <w:sz w:val="20"/>
          <w:szCs w:val="20"/>
          <w:color w:val="auto"/>
        </w:rPr>
      </w:pPr>
    </w:p>
    <w:p>
      <w:pPr>
        <w:ind w:left="1080" w:hanging="370"/>
        <w:spacing w:after="0"/>
        <w:tabs>
          <w:tab w:leader="none" w:pos="108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ability to secure adequate supply of product candidates for trials;</w:t>
      </w:r>
    </w:p>
    <w:p>
      <w:pPr>
        <w:spacing w:after="0" w:line="130" w:lineRule="exact"/>
        <w:rPr>
          <w:rFonts w:ascii="Times New Roman" w:cs="Times New Roman" w:eastAsia="Times New Roman" w:hAnsi="Times New Roman"/>
          <w:sz w:val="20"/>
          <w:szCs w:val="20"/>
          <w:color w:val="auto"/>
        </w:rPr>
      </w:pPr>
    </w:p>
    <w:p>
      <w:pPr>
        <w:ind w:left="1080" w:hanging="370"/>
        <w:spacing w:after="0"/>
        <w:tabs>
          <w:tab w:leader="none" w:pos="108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number of clinical sites included in the trials;</w:t>
      </w:r>
    </w:p>
    <w:p>
      <w:pPr>
        <w:spacing w:after="0" w:line="130" w:lineRule="exact"/>
        <w:rPr>
          <w:rFonts w:ascii="Times New Roman" w:cs="Times New Roman" w:eastAsia="Times New Roman" w:hAnsi="Times New Roman"/>
          <w:sz w:val="20"/>
          <w:szCs w:val="20"/>
          <w:color w:val="auto"/>
        </w:rPr>
      </w:pPr>
    </w:p>
    <w:p>
      <w:pPr>
        <w:ind w:left="1080" w:hanging="370"/>
        <w:spacing w:after="0"/>
        <w:tabs>
          <w:tab w:leader="none" w:pos="108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ability and the length of time required to enroll suitable patients;</w:t>
      </w:r>
    </w:p>
    <w:p>
      <w:pPr>
        <w:spacing w:after="0" w:line="130" w:lineRule="exact"/>
        <w:rPr>
          <w:rFonts w:ascii="Times New Roman" w:cs="Times New Roman" w:eastAsia="Times New Roman" w:hAnsi="Times New Roman"/>
          <w:sz w:val="20"/>
          <w:szCs w:val="20"/>
          <w:color w:val="auto"/>
        </w:rPr>
      </w:pPr>
    </w:p>
    <w:p>
      <w:pPr>
        <w:ind w:left="1080" w:hanging="370"/>
        <w:spacing w:after="0"/>
        <w:tabs>
          <w:tab w:leader="none" w:pos="108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number of patients that ultimately participate and remain in the trials;</w:t>
      </w:r>
    </w:p>
    <w:p>
      <w:pPr>
        <w:spacing w:after="0" w:line="130" w:lineRule="exact"/>
        <w:rPr>
          <w:rFonts w:ascii="Times New Roman" w:cs="Times New Roman" w:eastAsia="Times New Roman" w:hAnsi="Times New Roman"/>
          <w:sz w:val="20"/>
          <w:szCs w:val="20"/>
          <w:color w:val="auto"/>
        </w:rPr>
      </w:pPr>
    </w:p>
    <w:p>
      <w:pPr>
        <w:ind w:left="1080" w:hanging="370"/>
        <w:spacing w:after="0"/>
        <w:tabs>
          <w:tab w:leader="none" w:pos="108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number of doses patients receive;</w:t>
      </w:r>
    </w:p>
    <w:p>
      <w:pPr>
        <w:spacing w:after="0" w:line="130" w:lineRule="exact"/>
        <w:rPr>
          <w:rFonts w:ascii="Times New Roman" w:cs="Times New Roman" w:eastAsia="Times New Roman" w:hAnsi="Times New Roman"/>
          <w:sz w:val="20"/>
          <w:szCs w:val="20"/>
          <w:color w:val="auto"/>
        </w:rPr>
      </w:pPr>
    </w:p>
    <w:p>
      <w:pPr>
        <w:ind w:left="1080" w:hanging="370"/>
        <w:spacing w:after="0"/>
        <w:tabs>
          <w:tab w:leader="none" w:pos="108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side effects associated with product candidates;</w:t>
      </w:r>
    </w:p>
    <w:p>
      <w:pPr>
        <w:spacing w:after="0" w:line="130" w:lineRule="exact"/>
        <w:rPr>
          <w:rFonts w:ascii="Times New Roman" w:cs="Times New Roman" w:eastAsia="Times New Roman" w:hAnsi="Times New Roman"/>
          <w:sz w:val="20"/>
          <w:szCs w:val="20"/>
          <w:color w:val="auto"/>
        </w:rPr>
      </w:pPr>
    </w:p>
    <w:p>
      <w:pPr>
        <w:ind w:left="1080" w:hanging="370"/>
        <w:spacing w:after="0"/>
        <w:tabs>
          <w:tab w:leader="none" w:pos="108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duration of patient follow-up;</w:t>
      </w:r>
    </w:p>
    <w:p>
      <w:pPr>
        <w:spacing w:after="0" w:line="130" w:lineRule="exact"/>
        <w:rPr>
          <w:rFonts w:ascii="Times New Roman" w:cs="Times New Roman" w:eastAsia="Times New Roman" w:hAnsi="Times New Roman"/>
          <w:sz w:val="20"/>
          <w:szCs w:val="20"/>
          <w:color w:val="auto"/>
        </w:rPr>
      </w:pPr>
    </w:p>
    <w:p>
      <w:pPr>
        <w:ind w:left="1080" w:hanging="370"/>
        <w:spacing w:after="0"/>
        <w:tabs>
          <w:tab w:leader="none" w:pos="108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results of clinical trials;</w:t>
      </w:r>
    </w:p>
    <w:p>
      <w:pPr>
        <w:spacing w:after="0" w:line="130" w:lineRule="exact"/>
        <w:rPr>
          <w:rFonts w:ascii="Times New Roman" w:cs="Times New Roman" w:eastAsia="Times New Roman" w:hAnsi="Times New Roman"/>
          <w:sz w:val="20"/>
          <w:szCs w:val="20"/>
          <w:color w:val="auto"/>
        </w:rPr>
      </w:pPr>
    </w:p>
    <w:p>
      <w:pPr>
        <w:ind w:left="1080" w:hanging="370"/>
        <w:spacing w:after="0"/>
        <w:tabs>
          <w:tab w:leader="none" w:pos="108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significant and changing government regulations; and</w:t>
      </w:r>
    </w:p>
    <w:p>
      <w:pPr>
        <w:spacing w:after="0" w:line="130" w:lineRule="exact"/>
        <w:rPr>
          <w:rFonts w:ascii="Times New Roman" w:cs="Times New Roman" w:eastAsia="Times New Roman" w:hAnsi="Times New Roman"/>
          <w:sz w:val="20"/>
          <w:szCs w:val="20"/>
          <w:color w:val="auto"/>
        </w:rPr>
      </w:pPr>
    </w:p>
    <w:p>
      <w:pPr>
        <w:ind w:left="1080" w:right="20" w:hanging="370"/>
        <w:spacing w:after="0" w:line="281" w:lineRule="auto"/>
        <w:tabs>
          <w:tab w:leader="none" w:pos="108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launching commercial sales of product candidates, if and when approved, whether alone or in collaboration with others.</w:t>
      </w:r>
    </w:p>
    <w:p>
      <w:pPr>
        <w:sectPr>
          <w:pgSz w:w="12240" w:h="15840" w:orient="portrait"/>
          <w:cols w:equalWidth="0" w:num="1">
            <w:col w:w="9900"/>
          </w:cols>
          <w:pgMar w:left="1180" w:top="208" w:right="1160" w:bottom="0" w:gutter="0" w:footer="0" w:header="0"/>
        </w:sect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114</w:t>
      </w:r>
    </w:p>
    <w:p>
      <w:pPr>
        <w:sectPr>
          <w:pgSz w:w="12240" w:h="15840" w:orient="portrait"/>
          <w:cols w:equalWidth="0" w:num="1">
            <w:col w:w="9900"/>
          </w:cols>
          <w:pgMar w:left="1180" w:top="208" w:right="1160" w:bottom="0" w:gutter="0" w:footer="0" w:header="0"/>
          <w:type w:val="continuous"/>
        </w:sectPr>
      </w:pPr>
    </w:p>
    <w:bookmarkStart w:id="114" w:name="page115"/>
    <w:bookmarkEnd w:id="114"/>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40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Our expenditures are subject to additional uncertainties, including the terms and timing of regulatory approvals.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may never succeed in achieving regulatory approval for our product candidates.</w:t>
      </w:r>
    </w:p>
    <w:p>
      <w:pPr>
        <w:spacing w:after="0" w:line="230"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We may obtain unexpected results from clinical trials and may elect to discontinue, delay or modify clinical trials of product candidates. A change in the outcome of any of these variables with respect to the development of a product candidate could mean a significant change in the costs and timing associated with the development of that product candidate. For example, if the European Medicines Agency ("EMA"), FDA or other comparable regulatory authorities were to require us to conduct clinical trials beyond those that are currently anticipated, or if we experience significant delays in enrollment in any clinical trials, we could be required to expend significant additional financial resources and time on the completion of clinical development. Product commercialization will take several years, and we expect to spend a significant amount in development costs.</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Research and Development Tax Incentives</w:t>
      </w:r>
    </w:p>
    <w:p>
      <w:pPr>
        <w:spacing w:after="0" w:line="139" w:lineRule="exact"/>
        <w:rPr>
          <w:sz w:val="20"/>
          <w:szCs w:val="20"/>
          <w:color w:val="auto"/>
        </w:rPr>
      </w:pPr>
    </w:p>
    <w:p>
      <w:pPr>
        <w:jc w:val="both"/>
        <w:ind w:right="20" w:firstLine="720"/>
        <w:spacing w:after="0" w:line="253" w:lineRule="auto"/>
        <w:rPr>
          <w:sz w:val="20"/>
          <w:szCs w:val="20"/>
          <w:color w:val="auto"/>
        </w:rPr>
      </w:pPr>
      <w:r>
        <w:rPr>
          <w:rFonts w:ascii="Times New Roman" w:cs="Times New Roman" w:eastAsia="Times New Roman" w:hAnsi="Times New Roman"/>
          <w:sz w:val="20"/>
          <w:szCs w:val="20"/>
          <w:color w:val="auto"/>
        </w:rPr>
        <w:t>We participate in research tax incentive programs that are granted to companies by the United Kingdom in order to encourage them to conduct technical and scientific research. Expenditures that meet the required criteria are eligible to receive a tax benefit. Estimates of the amount of the benefit expected to be received are determined at each reporting period and recorded as reductions to research and development expenses. Through December 31, 2024, we claimed relief under the Small and Medium Enterprise (“SME”) scheme. Beginning January 1, 2025, changes to the program in the UK have aligned the tax incentives earned for SME and large entities. The merged scheme provides relief for qualifying R&amp;D expenditure. If we are loss making, a cash credit can be obtained. If we continue to meet the SME thresholds and are loss making, then a higher rate of credit may be available under the new Enhanced R&amp;D Intensive Support (ERIS). We expect eligible R&amp;D expenditures qualifying for the credit outside of the UK will be more limited as a result of these legislative changes and we expect to recognize less tax incentives in the United Kingdom.</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General and Administrative Expense</w:t>
      </w:r>
    </w:p>
    <w:p>
      <w:pPr>
        <w:spacing w:after="0" w:line="139" w:lineRule="exact"/>
        <w:rPr>
          <w:sz w:val="20"/>
          <w:szCs w:val="20"/>
          <w:color w:val="auto"/>
        </w:rPr>
      </w:pPr>
    </w:p>
    <w:p>
      <w:pPr>
        <w:jc w:val="both"/>
        <w:ind w:right="20" w:firstLine="720"/>
        <w:spacing w:after="0" w:line="260" w:lineRule="auto"/>
        <w:rPr>
          <w:sz w:val="20"/>
          <w:szCs w:val="20"/>
          <w:color w:val="auto"/>
        </w:rPr>
      </w:pPr>
      <w:r>
        <w:rPr>
          <w:rFonts w:ascii="Times New Roman" w:cs="Times New Roman" w:eastAsia="Times New Roman" w:hAnsi="Times New Roman"/>
          <w:sz w:val="20"/>
          <w:szCs w:val="20"/>
          <w:color w:val="auto"/>
        </w:rPr>
        <w:t>General and administrative expense consists primarily of personnel expenses, including salaries and benefits for employees and share-based compensation. General and administrative expense also includes facility costs, including rent, utilities, depreciation and maintenance, not otherwise included in research and development expense, as well as legal fees related to intellectual property and corporate matters and fees for accounting, consulting and other professional services.</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Interest and Investment Income and Interest Expense</w:t>
      </w:r>
    </w:p>
    <w:p>
      <w:pPr>
        <w:spacing w:after="0" w:line="139" w:lineRule="exact"/>
        <w:rPr>
          <w:sz w:val="20"/>
          <w:szCs w:val="20"/>
          <w:color w:val="auto"/>
        </w:rPr>
      </w:pPr>
    </w:p>
    <w:p>
      <w:pPr>
        <w:jc w:val="both"/>
        <w:ind w:right="20" w:firstLine="720"/>
        <w:spacing w:after="0" w:line="266" w:lineRule="auto"/>
        <w:rPr>
          <w:sz w:val="20"/>
          <w:szCs w:val="20"/>
          <w:color w:val="auto"/>
        </w:rPr>
      </w:pPr>
      <w:r>
        <w:rPr>
          <w:rFonts w:ascii="Times New Roman" w:cs="Times New Roman" w:eastAsia="Times New Roman" w:hAnsi="Times New Roman"/>
          <w:sz w:val="20"/>
          <w:szCs w:val="20"/>
          <w:color w:val="auto"/>
        </w:rPr>
        <w:t>Interest and investment income is primarily interest earned from the Company’s cash and cash equivalents and its investments and realized gains on sales of securities. Interest expense consists of interest costs related to our debt instruments.</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Other Non-Operating Expenses, net</w:t>
      </w:r>
    </w:p>
    <w:p>
      <w:pPr>
        <w:spacing w:after="0" w:line="16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Other non-operating expenses, net, consisted primarily of foreign currency transaction gains and losses.</w:t>
      </w: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Foreign Currency Translation</w:t>
      </w:r>
    </w:p>
    <w:p>
      <w:pPr>
        <w:spacing w:after="0" w:line="139" w:lineRule="exact"/>
        <w:rPr>
          <w:sz w:val="20"/>
          <w:szCs w:val="20"/>
          <w:color w:val="auto"/>
        </w:rPr>
      </w:pPr>
    </w:p>
    <w:p>
      <w:pPr>
        <w:jc w:val="both"/>
        <w:ind w:right="20" w:firstLine="720"/>
        <w:spacing w:after="0" w:line="254" w:lineRule="auto"/>
        <w:rPr>
          <w:sz w:val="20"/>
          <w:szCs w:val="20"/>
          <w:color w:val="auto"/>
        </w:rPr>
      </w:pPr>
      <w:r>
        <w:rPr>
          <w:rFonts w:ascii="Times New Roman" w:cs="Times New Roman" w:eastAsia="Times New Roman" w:hAnsi="Times New Roman"/>
          <w:sz w:val="20"/>
          <w:szCs w:val="20"/>
          <w:color w:val="auto"/>
        </w:rPr>
        <w:t>Our financial statements are presented in U.S. dollars ("USD"), the reporting currency of the Company. The functional currency of Centessa Pharmaceuticals plc is USD and the functional currency of the Centessa Subsidiaries is their respective local currency. Income and expenses have been translated into USD at average exchange rates prevailing during the period. Assets and liabilities have been translated at the rates of exchange on the balance sheets dates and equity accounts at their respective historical rates. The resulting translation gain and loss adjustments are recorded directly as a separate component of shareholders’ equity as other comprehensive income (loss). Transactions denominated in a currency other than the functional currency are remeasured based upon the exchange rate at the date of remeasurement with the resulting gain or loss included in the accompanying consolidated statements of operations and comprehensive loss within Other income (expense), net.</w:t>
      </w:r>
    </w:p>
    <w:p>
      <w:pPr>
        <w:sectPr>
          <w:pgSz w:w="12240" w:h="15840" w:orient="portrait"/>
          <w:cols w:equalWidth="0" w:num="1">
            <w:col w:w="9900"/>
          </w:cols>
          <w:pgMar w:left="1180" w:top="20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115</w:t>
      </w:r>
    </w:p>
    <w:p>
      <w:pPr>
        <w:sectPr>
          <w:pgSz w:w="12240" w:h="15840" w:orient="portrait"/>
          <w:cols w:equalWidth="0" w:num="1">
            <w:col w:w="9900"/>
          </w:cols>
          <w:pgMar w:left="1180" w:top="208" w:right="1160" w:bottom="0" w:gutter="0" w:footer="0" w:header="0"/>
          <w:type w:val="continuous"/>
        </w:sectPr>
      </w:pPr>
    </w:p>
    <w:bookmarkStart w:id="115" w:name="page116"/>
    <w:bookmarkEnd w:id="115"/>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Results of Operations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Comparison of the years ended December 31, 2025 and December 31, 2024:</w:t>
      </w:r>
    </w:p>
    <w:p>
      <w:pPr>
        <w:spacing w:after="0" w:line="139" w:lineRule="exact"/>
        <w:rPr>
          <w:sz w:val="20"/>
          <w:szCs w:val="20"/>
          <w:color w:val="auto"/>
        </w:rPr>
      </w:pPr>
    </w:p>
    <w:p>
      <w:pPr>
        <w:ind w:right="20" w:firstLine="720"/>
        <w:spacing w:after="0" w:line="281" w:lineRule="auto"/>
        <w:rPr>
          <w:sz w:val="20"/>
          <w:szCs w:val="20"/>
          <w:color w:val="auto"/>
        </w:rPr>
      </w:pPr>
      <w:r>
        <w:rPr>
          <w:rFonts w:ascii="Times New Roman" w:cs="Times New Roman" w:eastAsia="Times New Roman" w:hAnsi="Times New Roman"/>
          <w:sz w:val="20"/>
          <w:szCs w:val="20"/>
          <w:color w:val="auto"/>
        </w:rPr>
        <w:t>The following table sets forth the results of operations for the years ended December 31, 2025 and December 31, 2024 (amounts in thousands):</w:t>
      </w:r>
    </w:p>
    <w:p>
      <w:pPr>
        <w:spacing w:after="0" w:line="200" w:lineRule="exact"/>
        <w:rPr>
          <w:sz w:val="20"/>
          <w:szCs w:val="20"/>
          <w:color w:val="auto"/>
        </w:rPr>
      </w:pPr>
    </w:p>
    <w:p>
      <w:pPr>
        <w:spacing w:after="0" w:line="285"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center"/>
              <w:ind w:right="60"/>
              <w:spacing w:after="0"/>
              <w:rPr>
                <w:sz w:val="20"/>
                <w:szCs w:val="20"/>
                <w:color w:val="auto"/>
              </w:rPr>
            </w:pPr>
            <w:r>
              <w:rPr>
                <w:rFonts w:ascii="Times New Roman" w:cs="Times New Roman" w:eastAsia="Times New Roman" w:hAnsi="Times New Roman"/>
                <w:sz w:val="20"/>
                <w:szCs w:val="20"/>
                <w:b w:val="1"/>
                <w:bCs w:val="1"/>
                <w:color w:val="auto"/>
                <w:w w:val="99"/>
              </w:rPr>
              <w:t>Year Ended</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rPr>
              <w:t>Year Ended</w:t>
            </w:r>
          </w:p>
        </w:tc>
      </w:tr>
      <w:tr>
        <w:trPr>
          <w:trHeight w:val="200"/>
        </w:trPr>
        <w:tc>
          <w:tcPr>
            <w:tcW w:w="6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jc w:val="center"/>
              <w:ind w:right="40"/>
              <w:spacing w:after="0" w:line="200" w:lineRule="exact"/>
              <w:rPr>
                <w:sz w:val="20"/>
                <w:szCs w:val="20"/>
                <w:color w:val="auto"/>
              </w:rPr>
            </w:pPr>
            <w:r>
              <w:rPr>
                <w:rFonts w:ascii="Times New Roman" w:cs="Times New Roman" w:eastAsia="Times New Roman" w:hAnsi="Times New Roman"/>
                <w:sz w:val="20"/>
                <w:szCs w:val="20"/>
                <w:b w:val="1"/>
                <w:bCs w:val="1"/>
                <w:color w:val="auto"/>
                <w:w w:val="99"/>
              </w:rPr>
              <w:t>December 31,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jc w:val="center"/>
              <w:ind w:right="80"/>
              <w:spacing w:after="0" w:line="200" w:lineRule="exact"/>
              <w:rPr>
                <w:sz w:val="20"/>
                <w:szCs w:val="20"/>
                <w:color w:val="auto"/>
              </w:rPr>
            </w:pPr>
            <w:r>
              <w:rPr>
                <w:rFonts w:ascii="Times New Roman" w:cs="Times New Roman" w:eastAsia="Times New Roman" w:hAnsi="Times New Roman"/>
                <w:sz w:val="20"/>
                <w:szCs w:val="20"/>
                <w:b w:val="1"/>
                <w:bCs w:val="1"/>
                <w:color w:val="auto"/>
                <w:w w:val="99"/>
              </w:rPr>
              <w:t>December 31,</w:t>
            </w:r>
          </w:p>
        </w:tc>
      </w:tr>
      <w:tr>
        <w:trPr>
          <w:trHeight w:val="263"/>
        </w:trPr>
        <w:tc>
          <w:tcPr>
            <w:tcW w:w="674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20"/>
                <w:szCs w:val="20"/>
                <w:b w:val="1"/>
                <w:bCs w:val="1"/>
                <w:color w:val="auto"/>
                <w:w w:val="99"/>
              </w:rPr>
              <w:t>2025</w:t>
            </w: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w w:val="99"/>
              </w:rPr>
              <w:t>2024</w:t>
            </w:r>
          </w:p>
        </w:tc>
      </w:tr>
      <w:tr>
        <w:trPr>
          <w:trHeight w:val="262"/>
        </w:trPr>
        <w:tc>
          <w:tcPr>
            <w:tcW w:w="6740" w:type="dxa"/>
            <w:vAlign w:val="bottom"/>
          </w:tcPr>
          <w:p>
            <w:pPr>
              <w:spacing w:after="0"/>
              <w:rPr>
                <w:sz w:val="20"/>
                <w:szCs w:val="20"/>
                <w:color w:val="auto"/>
              </w:rPr>
            </w:pPr>
            <w:r>
              <w:rPr>
                <w:rFonts w:ascii="Times New Roman" w:cs="Times New Roman" w:eastAsia="Times New Roman" w:hAnsi="Times New Roman"/>
                <w:sz w:val="20"/>
                <w:szCs w:val="20"/>
                <w:color w:val="auto"/>
              </w:rPr>
              <w:t>License and other revenues</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15,000</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85"/>
        </w:trPr>
        <w:tc>
          <w:tcPr>
            <w:tcW w:w="6740" w:type="dxa"/>
            <w:vAlign w:val="bottom"/>
          </w:tcPr>
          <w:p>
            <w:pPr>
              <w:spacing w:after="0"/>
              <w:rPr>
                <w:sz w:val="20"/>
                <w:szCs w:val="20"/>
                <w:color w:val="auto"/>
              </w:rPr>
            </w:pPr>
            <w:r>
              <w:rPr>
                <w:rFonts w:ascii="Times New Roman" w:cs="Times New Roman" w:eastAsia="Times New Roman" w:hAnsi="Times New Roman"/>
                <w:sz w:val="20"/>
                <w:szCs w:val="20"/>
                <w:color w:val="auto"/>
              </w:rPr>
              <w:t>Operating expenses:</w:t>
            </w: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85"/>
        </w:trPr>
        <w:tc>
          <w:tcPr>
            <w:tcW w:w="67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Research and development</w:t>
            </w:r>
          </w:p>
        </w:tc>
        <w:tc>
          <w:tcPr>
            <w:tcW w:w="16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172,224</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150,244</w:t>
            </w:r>
          </w:p>
        </w:tc>
      </w:tr>
      <w:tr>
        <w:trPr>
          <w:trHeight w:val="288"/>
        </w:trPr>
        <w:tc>
          <w:tcPr>
            <w:tcW w:w="67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General and administrative</w:t>
            </w:r>
          </w:p>
        </w:tc>
        <w:tc>
          <w:tcPr>
            <w:tcW w:w="1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50,468</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50,811</w:t>
            </w:r>
          </w:p>
        </w:tc>
      </w:tr>
      <w:tr>
        <w:trPr>
          <w:trHeight w:val="262"/>
        </w:trPr>
        <w:tc>
          <w:tcPr>
            <w:tcW w:w="6740" w:type="dxa"/>
            <w:vAlign w:val="bottom"/>
          </w:tcPr>
          <w:p>
            <w:pPr>
              <w:spacing w:after="0"/>
              <w:rPr>
                <w:sz w:val="20"/>
                <w:szCs w:val="20"/>
                <w:color w:val="auto"/>
              </w:rPr>
            </w:pPr>
            <w:r>
              <w:rPr>
                <w:rFonts w:ascii="Times New Roman" w:cs="Times New Roman" w:eastAsia="Times New Roman" w:hAnsi="Times New Roman"/>
                <w:sz w:val="20"/>
                <w:szCs w:val="20"/>
                <w:color w:val="auto"/>
              </w:rPr>
              <w:t>Loss from operations</w:t>
            </w:r>
          </w:p>
        </w:tc>
        <w:tc>
          <w:tcPr>
            <w:tcW w:w="16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(207,692)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(201,055)</w:t>
            </w:r>
          </w:p>
        </w:tc>
      </w:tr>
      <w:tr>
        <w:trPr>
          <w:trHeight w:val="285"/>
        </w:trPr>
        <w:tc>
          <w:tcPr>
            <w:tcW w:w="67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Interest income</w:t>
            </w:r>
          </w:p>
        </w:tc>
        <w:tc>
          <w:tcPr>
            <w:tcW w:w="16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20,527</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14,016</w:t>
            </w:r>
          </w:p>
        </w:tc>
      </w:tr>
      <w:tr>
        <w:trPr>
          <w:trHeight w:val="285"/>
        </w:trPr>
        <w:tc>
          <w:tcPr>
            <w:tcW w:w="67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Interest expense</w:t>
            </w:r>
          </w:p>
        </w:tc>
        <w:tc>
          <w:tcPr>
            <w:tcW w:w="16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(11,459)</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(10,090)</w:t>
            </w:r>
          </w:p>
        </w:tc>
      </w:tr>
      <w:tr>
        <w:trPr>
          <w:trHeight w:val="285"/>
        </w:trPr>
        <w:tc>
          <w:tcPr>
            <w:tcW w:w="67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Loss on extinguishment of debt</w:t>
            </w:r>
          </w:p>
        </w:tc>
        <w:tc>
          <w:tcPr>
            <w:tcW w:w="16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(34,097)</w:t>
            </w:r>
          </w:p>
        </w:tc>
      </w:tr>
      <w:tr>
        <w:trPr>
          <w:trHeight w:val="288"/>
        </w:trPr>
        <w:tc>
          <w:tcPr>
            <w:tcW w:w="67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Other non-operating income (expenses), net</w:t>
            </w:r>
          </w:p>
        </w:tc>
        <w:tc>
          <w:tcPr>
            <w:tcW w:w="1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2,911</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(1,687)</w:t>
            </w:r>
          </w:p>
        </w:tc>
      </w:tr>
      <w:tr>
        <w:trPr>
          <w:trHeight w:val="262"/>
        </w:trPr>
        <w:tc>
          <w:tcPr>
            <w:tcW w:w="6740" w:type="dxa"/>
            <w:vAlign w:val="bottom"/>
          </w:tcPr>
          <w:p>
            <w:pPr>
              <w:spacing w:after="0"/>
              <w:rPr>
                <w:sz w:val="20"/>
                <w:szCs w:val="20"/>
                <w:color w:val="auto"/>
              </w:rPr>
            </w:pPr>
            <w:r>
              <w:rPr>
                <w:rFonts w:ascii="Times New Roman" w:cs="Times New Roman" w:eastAsia="Times New Roman" w:hAnsi="Times New Roman"/>
                <w:sz w:val="20"/>
                <w:szCs w:val="20"/>
                <w:color w:val="auto"/>
              </w:rPr>
              <w:t>Loss before income taxes</w:t>
            </w:r>
          </w:p>
        </w:tc>
        <w:tc>
          <w:tcPr>
            <w:tcW w:w="16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(195,713)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(232,913)</w:t>
            </w:r>
          </w:p>
        </w:tc>
      </w:tr>
      <w:tr>
        <w:trPr>
          <w:trHeight w:val="285"/>
        </w:trPr>
        <w:tc>
          <w:tcPr>
            <w:tcW w:w="67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Income tax expense</w:t>
            </w:r>
          </w:p>
        </w:tc>
        <w:tc>
          <w:tcPr>
            <w:tcW w:w="16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1,819</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2,844</w:t>
            </w:r>
          </w:p>
        </w:tc>
      </w:tr>
      <w:tr>
        <w:trPr>
          <w:trHeight w:val="268"/>
        </w:trPr>
        <w:tc>
          <w:tcPr>
            <w:tcW w:w="6740" w:type="dxa"/>
            <w:vAlign w:val="bottom"/>
          </w:tcPr>
          <w:p>
            <w:pPr>
              <w:spacing w:after="0"/>
              <w:rPr>
                <w:sz w:val="20"/>
                <w:szCs w:val="20"/>
                <w:color w:val="auto"/>
              </w:rPr>
            </w:pPr>
            <w:r>
              <w:rPr>
                <w:rFonts w:ascii="Times New Roman" w:cs="Times New Roman" w:eastAsia="Times New Roman" w:hAnsi="Times New Roman"/>
                <w:sz w:val="20"/>
                <w:szCs w:val="20"/>
                <w:color w:val="auto"/>
              </w:rPr>
              <w:t>Net loss</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(197,532)</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(235,757)</w:t>
            </w:r>
          </w:p>
        </w:tc>
      </w:tr>
      <w:tr>
        <w:trPr>
          <w:trHeight w:val="20"/>
        </w:trPr>
        <w:tc>
          <w:tcPr>
            <w:tcW w:w="67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-2202815</wp:posOffset>
            </wp:positionV>
            <wp:extent cx="6324600" cy="22225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extLst>
                        <a:ext uri="{28A0092B-C50C-407E-A947-70E740481C1C}"/>
                      </a:extLst>
                    </a:blip>
                    <a:srcRect/>
                    <a:stretch>
                      <a:fillRect/>
                    </a:stretch>
                  </pic:blipFill>
                  <pic:spPr bwMode="auto">
                    <a:xfrm>
                      <a:off x="0" y="0"/>
                      <a:ext cx="6324600" cy="2222500"/>
                    </a:xfrm>
                    <a:prstGeom prst="rect">
                      <a:avLst/>
                    </a:prstGeom>
                    <a:noFill/>
                  </pic:spPr>
                </pic:pic>
              </a:graphicData>
            </a:graphic>
          </wp:anchor>
        </w:drawing>
      </w: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License and Other Revenues</w:t>
      </w:r>
    </w:p>
    <w:p>
      <w:pPr>
        <w:spacing w:after="0" w:line="134" w:lineRule="exact"/>
        <w:rPr>
          <w:sz w:val="20"/>
          <w:szCs w:val="20"/>
          <w:color w:val="auto"/>
        </w:rPr>
      </w:pPr>
    </w:p>
    <w:p>
      <w:pPr>
        <w:jc w:val="both"/>
        <w:ind w:right="20" w:firstLine="720"/>
        <w:spacing w:after="0" w:line="261" w:lineRule="auto"/>
        <w:rPr>
          <w:sz w:val="20"/>
          <w:szCs w:val="20"/>
          <w:color w:val="auto"/>
        </w:rPr>
      </w:pPr>
      <w:r>
        <w:rPr>
          <w:rFonts w:ascii="Times New Roman" w:cs="Times New Roman" w:eastAsia="Times New Roman" w:hAnsi="Times New Roman"/>
          <w:sz w:val="20"/>
          <w:szCs w:val="20"/>
          <w:color w:val="auto"/>
        </w:rPr>
        <w:t xml:space="preserve">On February 14, 2025, the Company entered into a license agreement (the “License Agreement”) with Genmab. During the twelve months ended December 31, 2025, the Company recorded revenue of $15.0 million related to a $15.0 million up front payment received from Genmab upon execution of the License Agreement. See Note 3 </w:t>
      </w:r>
      <w:r>
        <w:rPr>
          <w:rFonts w:ascii="Times New Roman" w:cs="Times New Roman" w:eastAsia="Times New Roman" w:hAnsi="Times New Roman"/>
          <w:sz w:val="20"/>
          <w:szCs w:val="20"/>
          <w:b w:val="1"/>
          <w:bCs w:val="1"/>
          <w:i w:val="1"/>
          <w:iCs w:val="1"/>
          <w:color w:val="auto"/>
        </w:rPr>
        <w:t>-Revenue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Recognition</w:t>
      </w:r>
      <w:r>
        <w:rPr>
          <w:rFonts w:ascii="Times New Roman" w:cs="Times New Roman" w:eastAsia="Times New Roman" w:hAnsi="Times New Roman"/>
          <w:sz w:val="20"/>
          <w:szCs w:val="20"/>
          <w:color w:val="auto"/>
        </w:rPr>
        <w:t>.</w:t>
      </w:r>
    </w:p>
    <w:p>
      <w:pPr>
        <w:sectPr>
          <w:pgSz w:w="12240" w:h="15840" w:orient="portrait"/>
          <w:cols w:equalWidth="0" w:num="1">
            <w:col w:w="9900"/>
          </w:cols>
          <w:pgMar w:left="1180" w:top="20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116</w:t>
      </w:r>
    </w:p>
    <w:p>
      <w:pPr>
        <w:sectPr>
          <w:pgSz w:w="12240" w:h="15840" w:orient="portrait"/>
          <w:cols w:equalWidth="0" w:num="1">
            <w:col w:w="9900"/>
          </w:cols>
          <w:pgMar w:left="1180" w:top="208" w:right="1160" w:bottom="0" w:gutter="0" w:footer="0" w:header="0"/>
          <w:type w:val="continuous"/>
        </w:sectPr>
      </w:pPr>
    </w:p>
    <w:bookmarkStart w:id="116" w:name="page117"/>
    <w:bookmarkEnd w:id="116"/>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Research and Development Expenses</w:t>
      </w:r>
    </w:p>
    <w:p>
      <w:pPr>
        <w:spacing w:after="0" w:line="134" w:lineRule="exact"/>
        <w:rPr>
          <w:sz w:val="20"/>
          <w:szCs w:val="20"/>
          <w:color w:val="auto"/>
        </w:rPr>
      </w:pPr>
    </w:p>
    <w:p>
      <w:pPr>
        <w:ind w:right="20" w:firstLine="720"/>
        <w:spacing w:after="0" w:line="281" w:lineRule="auto"/>
        <w:rPr>
          <w:sz w:val="20"/>
          <w:szCs w:val="20"/>
          <w:color w:val="auto"/>
        </w:rPr>
      </w:pPr>
      <w:r>
        <w:rPr>
          <w:rFonts w:ascii="Times New Roman" w:cs="Times New Roman" w:eastAsia="Times New Roman" w:hAnsi="Times New Roman"/>
          <w:sz w:val="20"/>
          <w:szCs w:val="20"/>
          <w:color w:val="auto"/>
        </w:rPr>
        <w:t>The following table summarizes research and development expenses by program incurred for the following periods (amounts in thousands):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rPr>
              <w:t>Year Ended</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rPr>
              <w:t>Year Ended</w:t>
            </w:r>
          </w:p>
        </w:tc>
      </w:tr>
      <w:tr>
        <w:trPr>
          <w:trHeight w:val="200"/>
        </w:trPr>
        <w:tc>
          <w:tcPr>
            <w:tcW w:w="6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jc w:val="center"/>
              <w:ind w:right="80"/>
              <w:spacing w:after="0" w:line="200" w:lineRule="exact"/>
              <w:rPr>
                <w:sz w:val="20"/>
                <w:szCs w:val="20"/>
                <w:color w:val="auto"/>
              </w:rPr>
            </w:pPr>
            <w:r>
              <w:rPr>
                <w:rFonts w:ascii="Times New Roman" w:cs="Times New Roman" w:eastAsia="Times New Roman" w:hAnsi="Times New Roman"/>
                <w:sz w:val="20"/>
                <w:szCs w:val="20"/>
                <w:b w:val="1"/>
                <w:bCs w:val="1"/>
                <w:color w:val="auto"/>
                <w:w w:val="99"/>
              </w:rPr>
              <w:t>December 31,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jc w:val="center"/>
              <w:ind w:right="80"/>
              <w:spacing w:after="0" w:line="200" w:lineRule="exact"/>
              <w:rPr>
                <w:sz w:val="20"/>
                <w:szCs w:val="20"/>
                <w:color w:val="auto"/>
              </w:rPr>
            </w:pPr>
            <w:r>
              <w:rPr>
                <w:rFonts w:ascii="Times New Roman" w:cs="Times New Roman" w:eastAsia="Times New Roman" w:hAnsi="Times New Roman"/>
                <w:sz w:val="20"/>
                <w:szCs w:val="20"/>
                <w:b w:val="1"/>
                <w:bCs w:val="1"/>
                <w:color w:val="auto"/>
                <w:w w:val="99"/>
              </w:rPr>
              <w:t>December 31,</w:t>
            </w:r>
          </w:p>
        </w:tc>
      </w:tr>
      <w:tr>
        <w:trPr>
          <w:trHeight w:val="263"/>
        </w:trPr>
        <w:tc>
          <w:tcPr>
            <w:tcW w:w="674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w w:val="99"/>
              </w:rPr>
              <w:t>2025</w:t>
            </w: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w w:val="99"/>
              </w:rPr>
              <w:t>2024</w:t>
            </w:r>
          </w:p>
        </w:tc>
      </w:tr>
      <w:tr>
        <w:trPr>
          <w:trHeight w:val="262"/>
        </w:trPr>
        <w:tc>
          <w:tcPr>
            <w:tcW w:w="67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Development programs:</w:t>
            </w:r>
          </w:p>
        </w:tc>
        <w:tc>
          <w:tcPr>
            <w:tcW w:w="1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310"/>
        </w:trPr>
        <w:tc>
          <w:tcPr>
            <w:tcW w:w="67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cleminorexton</w:t>
            </w:r>
            <w:r>
              <w:rPr>
                <w:rFonts w:ascii="Times New Roman" w:cs="Times New Roman" w:eastAsia="Times New Roman" w:hAnsi="Times New Roman"/>
                <w:sz w:val="26"/>
                <w:szCs w:val="26"/>
                <w:color w:val="auto"/>
                <w:vertAlign w:val="superscript"/>
              </w:rPr>
              <w:t>1</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78,479</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31,876</w:t>
            </w:r>
          </w:p>
        </w:tc>
      </w:tr>
      <w:tr>
        <w:trPr>
          <w:trHeight w:val="285"/>
        </w:trPr>
        <w:tc>
          <w:tcPr>
            <w:tcW w:w="6740" w:type="dxa"/>
            <w:vAlign w:val="bottom"/>
          </w:tcPr>
          <w:p>
            <w:pPr>
              <w:ind w:left="240"/>
              <w:spacing w:after="0" w:line="285" w:lineRule="exact"/>
              <w:rPr>
                <w:sz w:val="20"/>
                <w:szCs w:val="20"/>
                <w:color w:val="auto"/>
              </w:rPr>
            </w:pPr>
            <w:r>
              <w:rPr>
                <w:rFonts w:ascii="Times New Roman" w:cs="Times New Roman" w:eastAsia="Times New Roman" w:hAnsi="Times New Roman"/>
                <w:sz w:val="20"/>
                <w:szCs w:val="20"/>
                <w:color w:val="auto"/>
              </w:rPr>
              <w:t>Other Orexin program expenses</w:t>
            </w:r>
            <w:r>
              <w:rPr>
                <w:rFonts w:ascii="Times New Roman" w:cs="Times New Roman" w:eastAsia="Times New Roman" w:hAnsi="Times New Roman"/>
                <w:sz w:val="26"/>
                <w:szCs w:val="26"/>
                <w:color w:val="auto"/>
                <w:vertAlign w:val="superscript"/>
              </w:rPr>
              <w:t>1</w:t>
            </w:r>
          </w:p>
        </w:tc>
        <w:tc>
          <w:tcPr>
            <w:tcW w:w="16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50,969</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9,567</w:t>
            </w:r>
          </w:p>
        </w:tc>
      </w:tr>
      <w:tr>
        <w:trPr>
          <w:trHeight w:val="260"/>
        </w:trPr>
        <w:tc>
          <w:tcPr>
            <w:tcW w:w="67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LockBody technology platform expenses</w:t>
            </w:r>
          </w:p>
        </w:tc>
        <w:tc>
          <w:tcPr>
            <w:tcW w:w="16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11,970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10,886</w:t>
            </w:r>
          </w:p>
        </w:tc>
      </w:tr>
      <w:tr>
        <w:trPr>
          <w:trHeight w:val="285"/>
        </w:trPr>
        <w:tc>
          <w:tcPr>
            <w:tcW w:w="67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Discontinued programs</w:t>
            </w:r>
          </w:p>
        </w:tc>
        <w:tc>
          <w:tcPr>
            <w:tcW w:w="16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3,698</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90,261</w:t>
            </w:r>
          </w:p>
        </w:tc>
      </w:tr>
      <w:tr>
        <w:trPr>
          <w:trHeight w:val="285"/>
        </w:trPr>
        <w:tc>
          <w:tcPr>
            <w:tcW w:w="67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Non-program specific costs:</w:t>
            </w: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85"/>
        </w:trPr>
        <w:tc>
          <w:tcPr>
            <w:tcW w:w="67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Personnel expenses</w:t>
            </w:r>
          </w:p>
        </w:tc>
        <w:tc>
          <w:tcPr>
            <w:tcW w:w="16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45,517</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36,447</w:t>
            </w:r>
          </w:p>
        </w:tc>
      </w:tr>
      <w:tr>
        <w:trPr>
          <w:trHeight w:val="285"/>
        </w:trPr>
        <w:tc>
          <w:tcPr>
            <w:tcW w:w="67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Research tax incentives</w:t>
            </w:r>
          </w:p>
        </w:tc>
        <w:tc>
          <w:tcPr>
            <w:tcW w:w="16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(22,669)</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(30,942)</w:t>
            </w:r>
          </w:p>
        </w:tc>
      </w:tr>
      <w:tr>
        <w:trPr>
          <w:trHeight w:val="288"/>
        </w:trPr>
        <w:tc>
          <w:tcPr>
            <w:tcW w:w="67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Other internal R&amp;D expenses</w:t>
            </w:r>
          </w:p>
        </w:tc>
        <w:tc>
          <w:tcPr>
            <w:tcW w:w="1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4,260</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2,149</w:t>
            </w:r>
          </w:p>
        </w:tc>
      </w:tr>
      <w:tr>
        <w:trPr>
          <w:trHeight w:val="262"/>
        </w:trPr>
        <w:tc>
          <w:tcPr>
            <w:tcW w:w="674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172,224</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150,244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-1813560</wp:posOffset>
            </wp:positionV>
            <wp:extent cx="6324600" cy="24066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5">
                      <a:extLst>
                        <a:ext uri="{28A0092B-C50C-407E-A947-70E740481C1C}"/>
                      </a:extLst>
                    </a:blip>
                    <a:srcRect/>
                    <a:stretch>
                      <a:fillRect/>
                    </a:stretch>
                  </pic:blipFill>
                  <pic:spPr bwMode="auto">
                    <a:xfrm>
                      <a:off x="0" y="0"/>
                      <a:ext cx="6324600" cy="2406650"/>
                    </a:xfrm>
                    <a:prstGeom prst="rect">
                      <a:avLst/>
                    </a:prstGeom>
                    <a:noFill/>
                  </pic:spPr>
                </pic:pic>
              </a:graphicData>
            </a:graphic>
          </wp:anchor>
        </w:drawing>
      </w:r>
    </w:p>
    <w:p>
      <w:pPr>
        <w:spacing w:after="0" w:line="24" w:lineRule="exact"/>
        <w:rPr>
          <w:sz w:val="20"/>
          <w:szCs w:val="20"/>
          <w:color w:val="auto"/>
        </w:rPr>
      </w:pPr>
    </w:p>
    <w:p>
      <w:pPr>
        <w:ind w:left="40" w:right="3200" w:firstLine="3"/>
        <w:spacing w:after="0" w:line="197" w:lineRule="auto"/>
        <w:tabs>
          <w:tab w:leader="none" w:pos="155" w:val="left"/>
        </w:tabs>
        <w:numPr>
          <w:ilvl w:val="0"/>
          <w:numId w:val="67"/>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Beginning December 31, 2025, expenses related to the cleminorexton trial have been identified as significant segment expenses. The expenses for this trial have been recast for periods prior to December 31, 2025. These amounts were previously combined and disclosed under “OX2R agonist” for the year ended December 31, 2024.</w:t>
      </w:r>
    </w:p>
    <w:p>
      <w:pPr>
        <w:spacing w:after="0" w:line="200" w:lineRule="exact"/>
        <w:rPr>
          <w:sz w:val="20"/>
          <w:szCs w:val="20"/>
          <w:color w:val="auto"/>
        </w:rPr>
      </w:pPr>
    </w:p>
    <w:p>
      <w:pPr>
        <w:spacing w:after="0" w:line="249" w:lineRule="exact"/>
        <w:rPr>
          <w:sz w:val="20"/>
          <w:szCs w:val="20"/>
          <w:color w:val="auto"/>
        </w:rPr>
      </w:pPr>
    </w:p>
    <w:p>
      <w:pPr>
        <w:jc w:val="both"/>
        <w:ind w:firstLine="720"/>
        <w:spacing w:after="0" w:line="253" w:lineRule="auto"/>
        <w:rPr>
          <w:sz w:val="20"/>
          <w:szCs w:val="20"/>
          <w:color w:val="auto"/>
        </w:rPr>
      </w:pPr>
      <w:r>
        <w:rPr>
          <w:rFonts w:ascii="Times New Roman" w:cs="Times New Roman" w:eastAsia="Times New Roman" w:hAnsi="Times New Roman"/>
          <w:sz w:val="20"/>
          <w:szCs w:val="20"/>
          <w:color w:val="auto"/>
        </w:rPr>
        <w:t>Research and development expenses for the years ended December 31, 2025 and December 31, 2024 were $172.2 million and $150.2 million, respectively. The increase in research and development expenses reflected higher development costs of $88.0 million for the Orexin programs and higher personnel expenses, partially offset by lower costs related to discontinued programs. Specifically, the cleminorexton program increased $46.6 million due to higher clinical study costs associated with the Phase 2a and LTE clinical trials which were initiated in 2025. Other Orexin programs increased by $41.4 million due to higher clinical study costs for ORX142 as well as developmental milestones related to ORX142, as a result of FDA clearance of its IND, initiation of its Phase 1 clinical trial and initiation of the proof of concept study. Personnel expenses increased $9.1 million driven by increased headcount during the year. These increases were offset by $86.6 million in decreases related to discontinued programs, specifically related the termination of the SerpinPC in November 2024.</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General and Administrative Expense</w:t>
      </w:r>
    </w:p>
    <w:p>
      <w:pPr>
        <w:spacing w:after="0" w:line="134" w:lineRule="exact"/>
        <w:rPr>
          <w:sz w:val="20"/>
          <w:szCs w:val="20"/>
          <w:color w:val="auto"/>
        </w:rPr>
      </w:pPr>
    </w:p>
    <w:p>
      <w:pPr>
        <w:jc w:val="both"/>
        <w:ind w:right="20" w:firstLine="720"/>
        <w:spacing w:after="0" w:line="281" w:lineRule="auto"/>
        <w:rPr>
          <w:sz w:val="20"/>
          <w:szCs w:val="20"/>
          <w:color w:val="auto"/>
        </w:rPr>
      </w:pPr>
      <w:r>
        <w:rPr>
          <w:rFonts w:ascii="Times New Roman" w:cs="Times New Roman" w:eastAsia="Times New Roman" w:hAnsi="Times New Roman"/>
          <w:sz w:val="20"/>
          <w:szCs w:val="20"/>
          <w:color w:val="auto"/>
        </w:rPr>
        <w:t>The following table summarizes the general and administrative expenses for the following periods (amounts in thousands):</w:t>
      </w:r>
    </w:p>
    <w:p>
      <w:pPr>
        <w:spacing w:after="0" w:line="200" w:lineRule="exact"/>
        <w:rPr>
          <w:sz w:val="20"/>
          <w:szCs w:val="20"/>
          <w:color w:val="auto"/>
        </w:rPr>
      </w:pPr>
    </w:p>
    <w:p>
      <w:pPr>
        <w:spacing w:after="0" w:line="285"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w w:val="99"/>
              </w:rPr>
              <w:t>Year Ended</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rPr>
              <w:t>Year Ended</w:t>
            </w:r>
          </w:p>
        </w:tc>
      </w:tr>
      <w:tr>
        <w:trPr>
          <w:trHeight w:val="200"/>
        </w:trPr>
        <w:tc>
          <w:tcPr>
            <w:tcW w:w="6840" w:type="dxa"/>
            <w:vAlign w:val="bottom"/>
          </w:tcPr>
          <w:p>
            <w:pPr>
              <w:spacing w:after="0"/>
              <w:rPr>
                <w:sz w:val="17"/>
                <w:szCs w:val="17"/>
                <w:color w:val="auto"/>
              </w:rPr>
            </w:pPr>
          </w:p>
        </w:tc>
        <w:tc>
          <w:tcPr>
            <w:tcW w:w="1420" w:type="dxa"/>
            <w:vAlign w:val="bottom"/>
            <w:gridSpan w:val="2"/>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rPr>
              <w:t>December 31,</w:t>
            </w:r>
          </w:p>
        </w:tc>
        <w:tc>
          <w:tcPr>
            <w:tcW w:w="160" w:type="dxa"/>
            <w:vAlign w:val="bottom"/>
          </w:tcPr>
          <w:p>
            <w:pPr>
              <w:spacing w:after="0"/>
              <w:rPr>
                <w:sz w:val="17"/>
                <w:szCs w:val="17"/>
                <w:color w:val="auto"/>
              </w:rPr>
            </w:pPr>
          </w:p>
        </w:tc>
        <w:tc>
          <w:tcPr>
            <w:tcW w:w="1440" w:type="dxa"/>
            <w:vAlign w:val="bottom"/>
            <w:gridSpan w:val="2"/>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w w:val="99"/>
              </w:rPr>
              <w:t>December 31,</w:t>
            </w:r>
          </w:p>
        </w:tc>
      </w:tr>
      <w:tr>
        <w:trPr>
          <w:trHeight w:val="263"/>
        </w:trPr>
        <w:tc>
          <w:tcPr>
            <w:tcW w:w="68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center"/>
              <w:ind w:right="100"/>
              <w:spacing w:after="0"/>
              <w:rPr>
                <w:sz w:val="20"/>
                <w:szCs w:val="20"/>
                <w:color w:val="auto"/>
              </w:rPr>
            </w:pPr>
            <w:r>
              <w:rPr>
                <w:rFonts w:ascii="Times New Roman" w:cs="Times New Roman" w:eastAsia="Times New Roman" w:hAnsi="Times New Roman"/>
                <w:sz w:val="20"/>
                <w:szCs w:val="20"/>
                <w:b w:val="1"/>
                <w:bCs w:val="1"/>
                <w:color w:val="auto"/>
                <w:w w:val="99"/>
              </w:rPr>
              <w:t>2025</w:t>
            </w:r>
          </w:p>
        </w:tc>
        <w:tc>
          <w:tcPr>
            <w:tcW w:w="1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w w:val="99"/>
              </w:rPr>
              <w:t>2024</w:t>
            </w:r>
          </w:p>
        </w:tc>
      </w:tr>
      <w:tr>
        <w:trPr>
          <w:trHeight w:val="262"/>
        </w:trPr>
        <w:tc>
          <w:tcPr>
            <w:tcW w:w="6840" w:type="dxa"/>
            <w:vAlign w:val="bottom"/>
          </w:tcPr>
          <w:p>
            <w:pPr>
              <w:spacing w:after="0"/>
              <w:rPr>
                <w:sz w:val="20"/>
                <w:szCs w:val="20"/>
                <w:color w:val="auto"/>
              </w:rPr>
            </w:pPr>
            <w:r>
              <w:rPr>
                <w:rFonts w:ascii="Times New Roman" w:cs="Times New Roman" w:eastAsia="Times New Roman" w:hAnsi="Times New Roman"/>
                <w:sz w:val="20"/>
                <w:szCs w:val="20"/>
                <w:color w:val="auto"/>
              </w:rPr>
              <w:t>Personnel expenses</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29,386</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30,897</w:t>
            </w:r>
          </w:p>
        </w:tc>
      </w:tr>
      <w:tr>
        <w:trPr>
          <w:trHeight w:val="285"/>
        </w:trPr>
        <w:tc>
          <w:tcPr>
            <w:tcW w:w="6840" w:type="dxa"/>
            <w:vAlign w:val="bottom"/>
          </w:tcPr>
          <w:p>
            <w:pPr>
              <w:spacing w:after="0"/>
              <w:rPr>
                <w:sz w:val="20"/>
                <w:szCs w:val="20"/>
                <w:color w:val="auto"/>
              </w:rPr>
            </w:pPr>
            <w:r>
              <w:rPr>
                <w:rFonts w:ascii="Times New Roman" w:cs="Times New Roman" w:eastAsia="Times New Roman" w:hAnsi="Times New Roman"/>
                <w:sz w:val="20"/>
                <w:szCs w:val="20"/>
                <w:color w:val="auto"/>
              </w:rPr>
              <w:t>Legal and professional fees</w:t>
            </w:r>
          </w:p>
        </w:tc>
        <w:tc>
          <w:tcPr>
            <w:tcW w:w="18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11,450</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9,518</w:t>
            </w:r>
          </w:p>
        </w:tc>
      </w:tr>
      <w:tr>
        <w:trPr>
          <w:trHeight w:val="288"/>
        </w:trPr>
        <w:tc>
          <w:tcPr>
            <w:tcW w:w="6840" w:type="dxa"/>
            <w:vAlign w:val="bottom"/>
          </w:tcPr>
          <w:p>
            <w:pPr>
              <w:spacing w:after="0"/>
              <w:rPr>
                <w:sz w:val="20"/>
                <w:szCs w:val="20"/>
                <w:color w:val="auto"/>
              </w:rPr>
            </w:pPr>
            <w:r>
              <w:rPr>
                <w:rFonts w:ascii="Times New Roman" w:cs="Times New Roman" w:eastAsia="Times New Roman" w:hAnsi="Times New Roman"/>
                <w:sz w:val="20"/>
                <w:szCs w:val="20"/>
                <w:color w:val="auto"/>
              </w:rPr>
              <w:t>Other expenses</w:t>
            </w:r>
          </w:p>
        </w:tc>
        <w:tc>
          <w:tcPr>
            <w:tcW w:w="1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9,632</w:t>
            </w:r>
          </w:p>
        </w:tc>
        <w:tc>
          <w:tcPr>
            <w:tcW w:w="1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10,396</w:t>
            </w:r>
          </w:p>
        </w:tc>
      </w:tr>
      <w:tr>
        <w:trPr>
          <w:trHeight w:val="245"/>
        </w:trPr>
        <w:tc>
          <w:tcPr>
            <w:tcW w:w="684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50,468</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50,811</w:t>
            </w:r>
          </w:p>
        </w:tc>
      </w:tr>
      <w:tr>
        <w:trPr>
          <w:trHeight w:val="20"/>
        </w:trPr>
        <w:tc>
          <w:tcPr>
            <w:tcW w:w="68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-755015</wp:posOffset>
            </wp:positionV>
            <wp:extent cx="6324600" cy="7747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6">
                      <a:extLst>
                        <a:ext uri="{28A0092B-C50C-407E-A947-70E740481C1C}"/>
                      </a:extLst>
                    </a:blip>
                    <a:srcRect/>
                    <a:stretch>
                      <a:fillRect/>
                    </a:stretch>
                  </pic:blipFill>
                  <pic:spPr bwMode="auto">
                    <a:xfrm>
                      <a:off x="0" y="0"/>
                      <a:ext cx="6324600" cy="774700"/>
                    </a:xfrm>
                    <a:prstGeom prst="rect">
                      <a:avLst/>
                    </a:prstGeom>
                    <a:noFill/>
                  </pic:spPr>
                </pic:pic>
              </a:graphicData>
            </a:graphic>
          </wp:anchor>
        </w:drawing>
      </w:r>
    </w:p>
    <w:p>
      <w:pPr>
        <w:spacing w:after="0" w:line="228"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General and administrative expenses for the years ended December 31, 2025 and December 31, 2024 were $50.5 million and $50.8 million, respectively, primarily reflecting lower personnel expenses and insurance costs. Personnel expenses decreased $1.5 million, reflecting lower share-based compensation expense of $3.3 million, partially offset by higher salaries from increased headcount. This decrease was offset by a $1.9 million increase in legal and professional fees, driven in part by higher tax and public company compliance costs as well as additional IP related costs.</w:t>
      </w:r>
    </w:p>
    <w:p>
      <w:pPr>
        <w:sectPr>
          <w:pgSz w:w="12240" w:h="15840" w:orient="portrait"/>
          <w:cols w:equalWidth="0" w:num="1">
            <w:col w:w="9900"/>
          </w:cols>
          <w:pgMar w:left="1180" w:top="20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117</w:t>
      </w:r>
    </w:p>
    <w:p>
      <w:pPr>
        <w:sectPr>
          <w:pgSz w:w="12240" w:h="15840" w:orient="portrait"/>
          <w:cols w:equalWidth="0" w:num="1">
            <w:col w:w="9900"/>
          </w:cols>
          <w:pgMar w:left="1180" w:top="208" w:right="1160" w:bottom="0" w:gutter="0" w:footer="0" w:header="0"/>
          <w:type w:val="continuous"/>
        </w:sectPr>
      </w:pPr>
    </w:p>
    <w:bookmarkStart w:id="117" w:name="page118"/>
    <w:bookmarkEnd w:id="117"/>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Interest Income and Interest Expense</w:t>
      </w:r>
    </w:p>
    <w:p>
      <w:pPr>
        <w:spacing w:after="0" w:line="134" w:lineRule="exact"/>
        <w:rPr>
          <w:sz w:val="20"/>
          <w:szCs w:val="20"/>
          <w:color w:val="auto"/>
        </w:rPr>
      </w:pPr>
    </w:p>
    <w:p>
      <w:pPr>
        <w:jc w:val="both"/>
        <w:ind w:firstLine="720"/>
        <w:spacing w:after="0" w:line="260" w:lineRule="auto"/>
        <w:rPr>
          <w:sz w:val="20"/>
          <w:szCs w:val="20"/>
          <w:color w:val="auto"/>
        </w:rPr>
      </w:pPr>
      <w:r>
        <w:rPr>
          <w:rFonts w:ascii="Times New Roman" w:cs="Times New Roman" w:eastAsia="Times New Roman" w:hAnsi="Times New Roman"/>
          <w:sz w:val="20"/>
          <w:szCs w:val="20"/>
          <w:color w:val="auto"/>
        </w:rPr>
        <w:t>For the year ended December 31, 2025, interest income was $20.5 million, which increased $6.5 million from the year ended December 31, 2024, largely reflecting the recognition of unrealized gains of investments in marketable securities as of December 31, 2024 upon redemption in 2025 as well as higher income earned from the Company’s marketable security investments due to a higher average investment balance compared to the prior year period.</w:t>
      </w:r>
    </w:p>
    <w:p>
      <w:pPr>
        <w:spacing w:after="0" w:line="203" w:lineRule="exact"/>
        <w:rPr>
          <w:sz w:val="20"/>
          <w:szCs w:val="20"/>
          <w:color w:val="auto"/>
        </w:rPr>
      </w:pPr>
    </w:p>
    <w:p>
      <w:pPr>
        <w:jc w:val="both"/>
        <w:ind w:firstLine="720"/>
        <w:spacing w:after="0" w:line="281" w:lineRule="auto"/>
        <w:rPr>
          <w:sz w:val="20"/>
          <w:szCs w:val="20"/>
          <w:color w:val="auto"/>
        </w:rPr>
      </w:pPr>
      <w:r>
        <w:rPr>
          <w:rFonts w:ascii="Times New Roman" w:cs="Times New Roman" w:eastAsia="Times New Roman" w:hAnsi="Times New Roman"/>
          <w:sz w:val="20"/>
          <w:szCs w:val="20"/>
          <w:color w:val="auto"/>
        </w:rPr>
        <w:t>Interest expense was $11.5 million for the year ended December 31, 2025, an increase of $1.4 million from the year ended December 31, 2024, as a result of a higher average debt balance.</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Other Non-Operating Income (Expenses), net</w:t>
      </w:r>
    </w:p>
    <w:p>
      <w:pPr>
        <w:spacing w:after="0" w:line="134" w:lineRule="exact"/>
        <w:rPr>
          <w:sz w:val="20"/>
          <w:szCs w:val="20"/>
          <w:color w:val="auto"/>
        </w:rPr>
      </w:pPr>
    </w:p>
    <w:p>
      <w:pPr>
        <w:jc w:val="both"/>
        <w:ind w:firstLine="720"/>
        <w:spacing w:after="0" w:line="266" w:lineRule="auto"/>
        <w:rPr>
          <w:sz w:val="20"/>
          <w:szCs w:val="20"/>
          <w:color w:val="auto"/>
        </w:rPr>
      </w:pPr>
      <w:r>
        <w:rPr>
          <w:rFonts w:ascii="Times New Roman" w:cs="Times New Roman" w:eastAsia="Times New Roman" w:hAnsi="Times New Roman"/>
          <w:sz w:val="20"/>
          <w:szCs w:val="20"/>
          <w:color w:val="auto"/>
        </w:rPr>
        <w:t>Other non-operating income (expenses), net for the year ended December 31, 2025 was $2.9 million, an increase of $4.6 million from the year ended December 31, 2024, primarily reflecting foreign currency transaction fluctuations during the period of $4.7 million.</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Income Tax Expense</w:t>
      </w:r>
    </w:p>
    <w:p>
      <w:pPr>
        <w:spacing w:after="0" w:line="134" w:lineRule="exact"/>
        <w:rPr>
          <w:sz w:val="20"/>
          <w:szCs w:val="20"/>
          <w:color w:val="auto"/>
        </w:rPr>
      </w:pPr>
    </w:p>
    <w:p>
      <w:pPr>
        <w:jc w:val="both"/>
        <w:ind w:firstLine="720"/>
        <w:spacing w:after="0" w:line="266" w:lineRule="auto"/>
        <w:rPr>
          <w:sz w:val="20"/>
          <w:szCs w:val="20"/>
          <w:color w:val="auto"/>
        </w:rPr>
      </w:pPr>
      <w:r>
        <w:rPr>
          <w:rFonts w:ascii="Times New Roman" w:cs="Times New Roman" w:eastAsia="Times New Roman" w:hAnsi="Times New Roman"/>
          <w:sz w:val="20"/>
          <w:szCs w:val="20"/>
          <w:color w:val="auto"/>
        </w:rPr>
        <w:t>The Company recorded income tax expense of $1.8 million for the year ended December 31, 2025 compared with an income tax expense of $2.8 million for the year ended December 31, 2024. Income tax expense during the year decreased due to a higher U.S. R&amp;D tax credit during the year in addition to discrete benefits following tax return filings.</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Liquidity and Capital Resources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Sources of Liquidity</w:t>
      </w:r>
    </w:p>
    <w:p>
      <w:pPr>
        <w:spacing w:after="0" w:line="139" w:lineRule="exact"/>
        <w:rPr>
          <w:sz w:val="20"/>
          <w:szCs w:val="20"/>
          <w:color w:val="auto"/>
        </w:rPr>
      </w:pPr>
    </w:p>
    <w:p>
      <w:pPr>
        <w:jc w:val="both"/>
        <w:ind w:firstLine="720"/>
        <w:spacing w:after="0" w:line="253" w:lineRule="auto"/>
        <w:rPr>
          <w:sz w:val="20"/>
          <w:szCs w:val="20"/>
          <w:color w:val="auto"/>
        </w:rPr>
      </w:pPr>
      <w:r>
        <w:rPr>
          <w:rFonts w:ascii="Times New Roman" w:cs="Times New Roman" w:eastAsia="Times New Roman" w:hAnsi="Times New Roman"/>
          <w:sz w:val="20"/>
          <w:szCs w:val="20"/>
          <w:color w:val="auto"/>
        </w:rPr>
        <w:t>As of December 31, 2025, we had cash, cash equivalents, and investments of $577.1 million, of which $61.3 million was classified as cash and cash equivalents, $233.3 million was classified as short-term investments, and $282.5 million was classified as long-term investments on our Consolidated Balance Sheet. The Company invests in money market funds, U.S. Treasury securities, U.S. government agency securities, corporate notes and commercial paper. The Company’s investment policy limits investments to money market funds, certain types of debt securities issued by the U.S. Government and its agencies, corporate notes and commercial paper, and places restrictions on the credit ratings, maturities and concentration by type and issuer. Securities with original maturities of three months or less when purchased are included in cash and cash equivalents. We consider investments with original maturities greater than three months and remaining maturities less than one year to be short-term investments, while remaining maturities greater than one year are classified as long-term investments. Based on our current operating model and development plans, we expect cash, cash equivalents, and investments as of December 31, 2025 to fund our planned operations into mid-2028.</w:t>
      </w:r>
    </w:p>
    <w:p>
      <w:pPr>
        <w:spacing w:after="0" w:line="213" w:lineRule="exact"/>
        <w:rPr>
          <w:sz w:val="20"/>
          <w:szCs w:val="20"/>
          <w:color w:val="auto"/>
        </w:rPr>
      </w:pPr>
    </w:p>
    <w:p>
      <w:pPr>
        <w:jc w:val="both"/>
        <w:ind w:firstLine="720"/>
        <w:spacing w:after="0" w:line="260" w:lineRule="auto"/>
        <w:rPr>
          <w:sz w:val="20"/>
          <w:szCs w:val="20"/>
          <w:color w:val="auto"/>
        </w:rPr>
      </w:pPr>
      <w:r>
        <w:rPr>
          <w:rFonts w:ascii="Times New Roman" w:cs="Times New Roman" w:eastAsia="Times New Roman" w:hAnsi="Times New Roman"/>
          <w:sz w:val="20"/>
          <w:szCs w:val="20"/>
          <w:color w:val="auto"/>
        </w:rPr>
        <w:t>On December 30, 2024, the Company entered into a loan and security agreement (the “Loan and Security Agreement”) with Oxford Finance LLC (“Oxford”), as collateral agent and a lender, and the other lenders from time to time party thereto (collectively, the “Lenders”), pursuant to which the Lenders have entered an agreement to lend the Company an aggregate principal amount of up to $200.0 million in a series of term loans (the “Term Loans”).</w:t>
      </w:r>
    </w:p>
    <w:p>
      <w:pPr>
        <w:spacing w:after="0" w:line="143" w:lineRule="exact"/>
        <w:rPr>
          <w:sz w:val="20"/>
          <w:szCs w:val="20"/>
          <w:color w:val="auto"/>
        </w:rPr>
      </w:pPr>
    </w:p>
    <w:p>
      <w:pPr>
        <w:jc w:val="both"/>
        <w:ind w:firstLine="720"/>
        <w:spacing w:after="0" w:line="256" w:lineRule="auto"/>
        <w:rPr>
          <w:sz w:val="20"/>
          <w:szCs w:val="20"/>
          <w:color w:val="auto"/>
        </w:rPr>
      </w:pPr>
      <w:r>
        <w:rPr>
          <w:rFonts w:ascii="Times New Roman" w:cs="Times New Roman" w:eastAsia="Times New Roman" w:hAnsi="Times New Roman"/>
          <w:sz w:val="20"/>
          <w:szCs w:val="20"/>
          <w:color w:val="auto"/>
        </w:rPr>
        <w:t>Pursuant to the Loan and Security Agreement, the Company received $110.0 million (the “Initial Term Loan”) and incurred $1.1 million of debt issuance costs inclusive of facility and legal fees. The Company has access to up to an additional $40.0 million of loan proceeds in an additional tranche which is available during the period commencing on the date of the occurrence of the Clinical Milestone (as defined in the Loan and Security Agreement) through the earlier of: (i) 90 days following the Clinical Milestone and (ii) June 30, 2028. An additional $50.0 million may be made available to the Company at the Lenders’ sole discretion.</w:t>
      </w:r>
    </w:p>
    <w:p>
      <w:pPr>
        <w:spacing w:after="0" w:line="208" w:lineRule="exact"/>
        <w:rPr>
          <w:sz w:val="20"/>
          <w:szCs w:val="20"/>
          <w:color w:val="auto"/>
        </w:rPr>
      </w:pPr>
    </w:p>
    <w:p>
      <w:pPr>
        <w:jc w:val="both"/>
        <w:ind w:firstLine="720"/>
        <w:spacing w:after="0" w:line="260" w:lineRule="auto"/>
        <w:rPr>
          <w:sz w:val="20"/>
          <w:szCs w:val="20"/>
          <w:color w:val="auto"/>
        </w:rPr>
      </w:pPr>
      <w:r>
        <w:rPr>
          <w:rFonts w:ascii="Times New Roman" w:cs="Times New Roman" w:eastAsia="Times New Roman" w:hAnsi="Times New Roman"/>
          <w:sz w:val="20"/>
          <w:szCs w:val="20"/>
          <w:color w:val="auto"/>
        </w:rPr>
        <w:t>The term loans are set to mature on December 1, 2029 and, following an interest-only period, will begin to amortize in equal monthly installments beginning on February 1, 2029. However, if the Extension Event as defined in the Agreement occurs, then at the Company’s option, the term loans could begin to amortize in equal monthly installments beginning on February 1, 2030, and the maturity date will be extended to December 1, 2030.</w:t>
      </w:r>
    </w:p>
    <w:p>
      <w:pPr>
        <w:spacing w:after="0" w:line="203" w:lineRule="exact"/>
        <w:rPr>
          <w:sz w:val="20"/>
          <w:szCs w:val="20"/>
          <w:color w:val="auto"/>
        </w:rPr>
      </w:pPr>
    </w:p>
    <w:p>
      <w:pPr>
        <w:jc w:val="both"/>
        <w:ind w:firstLine="720"/>
        <w:spacing w:after="0" w:line="266" w:lineRule="auto"/>
        <w:rPr>
          <w:sz w:val="20"/>
          <w:szCs w:val="20"/>
          <w:color w:val="auto"/>
        </w:rPr>
      </w:pPr>
      <w:r>
        <w:rPr>
          <w:rFonts w:ascii="Times New Roman" w:cs="Times New Roman" w:eastAsia="Times New Roman" w:hAnsi="Times New Roman"/>
          <w:sz w:val="20"/>
          <w:szCs w:val="20"/>
          <w:color w:val="auto"/>
        </w:rPr>
        <w:t>On September 11, 2024, we filed an automatic shelf registration statement on Form S-3ASR (“Shelf”) registering an unspecified amount of our ordinary shares, American Depository Shares representing ordinary shares, debt securities, warrants, and/or units or any combination thereof with the SEC under the Securities Act. The Shelf automatically became</w:t>
      </w:r>
    </w:p>
    <w:p>
      <w:pPr>
        <w:sectPr>
          <w:pgSz w:w="12240" w:h="15840" w:orient="portrait"/>
          <w:cols w:equalWidth="0" w:num="1">
            <w:col w:w="9880"/>
          </w:cols>
          <w:pgMar w:left="1180" w:top="208" w:right="1180" w:bottom="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118</w:t>
      </w:r>
    </w:p>
    <w:p>
      <w:pPr>
        <w:sectPr>
          <w:pgSz w:w="12240" w:h="15840" w:orient="portrait"/>
          <w:cols w:equalWidth="0" w:num="1">
            <w:col w:w="9880"/>
          </w:cols>
          <w:pgMar w:left="1180" w:top="208" w:right="1180" w:bottom="0" w:gutter="0" w:footer="0" w:header="0"/>
          <w:type w:val="continuous"/>
        </w:sectPr>
      </w:pPr>
    </w:p>
    <w:bookmarkStart w:id="118" w:name="page119"/>
    <w:bookmarkEnd w:id="118"/>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400"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effective upon filing. Under the Shelf, we may offer securities from time to time in one or more offerings, at prices and on terms to be determined by market conditions at the time of offering. The specifics of any future offerings, along with the use of proceeds of any securities offered, will be described in detail in a prospectus supplement, or other offering materials, at the time of any offering.</w:t>
      </w:r>
    </w:p>
    <w:p>
      <w:pPr>
        <w:spacing w:after="0" w:line="203" w:lineRule="exact"/>
        <w:rPr>
          <w:sz w:val="20"/>
          <w:szCs w:val="20"/>
          <w:color w:val="auto"/>
        </w:rPr>
      </w:pPr>
    </w:p>
    <w:p>
      <w:pPr>
        <w:jc w:val="both"/>
        <w:ind w:right="20" w:firstLine="720"/>
        <w:spacing w:after="0" w:line="254" w:lineRule="auto"/>
        <w:rPr>
          <w:sz w:val="20"/>
          <w:szCs w:val="20"/>
          <w:color w:val="auto"/>
        </w:rPr>
      </w:pPr>
      <w:r>
        <w:rPr>
          <w:rFonts w:ascii="Times New Roman" w:cs="Times New Roman" w:eastAsia="Times New Roman" w:hAnsi="Times New Roman"/>
          <w:sz w:val="20"/>
          <w:szCs w:val="20"/>
          <w:color w:val="auto"/>
        </w:rPr>
        <w:t>The Company entered into a Sales agreement, dated January 27, 2023 and amended and restated on November 24 2025 (the “Sales Agreement”), by and between Centessa Pharmaceuticals plc and Leerink Partners LLC. As sales agent, Leerink Partners LLC provided for the issuance and sale by the Company of up to $250.0 million of its ordinary shares represented by American Depository Shares (“ADSs”) from time to time in “at-the-market” offerings (“ATM Program”). In the year ended December 31, 2025, the Company sold 372,538 ordinary shares under the ATM Program, resulting in net proceeds of $6.1 million. Since the ATM Program was first activated, as of December 31, 2025, the Company sold 4,663,354 ordinary shares under the ATM Program, resulting in net proceeds of approximately $36.6 million under the Sales Agreement.</w:t>
      </w:r>
    </w:p>
    <w:p>
      <w:pPr>
        <w:spacing w:after="0" w:line="213" w:lineRule="exact"/>
        <w:rPr>
          <w:sz w:val="20"/>
          <w:szCs w:val="20"/>
          <w:color w:val="auto"/>
        </w:rPr>
      </w:pPr>
    </w:p>
    <w:p>
      <w:pPr>
        <w:jc w:val="both"/>
        <w:ind w:right="20" w:firstLine="720"/>
        <w:spacing w:after="0" w:line="255" w:lineRule="auto"/>
        <w:rPr>
          <w:sz w:val="20"/>
          <w:szCs w:val="20"/>
          <w:color w:val="auto"/>
        </w:rPr>
      </w:pPr>
      <w:r>
        <w:rPr>
          <w:rFonts w:ascii="Times New Roman" w:cs="Times New Roman" w:eastAsia="Times New Roman" w:hAnsi="Times New Roman"/>
          <w:sz w:val="20"/>
          <w:szCs w:val="20"/>
          <w:color w:val="auto"/>
        </w:rPr>
        <w:t>In 2024, the Company completed two separate share offerings of its ordinary shares through the sale and issuance of a cumulative 29,932,626 ADSs. Each ADS represents one ordinary share with a nominal value of £0.002 per ordinary share. The completed offerings, which included the Underwriters’ over-allotment option to purchase additional shares, was made pursuant to the Shelf registration. The net proceeds of these offerings, after deducting underwriting discounts and commissions and offering expenses, was approximately $349.9 million. The Company intends to use the net proceeds from the offerings, together with its existing cash, cash equivalents, and investments, to fund the continued development of its product candidates, as well as for general corporate purposes.</w:t>
      </w:r>
    </w:p>
    <w:p>
      <w:pPr>
        <w:spacing w:after="0" w:line="210"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In 2025, the Company completed offerings of its ordinary shares through the sale and issuance of a cumulative 13,372,093 ADSs. Each ADS represents one ordinary share with a nominal value of £0.002 per ordinary share. The completed offerings, which included the Underwriters’ over-allotment option to purchase additional shares, was made pursuant to the Shelf registration. The net proceeds of these offerings, after deducting underwriting discounts and commissions and offering expenses, was approximately $269.2 million. The Company intends to use the net proceeds from the offerings, together with its existing cash, cash equivalents, and investments, to fund the continued development of its product candidates, as well as for general corporate purposes.</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Cash Flow</w:t>
      </w:r>
    </w:p>
    <w:p>
      <w:pPr>
        <w:spacing w:after="0" w:line="13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following table shows a summary of cash flows for the periods indicated (in thousands):</w:t>
      </w:r>
    </w:p>
    <w:p>
      <w:pPr>
        <w:spacing w:after="0" w:line="200" w:lineRule="exact"/>
        <w:rPr>
          <w:sz w:val="20"/>
          <w:szCs w:val="20"/>
          <w:color w:val="auto"/>
        </w:rPr>
      </w:pPr>
    </w:p>
    <w:p>
      <w:pPr>
        <w:spacing w:after="0" w:line="32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rPr>
              <w:t>Year Ended</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rPr>
              <w:t>Year Ended</w:t>
            </w:r>
          </w:p>
        </w:tc>
      </w:tr>
      <w:tr>
        <w:trPr>
          <w:trHeight w:val="200"/>
        </w:trPr>
        <w:tc>
          <w:tcPr>
            <w:tcW w:w="6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jc w:val="center"/>
              <w:ind w:right="80"/>
              <w:spacing w:after="0" w:line="200" w:lineRule="exact"/>
              <w:rPr>
                <w:sz w:val="20"/>
                <w:szCs w:val="20"/>
                <w:color w:val="auto"/>
              </w:rPr>
            </w:pPr>
            <w:r>
              <w:rPr>
                <w:rFonts w:ascii="Times New Roman" w:cs="Times New Roman" w:eastAsia="Times New Roman" w:hAnsi="Times New Roman"/>
                <w:sz w:val="20"/>
                <w:szCs w:val="20"/>
                <w:b w:val="1"/>
                <w:bCs w:val="1"/>
                <w:color w:val="auto"/>
                <w:w w:val="99"/>
              </w:rPr>
              <w:t>December 31,</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jc w:val="center"/>
              <w:ind w:right="80"/>
              <w:spacing w:after="0" w:line="200" w:lineRule="exact"/>
              <w:rPr>
                <w:sz w:val="20"/>
                <w:szCs w:val="20"/>
                <w:color w:val="auto"/>
              </w:rPr>
            </w:pPr>
            <w:r>
              <w:rPr>
                <w:rFonts w:ascii="Times New Roman" w:cs="Times New Roman" w:eastAsia="Times New Roman" w:hAnsi="Times New Roman"/>
                <w:sz w:val="20"/>
                <w:szCs w:val="20"/>
                <w:b w:val="1"/>
                <w:bCs w:val="1"/>
                <w:color w:val="auto"/>
                <w:w w:val="99"/>
              </w:rPr>
              <w:t>December 31,</w:t>
            </w:r>
          </w:p>
        </w:tc>
      </w:tr>
      <w:tr>
        <w:trPr>
          <w:trHeight w:val="263"/>
        </w:trPr>
        <w:tc>
          <w:tcPr>
            <w:tcW w:w="68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w w:val="99"/>
              </w:rPr>
              <w:t>2025</w:t>
            </w: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w w:val="99"/>
              </w:rPr>
              <w:t>2024</w:t>
            </w:r>
          </w:p>
        </w:tc>
      </w:tr>
      <w:tr>
        <w:trPr>
          <w:trHeight w:val="262"/>
        </w:trPr>
        <w:tc>
          <w:tcPr>
            <w:tcW w:w="6800" w:type="dxa"/>
            <w:vAlign w:val="bottom"/>
          </w:tcPr>
          <w:p>
            <w:pPr>
              <w:spacing w:after="0"/>
              <w:rPr>
                <w:sz w:val="20"/>
                <w:szCs w:val="20"/>
                <w:color w:val="auto"/>
              </w:rPr>
            </w:pPr>
            <w:r>
              <w:rPr>
                <w:rFonts w:ascii="Times New Roman" w:cs="Times New Roman" w:eastAsia="Times New Roman" w:hAnsi="Times New Roman"/>
                <w:sz w:val="20"/>
                <w:szCs w:val="20"/>
                <w:color w:val="auto"/>
              </w:rPr>
              <w:t>Net cash (used in) provided by:</w:t>
            </w:r>
          </w:p>
        </w:tc>
        <w:tc>
          <w:tcPr>
            <w:tcW w:w="1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85"/>
        </w:trPr>
        <w:tc>
          <w:tcPr>
            <w:tcW w:w="6800" w:type="dxa"/>
            <w:vAlign w:val="bottom"/>
          </w:tcPr>
          <w:p>
            <w:pPr>
              <w:spacing w:after="0"/>
              <w:rPr>
                <w:sz w:val="20"/>
                <w:szCs w:val="20"/>
                <w:color w:val="auto"/>
              </w:rPr>
            </w:pPr>
            <w:r>
              <w:rPr>
                <w:rFonts w:ascii="Times New Roman" w:cs="Times New Roman" w:eastAsia="Times New Roman" w:hAnsi="Times New Roman"/>
                <w:sz w:val="20"/>
                <w:szCs w:val="20"/>
                <w:color w:val="auto"/>
              </w:rPr>
              <w:t>Operating activities</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(193,817)</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(142,055)</w:t>
            </w:r>
          </w:p>
        </w:tc>
      </w:tr>
      <w:tr>
        <w:trPr>
          <w:trHeight w:val="285"/>
        </w:trPr>
        <w:tc>
          <w:tcPr>
            <w:tcW w:w="6800" w:type="dxa"/>
            <w:vAlign w:val="bottom"/>
          </w:tcPr>
          <w:p>
            <w:pPr>
              <w:spacing w:after="0"/>
              <w:rPr>
                <w:sz w:val="20"/>
                <w:szCs w:val="20"/>
                <w:color w:val="auto"/>
              </w:rPr>
            </w:pPr>
            <w:r>
              <w:rPr>
                <w:rFonts w:ascii="Times New Roman" w:cs="Times New Roman" w:eastAsia="Times New Roman" w:hAnsi="Times New Roman"/>
                <w:sz w:val="20"/>
                <w:szCs w:val="20"/>
                <w:color w:val="auto"/>
              </w:rPr>
              <w:t>Investing activities</w:t>
            </w:r>
          </w:p>
        </w:tc>
        <w:tc>
          <w:tcPr>
            <w:tcW w:w="16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(418,531)</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31,267</w:t>
            </w:r>
          </w:p>
        </w:tc>
      </w:tr>
      <w:tr>
        <w:trPr>
          <w:trHeight w:val="285"/>
        </w:trPr>
        <w:tc>
          <w:tcPr>
            <w:tcW w:w="6800" w:type="dxa"/>
            <w:vAlign w:val="bottom"/>
          </w:tcPr>
          <w:p>
            <w:pPr>
              <w:spacing w:after="0"/>
              <w:rPr>
                <w:sz w:val="20"/>
                <w:szCs w:val="20"/>
                <w:color w:val="auto"/>
              </w:rPr>
            </w:pPr>
            <w:r>
              <w:rPr>
                <w:rFonts w:ascii="Times New Roman" w:cs="Times New Roman" w:eastAsia="Times New Roman" w:hAnsi="Times New Roman"/>
                <w:sz w:val="20"/>
                <w:szCs w:val="20"/>
                <w:color w:val="auto"/>
              </w:rPr>
              <w:t>Financing activities</w:t>
            </w:r>
          </w:p>
        </w:tc>
        <w:tc>
          <w:tcPr>
            <w:tcW w:w="16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291,528</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364,752</w:t>
            </w:r>
          </w:p>
        </w:tc>
      </w:tr>
      <w:tr>
        <w:trPr>
          <w:trHeight w:val="288"/>
        </w:trPr>
        <w:tc>
          <w:tcPr>
            <w:tcW w:w="6800" w:type="dxa"/>
            <w:vAlign w:val="bottom"/>
          </w:tcPr>
          <w:p>
            <w:pPr>
              <w:spacing w:after="0"/>
              <w:rPr>
                <w:sz w:val="20"/>
                <w:szCs w:val="20"/>
                <w:color w:val="auto"/>
              </w:rPr>
            </w:pPr>
            <w:r>
              <w:rPr>
                <w:rFonts w:ascii="Times New Roman" w:cs="Times New Roman" w:eastAsia="Times New Roman" w:hAnsi="Times New Roman"/>
                <w:sz w:val="20"/>
                <w:szCs w:val="20"/>
                <w:color w:val="auto"/>
              </w:rPr>
              <w:t>Exchange rate effect on cash, cash equivalents, and restricted cash</w:t>
            </w:r>
          </w:p>
        </w:tc>
        <w:tc>
          <w:tcPr>
            <w:tcW w:w="1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(448)</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1,227</w:t>
            </w:r>
          </w:p>
        </w:tc>
      </w:tr>
      <w:tr>
        <w:trPr>
          <w:trHeight w:val="245"/>
        </w:trPr>
        <w:tc>
          <w:tcPr>
            <w:tcW w:w="6800" w:type="dxa"/>
            <w:vAlign w:val="bottom"/>
          </w:tcPr>
          <w:p>
            <w:pPr>
              <w:spacing w:after="0"/>
              <w:rPr>
                <w:sz w:val="20"/>
                <w:szCs w:val="20"/>
                <w:color w:val="auto"/>
              </w:rPr>
            </w:pPr>
            <w:r>
              <w:rPr>
                <w:rFonts w:ascii="Times New Roman" w:cs="Times New Roman" w:eastAsia="Times New Roman" w:hAnsi="Times New Roman"/>
                <w:sz w:val="20"/>
                <w:szCs w:val="20"/>
                <w:color w:val="auto"/>
              </w:rPr>
              <w:t>Net increase (decrease) in cash, cash equivalents, and restricted cash</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(321,268)</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255,191</w:t>
            </w:r>
          </w:p>
        </w:tc>
      </w:tr>
      <w:tr>
        <w:trPr>
          <w:trHeight w:val="20"/>
        </w:trPr>
        <w:tc>
          <w:tcPr>
            <w:tcW w:w="68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-1116965</wp:posOffset>
            </wp:positionV>
            <wp:extent cx="6324600" cy="11366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7">
                      <a:extLst>
                        <a:ext uri="{28A0092B-C50C-407E-A947-70E740481C1C}"/>
                      </a:extLst>
                    </a:blip>
                    <a:srcRect/>
                    <a:stretch>
                      <a:fillRect/>
                    </a:stretch>
                  </pic:blipFill>
                  <pic:spPr bwMode="auto">
                    <a:xfrm>
                      <a:off x="0" y="0"/>
                      <a:ext cx="6324600" cy="1136650"/>
                    </a:xfrm>
                    <a:prstGeom prst="rect">
                      <a:avLst/>
                    </a:prstGeom>
                    <a:noFill/>
                  </pic:spPr>
                </pic:pic>
              </a:graphicData>
            </a:graphic>
          </wp:anchor>
        </w:drawing>
      </w: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Operating Activities</w:t>
      </w:r>
    </w:p>
    <w:p>
      <w:pPr>
        <w:spacing w:after="0" w:line="254" w:lineRule="exact"/>
        <w:rPr>
          <w:sz w:val="20"/>
          <w:szCs w:val="20"/>
          <w:color w:val="auto"/>
        </w:rPr>
      </w:pPr>
    </w:p>
    <w:p>
      <w:pPr>
        <w:jc w:val="both"/>
        <w:ind w:right="20" w:firstLine="720"/>
        <w:spacing w:after="0" w:line="260" w:lineRule="auto"/>
        <w:rPr>
          <w:sz w:val="20"/>
          <w:szCs w:val="20"/>
          <w:color w:val="auto"/>
        </w:rPr>
      </w:pPr>
      <w:r>
        <w:rPr>
          <w:rFonts w:ascii="Times New Roman" w:cs="Times New Roman" w:eastAsia="Times New Roman" w:hAnsi="Times New Roman"/>
          <w:sz w:val="20"/>
          <w:szCs w:val="20"/>
          <w:color w:val="auto"/>
        </w:rPr>
        <w:t>During the year ended December 31, 2025, we used $193.8 million of cash in operating activities, reflecting the net loss of $197.5 million, adjusted for noncash items such as share-based compensation of $31.0 million and depreciation and amortization of $0.9 million. In addition, in 2025 there was a net decrease in operating assets, primarily related to decreases in accrued expenses and other liabilities, tax incentive receivables, and prepaid expenses and other assets.</w:t>
      </w:r>
    </w:p>
    <w:p>
      <w:pPr>
        <w:spacing w:after="0" w:line="203" w:lineRule="exact"/>
        <w:rPr>
          <w:sz w:val="20"/>
          <w:szCs w:val="20"/>
          <w:color w:val="auto"/>
        </w:rPr>
      </w:pPr>
    </w:p>
    <w:p>
      <w:pPr>
        <w:jc w:val="both"/>
        <w:ind w:right="20" w:firstLine="720"/>
        <w:spacing w:after="0" w:line="266" w:lineRule="auto"/>
        <w:rPr>
          <w:sz w:val="20"/>
          <w:szCs w:val="20"/>
          <w:color w:val="auto"/>
        </w:rPr>
      </w:pPr>
      <w:r>
        <w:rPr>
          <w:rFonts w:ascii="Times New Roman" w:cs="Times New Roman" w:eastAsia="Times New Roman" w:hAnsi="Times New Roman"/>
          <w:sz w:val="20"/>
          <w:szCs w:val="20"/>
          <w:color w:val="auto"/>
        </w:rPr>
        <w:t>During the year ended December 31, 2024, we used $142.1 million of cash in operating activities, reflecting the net loss of $235.8 million, adjusted for noncash items such as share-based compensation of $33.5 million and depreciation and amortization of $0.9 million, and a debt extinguishment charge of $34.1 million. In addition in 2024 there was a net</w:t>
      </w:r>
    </w:p>
    <w:p>
      <w:pPr>
        <w:sectPr>
          <w:pgSz w:w="12240" w:h="15840" w:orient="portrait"/>
          <w:cols w:equalWidth="0" w:num="1">
            <w:col w:w="9900"/>
          </w:cols>
          <w:pgMar w:left="1180" w:top="20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119</w:t>
      </w:r>
    </w:p>
    <w:p>
      <w:pPr>
        <w:sectPr>
          <w:pgSz w:w="12240" w:h="15840" w:orient="portrait"/>
          <w:cols w:equalWidth="0" w:num="1">
            <w:col w:w="9900"/>
          </w:cols>
          <w:pgMar w:left="1180" w:top="208" w:right="1160" w:bottom="0" w:gutter="0" w:footer="0" w:header="0"/>
          <w:type w:val="continuous"/>
        </w:sectPr>
      </w:pPr>
    </w:p>
    <w:bookmarkStart w:id="119" w:name="page120"/>
    <w:bookmarkEnd w:id="119"/>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400"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increase in net operating liabilities of $22.1 million, primarily reflecting accrued termination-related costs of the SerpinPC program that were not paid in 2024.</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Investing Activities</w:t>
      </w:r>
    </w:p>
    <w:p>
      <w:pPr>
        <w:spacing w:after="0" w:line="134" w:lineRule="exact"/>
        <w:rPr>
          <w:sz w:val="20"/>
          <w:szCs w:val="20"/>
          <w:color w:val="auto"/>
        </w:rPr>
      </w:pPr>
    </w:p>
    <w:p>
      <w:pPr>
        <w:jc w:val="both"/>
        <w:ind w:right="20" w:firstLine="720"/>
        <w:spacing w:after="0" w:line="260" w:lineRule="auto"/>
        <w:rPr>
          <w:sz w:val="20"/>
          <w:szCs w:val="20"/>
          <w:color w:val="auto"/>
        </w:rPr>
      </w:pPr>
      <w:r>
        <w:rPr>
          <w:rFonts w:ascii="Times New Roman" w:cs="Times New Roman" w:eastAsia="Times New Roman" w:hAnsi="Times New Roman"/>
          <w:sz w:val="20"/>
          <w:szCs w:val="20"/>
          <w:color w:val="auto"/>
        </w:rPr>
        <w:t>During the year ended December 31, 2025, net cash used in investing activities was $418.5 million, primarily related to net purchases of investments in marketable securities compared to 2024. During the year ended December 31, 2024, net cash provided by investing activities was $31.3 million, primarily related to a net redemption of short-term marketable securities in favor of increased cash equivalents from 2023.</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Financing Activities</w:t>
      </w:r>
    </w:p>
    <w:p>
      <w:pPr>
        <w:spacing w:after="0" w:line="134" w:lineRule="exact"/>
        <w:rPr>
          <w:sz w:val="20"/>
          <w:szCs w:val="20"/>
          <w:color w:val="auto"/>
        </w:rPr>
      </w:pPr>
    </w:p>
    <w:p>
      <w:pPr>
        <w:jc w:val="both"/>
        <w:ind w:right="20" w:firstLine="720"/>
        <w:spacing w:after="0" w:line="255" w:lineRule="auto"/>
        <w:rPr>
          <w:sz w:val="20"/>
          <w:szCs w:val="20"/>
          <w:color w:val="auto"/>
        </w:rPr>
      </w:pPr>
      <w:r>
        <w:rPr>
          <w:rFonts w:ascii="Times New Roman" w:cs="Times New Roman" w:eastAsia="Times New Roman" w:hAnsi="Times New Roman"/>
          <w:sz w:val="20"/>
          <w:szCs w:val="20"/>
          <w:color w:val="auto"/>
        </w:rPr>
        <w:t>During the year ended December 31, 2025, net cash provided by financing activities was $291.5 million, primarily reflecting $269.2 million in net proceeds related to our issuance of ordinary shares under a share offering, $21.4 million in proceeds from stock option exercises, and $6.1 million in net proceeds from our ATM program. During the year ended December 31, 2024, net cash provided by financing activities was $364.8 million, primarily reflecting $349.9 million in net proceeds related to our issuance of ordinary shares under share offerings, $9.7 million in proceeds from our ATM program as well proceeds from stock option exercises. Proceeds from the Loan and Security Agreement with Oxford were used to pay off our NPA with Oberland.</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Funding Requirements</w:t>
      </w:r>
    </w:p>
    <w:p>
      <w:pPr>
        <w:spacing w:after="0" w:line="139"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We expect aggregate expenses to increase in connection with ongoing activities, particularly as we continue the research and development of, continue or initiate clinical trials of, and seek marketing approval for any current and future product candidates. In addition we will begin to incur pre-commercial preparatory activities and, if marketing approval is obtained for any product candidates, we expect to incur significant commercialization expenses related to product sales, marketing, manufacturing and distribution. In addition, inflation may affect our use of capital resources by increasing our cost of labor, research and clinical trial expenses. Accordingly, there will be a need to obtain substantial additional funding in connection with the continuing operations. If we are unable to raise capital when needed or on attractive terms, we would be forced to delay, reduce or eliminate research and development programs or future commercialization efforts.</w:t>
      </w:r>
    </w:p>
    <w:p>
      <w:pPr>
        <w:spacing w:after="0" w:line="9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We anticipate that our expenses will increase substantially as we:</w:t>
      </w:r>
    </w:p>
    <w:p>
      <w:pPr>
        <w:spacing w:after="0" w:line="130" w:lineRule="exact"/>
        <w:rPr>
          <w:sz w:val="20"/>
          <w:szCs w:val="20"/>
          <w:color w:val="auto"/>
        </w:rPr>
      </w:pPr>
    </w:p>
    <w:p>
      <w:pPr>
        <w:ind w:left="1080" w:hanging="370"/>
        <w:spacing w:after="0"/>
        <w:tabs>
          <w:tab w:leader="none" w:pos="1080"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seek to discover and develop current and future clinical and preclinical product candidates;</w:t>
      </w:r>
    </w:p>
    <w:p>
      <w:pPr>
        <w:spacing w:after="0" w:line="130" w:lineRule="exact"/>
        <w:rPr>
          <w:rFonts w:ascii="Times New Roman" w:cs="Times New Roman" w:eastAsia="Times New Roman" w:hAnsi="Times New Roman"/>
          <w:sz w:val="20"/>
          <w:szCs w:val="20"/>
          <w:color w:val="auto"/>
        </w:rPr>
      </w:pPr>
    </w:p>
    <w:p>
      <w:pPr>
        <w:ind w:left="1080" w:hanging="370"/>
        <w:spacing w:after="0"/>
        <w:tabs>
          <w:tab w:leader="none" w:pos="1080"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scale up clinical and regulatory capabilities;</w:t>
      </w:r>
    </w:p>
    <w:p>
      <w:pPr>
        <w:spacing w:after="0" w:line="130" w:lineRule="exact"/>
        <w:rPr>
          <w:rFonts w:ascii="Times New Roman" w:cs="Times New Roman" w:eastAsia="Times New Roman" w:hAnsi="Times New Roman"/>
          <w:sz w:val="20"/>
          <w:szCs w:val="20"/>
          <w:color w:val="auto"/>
        </w:rPr>
      </w:pPr>
    </w:p>
    <w:p>
      <w:pPr>
        <w:ind w:left="1080" w:hanging="370"/>
        <w:spacing w:after="0"/>
        <w:tabs>
          <w:tab w:leader="none" w:pos="1080"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adapt regulatory compliance efforts to incorporate requirements applicable to marketed products;</w:t>
      </w:r>
    </w:p>
    <w:p>
      <w:pPr>
        <w:spacing w:after="0" w:line="130" w:lineRule="exact"/>
        <w:rPr>
          <w:rFonts w:ascii="Times New Roman" w:cs="Times New Roman" w:eastAsia="Times New Roman" w:hAnsi="Times New Roman"/>
          <w:sz w:val="20"/>
          <w:szCs w:val="20"/>
          <w:color w:val="auto"/>
        </w:rPr>
      </w:pPr>
    </w:p>
    <w:p>
      <w:pPr>
        <w:ind w:left="1080" w:right="20" w:hanging="370"/>
        <w:spacing w:after="0" w:line="281" w:lineRule="auto"/>
        <w:tabs>
          <w:tab w:leader="none" w:pos="1080"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establish a sales, marketing and distribution infrastructure and scale up external manufacturing capabilities to commercialize any product candidates for which regulatory approval may be obtained;</w:t>
      </w:r>
    </w:p>
    <w:p>
      <w:pPr>
        <w:spacing w:after="0" w:line="61" w:lineRule="exact"/>
        <w:rPr>
          <w:rFonts w:ascii="Times New Roman" w:cs="Times New Roman" w:eastAsia="Times New Roman" w:hAnsi="Times New Roman"/>
          <w:sz w:val="20"/>
          <w:szCs w:val="20"/>
          <w:color w:val="auto"/>
        </w:rPr>
      </w:pPr>
    </w:p>
    <w:p>
      <w:pPr>
        <w:ind w:left="1080" w:hanging="370"/>
        <w:spacing w:after="0"/>
        <w:tabs>
          <w:tab w:leader="none" w:pos="1080"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maintain, expand and protect the intellectual property portfolio;</w:t>
      </w:r>
    </w:p>
    <w:p>
      <w:pPr>
        <w:spacing w:after="0" w:line="130" w:lineRule="exact"/>
        <w:rPr>
          <w:rFonts w:ascii="Times New Roman" w:cs="Times New Roman" w:eastAsia="Times New Roman" w:hAnsi="Times New Roman"/>
          <w:sz w:val="20"/>
          <w:szCs w:val="20"/>
          <w:color w:val="auto"/>
        </w:rPr>
      </w:pPr>
    </w:p>
    <w:p>
      <w:pPr>
        <w:ind w:left="1080" w:hanging="370"/>
        <w:spacing w:after="0"/>
        <w:tabs>
          <w:tab w:leader="none" w:pos="1080"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hire additional internal or external clinical, manufacturing and scientific personnel or consultants;</w:t>
      </w:r>
    </w:p>
    <w:p>
      <w:pPr>
        <w:spacing w:after="0" w:line="130" w:lineRule="exact"/>
        <w:rPr>
          <w:rFonts w:ascii="Times New Roman" w:cs="Times New Roman" w:eastAsia="Times New Roman" w:hAnsi="Times New Roman"/>
          <w:sz w:val="20"/>
          <w:szCs w:val="20"/>
          <w:color w:val="auto"/>
        </w:rPr>
      </w:pPr>
    </w:p>
    <w:p>
      <w:pPr>
        <w:ind w:left="1080" w:right="20" w:hanging="370"/>
        <w:spacing w:after="0" w:line="281" w:lineRule="auto"/>
        <w:tabs>
          <w:tab w:leader="none" w:pos="1080"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add operational, financial and management information systems and personnel, including personnel to support product development efforts; and</w:t>
      </w:r>
    </w:p>
    <w:p>
      <w:pPr>
        <w:spacing w:after="0" w:line="61" w:lineRule="exact"/>
        <w:rPr>
          <w:rFonts w:ascii="Times New Roman" w:cs="Times New Roman" w:eastAsia="Times New Roman" w:hAnsi="Times New Roman"/>
          <w:sz w:val="20"/>
          <w:szCs w:val="20"/>
          <w:color w:val="auto"/>
        </w:rPr>
      </w:pPr>
    </w:p>
    <w:p>
      <w:pPr>
        <w:ind w:left="1080" w:hanging="370"/>
        <w:spacing w:after="0"/>
        <w:tabs>
          <w:tab w:leader="none" w:pos="1080"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incur additional legal, accounting and other expenses in operating as a public company.</w:t>
      </w:r>
    </w:p>
    <w:p>
      <w:pPr>
        <w:spacing w:after="0" w:line="250" w:lineRule="exact"/>
        <w:rPr>
          <w:sz w:val="20"/>
          <w:szCs w:val="20"/>
          <w:color w:val="auto"/>
        </w:rPr>
      </w:pPr>
    </w:p>
    <w:p>
      <w:pPr>
        <w:jc w:val="both"/>
        <w:ind w:firstLine="720"/>
        <w:spacing w:after="0" w:line="266" w:lineRule="auto"/>
        <w:rPr>
          <w:sz w:val="20"/>
          <w:szCs w:val="20"/>
          <w:color w:val="auto"/>
        </w:rPr>
      </w:pPr>
      <w:r>
        <w:rPr>
          <w:rFonts w:ascii="Times New Roman" w:cs="Times New Roman" w:eastAsia="Times New Roman" w:hAnsi="Times New Roman"/>
          <w:sz w:val="20"/>
          <w:szCs w:val="20"/>
          <w:color w:val="auto"/>
        </w:rPr>
        <w:t>Because of the numerous risks and uncertainties associated with research, development and commercialization of product candidates, we are unable to estimate the exact amount of its working capital requirements. Future funding requirements will depend on and could increase significantly as a result of many factors, including:</w:t>
      </w:r>
    </w:p>
    <w:p>
      <w:pPr>
        <w:spacing w:after="0" w:line="75" w:lineRule="exact"/>
        <w:rPr>
          <w:sz w:val="20"/>
          <w:szCs w:val="20"/>
          <w:color w:val="auto"/>
        </w:rPr>
      </w:pPr>
    </w:p>
    <w:p>
      <w:pPr>
        <w:ind w:left="1080" w:hanging="370"/>
        <w:spacing w:after="0"/>
        <w:tabs>
          <w:tab w:leader="none" w:pos="108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scope, progress, results and costs of preclinical studies and clinical trials;</w:t>
      </w:r>
    </w:p>
    <w:p>
      <w:pPr>
        <w:spacing w:after="0" w:line="130" w:lineRule="exact"/>
        <w:rPr>
          <w:rFonts w:ascii="Times New Roman" w:cs="Times New Roman" w:eastAsia="Times New Roman" w:hAnsi="Times New Roman"/>
          <w:sz w:val="20"/>
          <w:szCs w:val="20"/>
          <w:color w:val="auto"/>
        </w:rPr>
      </w:pPr>
    </w:p>
    <w:p>
      <w:pPr>
        <w:ind w:left="1080" w:hanging="370"/>
        <w:spacing w:after="0"/>
        <w:tabs>
          <w:tab w:leader="none" w:pos="108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scope, prioritization and number of research and development programs;</w:t>
      </w:r>
    </w:p>
    <w:p>
      <w:pPr>
        <w:spacing w:after="0" w:line="130" w:lineRule="exact"/>
        <w:rPr>
          <w:rFonts w:ascii="Times New Roman" w:cs="Times New Roman" w:eastAsia="Times New Roman" w:hAnsi="Times New Roman"/>
          <w:sz w:val="20"/>
          <w:szCs w:val="20"/>
          <w:color w:val="auto"/>
        </w:rPr>
      </w:pPr>
    </w:p>
    <w:p>
      <w:pPr>
        <w:ind w:left="1080" w:hanging="370"/>
        <w:spacing w:after="0"/>
        <w:tabs>
          <w:tab w:leader="none" w:pos="108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costs, timing and outcome of regulatory review of product candidates;</w:t>
      </w:r>
    </w:p>
    <w:p>
      <w:pPr>
        <w:spacing w:after="0" w:line="130" w:lineRule="exact"/>
        <w:rPr>
          <w:rFonts w:ascii="Times New Roman" w:cs="Times New Roman" w:eastAsia="Times New Roman" w:hAnsi="Times New Roman"/>
          <w:sz w:val="20"/>
          <w:szCs w:val="20"/>
          <w:color w:val="auto"/>
        </w:rPr>
      </w:pPr>
    </w:p>
    <w:p>
      <w:pPr>
        <w:ind w:left="1080" w:hanging="370"/>
        <w:spacing w:after="0"/>
        <w:tabs>
          <w:tab w:leader="none" w:pos="108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ability to establish and maintain collaborations on favorable terms, if at all;</w:t>
      </w:r>
    </w:p>
    <w:p>
      <w:pPr>
        <w:spacing w:after="0" w:line="130" w:lineRule="exact"/>
        <w:rPr>
          <w:rFonts w:ascii="Times New Roman" w:cs="Times New Roman" w:eastAsia="Times New Roman" w:hAnsi="Times New Roman"/>
          <w:sz w:val="20"/>
          <w:szCs w:val="20"/>
          <w:color w:val="auto"/>
        </w:rPr>
      </w:pPr>
    </w:p>
    <w:p>
      <w:pPr>
        <w:ind w:left="1080" w:hanging="370"/>
        <w:spacing w:after="0" w:line="281" w:lineRule="auto"/>
        <w:tabs>
          <w:tab w:leader="none" w:pos="108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extent to which obligations to reimburse exist, or entitled to reimbursement of, clinical trial costs under collaboration agreements, if any;</w:t>
      </w:r>
    </w:p>
    <w:p>
      <w:pPr>
        <w:sectPr>
          <w:pgSz w:w="12240" w:h="15840" w:orient="portrait"/>
          <w:cols w:equalWidth="0" w:num="1">
            <w:col w:w="9900"/>
          </w:cols>
          <w:pgMar w:left="1180" w:top="208" w:right="1160" w:bottom="0" w:gutter="0" w:footer="0" w:header="0"/>
        </w:sect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120</w:t>
      </w:r>
    </w:p>
    <w:p>
      <w:pPr>
        <w:sectPr>
          <w:pgSz w:w="12240" w:h="15840" w:orient="portrait"/>
          <w:cols w:equalWidth="0" w:num="1">
            <w:col w:w="9900"/>
          </w:cols>
          <w:pgMar w:left="1180" w:top="208" w:right="1160" w:bottom="0" w:gutter="0" w:footer="0" w:header="0"/>
          <w:type w:val="continuous"/>
        </w:sectPr>
      </w:pPr>
    </w:p>
    <w:bookmarkStart w:id="120" w:name="page121"/>
    <w:bookmarkEnd w:id="120"/>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400" w:lineRule="exact"/>
        <w:rPr>
          <w:sz w:val="20"/>
          <w:szCs w:val="20"/>
          <w:color w:val="auto"/>
        </w:rPr>
      </w:pPr>
    </w:p>
    <w:p>
      <w:pPr>
        <w:ind w:left="1080" w:right="20" w:hanging="370"/>
        <w:spacing w:after="0" w:line="281" w:lineRule="auto"/>
        <w:tabs>
          <w:tab w:leader="none" w:pos="1080"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costs of preparing, filing and prosecuting patent applications, maintaining and enforcing intellectual property rights and defending intellectual property-related claims;</w:t>
      </w:r>
    </w:p>
    <w:p>
      <w:pPr>
        <w:spacing w:after="0" w:line="61" w:lineRule="exact"/>
        <w:rPr>
          <w:rFonts w:ascii="Times New Roman" w:cs="Times New Roman" w:eastAsia="Times New Roman" w:hAnsi="Times New Roman"/>
          <w:sz w:val="20"/>
          <w:szCs w:val="20"/>
          <w:color w:val="auto"/>
        </w:rPr>
      </w:pPr>
    </w:p>
    <w:p>
      <w:pPr>
        <w:ind w:left="1080" w:hanging="370"/>
        <w:spacing w:after="0"/>
        <w:tabs>
          <w:tab w:leader="none" w:pos="1080"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costs of securing manufacturing arrangements for commercial production; and</w:t>
      </w:r>
    </w:p>
    <w:p>
      <w:pPr>
        <w:spacing w:after="0" w:line="130" w:lineRule="exact"/>
        <w:rPr>
          <w:rFonts w:ascii="Times New Roman" w:cs="Times New Roman" w:eastAsia="Times New Roman" w:hAnsi="Times New Roman"/>
          <w:sz w:val="20"/>
          <w:szCs w:val="20"/>
          <w:color w:val="auto"/>
        </w:rPr>
      </w:pPr>
    </w:p>
    <w:p>
      <w:pPr>
        <w:ind w:left="1080" w:right="20" w:hanging="370"/>
        <w:spacing w:after="0" w:line="281" w:lineRule="auto"/>
        <w:tabs>
          <w:tab w:leader="none" w:pos="1080"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costs of establishing or contracting for sales and marketing capabilities if regulatory approvals are obtained to market product candidates.</w:t>
      </w:r>
    </w:p>
    <w:p>
      <w:pPr>
        <w:spacing w:after="0" w:line="181"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Identifying potential product candidates and conducting preclinical studies and clinical trials is a time- consuming, expensive and uncertain process that takes many years to complete, and may never generate the necessary data or results required to obtain marketing approval and achieve product sales. In addition, product candidates, if approved, may not achieve commercial success. Commercial revenues, if any, will be derived from sales of product candidates that we do not expect to be commercially available for the next couple of years, if at all. Accordingly, the need to continue to rely on additional financing to achieve our business objectives will exist. Adequate additional financing may not be available on acceptable terms, or at all.</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Accounting Policies</w:t>
      </w:r>
    </w:p>
    <w:p>
      <w:pPr>
        <w:spacing w:after="0" w:line="137" w:lineRule="exact"/>
        <w:rPr>
          <w:sz w:val="20"/>
          <w:szCs w:val="20"/>
          <w:color w:val="auto"/>
        </w:rPr>
      </w:pPr>
    </w:p>
    <w:p>
      <w:pPr>
        <w:jc w:val="both"/>
        <w:ind w:firstLine="720"/>
        <w:spacing w:after="0" w:line="253" w:lineRule="auto"/>
        <w:rPr>
          <w:sz w:val="20"/>
          <w:szCs w:val="20"/>
          <w:color w:val="auto"/>
        </w:rPr>
      </w:pPr>
      <w:r>
        <w:rPr>
          <w:rFonts w:ascii="Times New Roman" w:cs="Times New Roman" w:eastAsia="Times New Roman" w:hAnsi="Times New Roman"/>
          <w:sz w:val="20"/>
          <w:szCs w:val="20"/>
          <w:color w:val="auto"/>
        </w:rPr>
        <w:t>Management’s discussion and analysis of its financial condition and results of operations is based on the consolidated financial statements of the Company which have been prepared in accordance with U.S. generally accepted accounting principles. The preparation of these financial statements requires estimates and judgments be made that affect the reported amounts of assets, liabilities, revenues and expenses and the disclosure of contingent assets and liabilities in the consolidated financial statements. On an ongoing basis, an evaluation of estimates and judgments are required, including those related to accrued research and development expenses and tax-related matters. Estimates are based on historical experience, known trends and events, and various other factors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216" w:lineRule="exact"/>
        <w:rPr>
          <w:sz w:val="20"/>
          <w:szCs w:val="20"/>
          <w:color w:val="auto"/>
        </w:rPr>
      </w:pPr>
    </w:p>
    <w:p>
      <w:pPr>
        <w:jc w:val="both"/>
        <w:ind w:firstLine="720"/>
        <w:spacing w:after="0" w:line="266" w:lineRule="auto"/>
        <w:rPr>
          <w:sz w:val="20"/>
          <w:szCs w:val="20"/>
          <w:color w:val="auto"/>
        </w:rPr>
      </w:pPr>
      <w:r>
        <w:rPr>
          <w:rFonts w:ascii="Times New Roman" w:cs="Times New Roman" w:eastAsia="Times New Roman" w:hAnsi="Times New Roman"/>
          <w:sz w:val="20"/>
          <w:szCs w:val="20"/>
          <w:color w:val="auto"/>
        </w:rPr>
        <w:t xml:space="preserve">While the significant accounting policies are described in more detail in </w:t>
      </w:r>
      <w:r>
        <w:rPr>
          <w:rFonts w:ascii="Times New Roman" w:cs="Times New Roman" w:eastAsia="Times New Roman" w:hAnsi="Times New Roman"/>
          <w:sz w:val="20"/>
          <w:szCs w:val="20"/>
          <w:u w:val="single" w:color="auto"/>
          <w:color w:val="0000FF"/>
        </w:rPr>
        <w:t>Note 2</w:t>
      </w:r>
      <w:r>
        <w:rPr>
          <w:rFonts w:ascii="Times New Roman" w:cs="Times New Roman" w:eastAsia="Times New Roman" w:hAnsi="Times New Roman"/>
          <w:sz w:val="20"/>
          <w:szCs w:val="20"/>
          <w:color w:val="auto"/>
        </w:rPr>
        <w:t xml:space="preserve"> to the Company’s consolidated financial statements, the following accounting policies are the most critical to the judgments and estimates used in the preparation of the financial statements.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Research and Development Accruals</w:t>
      </w:r>
    </w:p>
    <w:p>
      <w:pPr>
        <w:spacing w:after="0" w:line="134" w:lineRule="exact"/>
        <w:rPr>
          <w:sz w:val="20"/>
          <w:szCs w:val="20"/>
          <w:color w:val="auto"/>
        </w:rPr>
      </w:pPr>
    </w:p>
    <w:p>
      <w:pPr>
        <w:jc w:val="both"/>
        <w:ind w:right="20" w:firstLine="720"/>
        <w:spacing w:after="0" w:line="281" w:lineRule="auto"/>
        <w:rPr>
          <w:sz w:val="20"/>
          <w:szCs w:val="20"/>
          <w:color w:val="auto"/>
        </w:rPr>
      </w:pPr>
      <w:r>
        <w:rPr>
          <w:rFonts w:ascii="Times New Roman" w:cs="Times New Roman" w:eastAsia="Times New Roman" w:hAnsi="Times New Roman"/>
          <w:sz w:val="20"/>
          <w:szCs w:val="20"/>
          <w:color w:val="auto"/>
        </w:rPr>
        <w:t>Research and development expenses consist primarily of costs incurred in connection with the development of product candidates. Research and development costs are expensed as incurred.</w:t>
      </w:r>
    </w:p>
    <w:p>
      <w:pPr>
        <w:spacing w:after="0" w:line="181" w:lineRule="exact"/>
        <w:rPr>
          <w:sz w:val="20"/>
          <w:szCs w:val="20"/>
          <w:color w:val="auto"/>
        </w:rPr>
      </w:pPr>
    </w:p>
    <w:p>
      <w:pPr>
        <w:jc w:val="both"/>
        <w:ind w:firstLine="720"/>
        <w:spacing w:after="0" w:line="256" w:lineRule="auto"/>
        <w:rPr>
          <w:sz w:val="20"/>
          <w:szCs w:val="20"/>
          <w:color w:val="auto"/>
        </w:rPr>
      </w:pPr>
      <w:r>
        <w:rPr>
          <w:rFonts w:ascii="Times New Roman" w:cs="Times New Roman" w:eastAsia="Times New Roman" w:hAnsi="Times New Roman"/>
          <w:sz w:val="20"/>
          <w:szCs w:val="20"/>
          <w:color w:val="auto"/>
        </w:rPr>
        <w:t>Expenses for preclinical studies and clinical trial activities performed by third parties are accrued based upon estimates of the proportion of work completed over the term of the individual trial and patient enrollment rates in accordance with agreements with CROs and clinical trial sites. Estimates are determined by reviewing external service providers as to the progress or stage of completion of trials or services and the agreed-upon fee to be paid for such services. However, actual costs and timing of clinical trials are highly uncertain, subject to risks and may change depending upon a number of factors, including the clinical development plan.</w:t>
      </w:r>
    </w:p>
    <w:p>
      <w:pPr>
        <w:spacing w:after="0" w:line="208" w:lineRule="exact"/>
        <w:rPr>
          <w:sz w:val="20"/>
          <w:szCs w:val="20"/>
          <w:color w:val="auto"/>
        </w:rPr>
      </w:pPr>
    </w:p>
    <w:p>
      <w:pPr>
        <w:jc w:val="both"/>
        <w:ind w:right="20" w:firstLine="720"/>
        <w:spacing w:after="0" w:line="256" w:lineRule="auto"/>
        <w:rPr>
          <w:sz w:val="20"/>
          <w:szCs w:val="20"/>
          <w:color w:val="auto"/>
        </w:rPr>
      </w:pPr>
      <w:r>
        <w:rPr>
          <w:rFonts w:ascii="Times New Roman" w:cs="Times New Roman" w:eastAsia="Times New Roman" w:hAnsi="Times New Roman"/>
          <w:sz w:val="20"/>
          <w:szCs w:val="20"/>
          <w:color w:val="auto"/>
        </w:rPr>
        <w:t>Estimates of accrued expenses are made as of each balance sheet date in the financial statements based on facts and circumstances known at that time. If the actual timing of the performance of services or the level of effort varies from the estimate, an adjustment to the accrual will be made accordingly. Nonrefundable advance payments for goods and services, including fees for process development or manufacturing and distribution of clinical supplies that will be used in future research and development activities, are recognized as expense in the period that the related goods are consumed or services are performed.</w:t>
      </w:r>
    </w:p>
    <w:p>
      <w:pPr>
        <w:spacing w:after="0" w:line="208"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Milestone payments within the Company’s licensing arrangements are recognized when achievement of the milestone is deemed probable to occur. To the extent products are commercialized and future economic benefit has been established, commercial milestones that become probable are capitalized and amortized over the estimated remaining useful life of the intellectual property. In addition, royalty expenses would be accrued and sublicense non-royalty payments, as applicable, for the amount it is obligated to pay, with adjustments as sales are made.</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Tax-related Matters</w:t>
      </w:r>
    </w:p>
    <w:p>
      <w:pPr>
        <w:sectPr>
          <w:pgSz w:w="12240" w:h="15840" w:orient="portrait"/>
          <w:cols w:equalWidth="0" w:num="1">
            <w:col w:w="9900"/>
          </w:cols>
          <w:pgMar w:left="1180" w:top="208" w:right="1160" w:bottom="0" w:gutter="0" w:footer="0" w:header="0"/>
        </w:sect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121</w:t>
      </w:r>
    </w:p>
    <w:p>
      <w:pPr>
        <w:sectPr>
          <w:pgSz w:w="12240" w:h="15840" w:orient="portrait"/>
          <w:cols w:equalWidth="0" w:num="1">
            <w:col w:w="9900"/>
          </w:cols>
          <w:pgMar w:left="1180" w:top="208" w:right="1160" w:bottom="0" w:gutter="0" w:footer="0" w:header="0"/>
          <w:type w:val="continuous"/>
        </w:sectPr>
      </w:pPr>
    </w:p>
    <w:bookmarkStart w:id="121" w:name="page122"/>
    <w:bookmarkEnd w:id="121"/>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400" w:lineRule="exact"/>
        <w:rPr>
          <w:sz w:val="20"/>
          <w:szCs w:val="20"/>
          <w:color w:val="auto"/>
        </w:rPr>
      </w:pPr>
    </w:p>
    <w:p>
      <w:pPr>
        <w:jc w:val="both"/>
        <w:ind w:firstLine="720"/>
        <w:spacing w:after="0" w:line="253" w:lineRule="auto"/>
        <w:rPr>
          <w:sz w:val="20"/>
          <w:szCs w:val="20"/>
          <w:color w:val="auto"/>
        </w:rPr>
      </w:pPr>
      <w:r>
        <w:rPr>
          <w:rFonts w:ascii="Times New Roman" w:cs="Times New Roman" w:eastAsia="Times New Roman" w:hAnsi="Times New Roman"/>
          <w:sz w:val="20"/>
          <w:szCs w:val="20"/>
          <w:color w:val="auto"/>
        </w:rPr>
        <w:t>We regularly assess our ability to realize our deferred tax assets. Assessing the realization of deferred tax assets requires significant judgment. In determining whether our deferred tax assets are more likely than not realizable, we evaluate all available positive and negative evidence, and weighed the evidence based on its objectivity. After consideration of the evidence, including our history of cumulative net losses in the UK, we concluded that it is more likely than not that we will not realize the benefits of our UK deferred tax assets and accordingly we have provided a valuation allowance for the full amount of the net deferred tax assets in the UK. After consideration of the evidence, including changes resulting from an internal reorganization of subsidiaries in the second quarter of 2023 and cumulative and expected income of an operating entity that carries out services for other entities in the group and recognizes most of the interest income from cash, cash equivalents, and investments, we concluded that it is more likely than not that we will realize the benefits of our United States deferred tax assets, and accordingly, in the second quarter of 2023, we released a previously recorded valuation allowance on our United States deferred tax assets. We continue to assess our ability to realize our United States deferred tax assets each reporting period based on all available positive and negative evidence.</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Contractual Obligations and Other Commitments</w:t>
      </w:r>
    </w:p>
    <w:p>
      <w:pPr>
        <w:spacing w:after="0" w:line="137" w:lineRule="exact"/>
        <w:rPr>
          <w:sz w:val="20"/>
          <w:szCs w:val="20"/>
          <w:color w:val="auto"/>
        </w:rPr>
      </w:pPr>
    </w:p>
    <w:p>
      <w:pPr>
        <w:jc w:val="both"/>
        <w:ind w:right="20" w:firstLine="720"/>
        <w:spacing w:after="0" w:line="258" w:lineRule="auto"/>
        <w:rPr>
          <w:sz w:val="20"/>
          <w:szCs w:val="20"/>
          <w:color w:val="auto"/>
        </w:rPr>
      </w:pPr>
      <w:r>
        <w:rPr>
          <w:rFonts w:ascii="Times New Roman" w:cs="Times New Roman" w:eastAsia="Times New Roman" w:hAnsi="Times New Roman"/>
          <w:sz w:val="20"/>
          <w:szCs w:val="20"/>
          <w:color w:val="auto"/>
        </w:rPr>
        <w:t xml:space="preserve">As of December 31, 2025, other than what has been disclosed in Note 6 - </w:t>
      </w:r>
      <w:r>
        <w:rPr>
          <w:rFonts w:ascii="Times New Roman" w:cs="Times New Roman" w:eastAsia="Times New Roman" w:hAnsi="Times New Roman"/>
          <w:sz w:val="20"/>
          <w:szCs w:val="20"/>
          <w:u w:val="single" w:color="auto"/>
          <w:color w:val="0000FF"/>
        </w:rPr>
        <w:t>"Debt"</w:t>
      </w:r>
      <w:r>
        <w:rPr>
          <w:rFonts w:ascii="Times New Roman" w:cs="Times New Roman" w:eastAsia="Times New Roman" w:hAnsi="Times New Roman"/>
          <w:sz w:val="20"/>
          <w:szCs w:val="20"/>
          <w:color w:val="auto"/>
        </w:rPr>
        <w:t xml:space="preserve">, Note 7 – </w:t>
      </w:r>
      <w:r>
        <w:rPr>
          <w:rFonts w:ascii="Times New Roman" w:cs="Times New Roman" w:eastAsia="Times New Roman" w:hAnsi="Times New Roman"/>
          <w:sz w:val="20"/>
          <w:szCs w:val="20"/>
          <w:u w:val="single" w:color="auto"/>
          <w:color w:val="0000FF"/>
        </w:rPr>
        <w:t>"Commitment and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contingencies"</w:t>
      </w:r>
      <w:r>
        <w:rPr>
          <w:rFonts w:ascii="Times New Roman" w:cs="Times New Roman" w:eastAsia="Times New Roman" w:hAnsi="Times New Roman"/>
          <w:sz w:val="20"/>
          <w:szCs w:val="20"/>
          <w:color w:val="000000"/>
        </w:rPr>
        <w:t>, and Note 8 -</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u w:val="single" w:color="auto"/>
          <w:color w:val="0000FF"/>
        </w:rPr>
        <w:t>"Program Termination costs"</w:t>
      </w:r>
      <w:r>
        <w:rPr>
          <w:rFonts w:ascii="Times New Roman" w:cs="Times New Roman" w:eastAsia="Times New Roman" w:hAnsi="Times New Roman"/>
          <w:sz w:val="20"/>
          <w:szCs w:val="20"/>
          <w:color w:val="000000"/>
        </w:rPr>
        <w:t>, we had no material contractual obligations and other</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commitments associated with contracts that are enforceable and legally binding and that specify all significant terms, including fixed or minimum services to be used, fixed, minimum or variable price provisions, and the approximate timing of the actions under the contracts.</w:t>
      </w:r>
    </w:p>
    <w:p>
      <w:pPr>
        <w:spacing w:after="0" w:line="204" w:lineRule="exact"/>
        <w:rPr>
          <w:sz w:val="20"/>
          <w:szCs w:val="20"/>
          <w:color w:val="auto"/>
        </w:rPr>
      </w:pPr>
    </w:p>
    <w:p>
      <w:pPr>
        <w:jc w:val="both"/>
        <w:ind w:right="20" w:firstLine="720"/>
        <w:spacing w:after="0" w:line="254" w:lineRule="auto"/>
        <w:rPr>
          <w:sz w:val="20"/>
          <w:szCs w:val="20"/>
          <w:color w:val="auto"/>
        </w:rPr>
      </w:pPr>
      <w:r>
        <w:rPr>
          <w:rFonts w:ascii="Times New Roman" w:cs="Times New Roman" w:eastAsia="Times New Roman" w:hAnsi="Times New Roman"/>
          <w:sz w:val="20"/>
          <w:szCs w:val="20"/>
          <w:color w:val="auto"/>
        </w:rPr>
        <w:t xml:space="preserve">We have entered into collaborative arrangements to develop and commercialize intellectual property. These arrangements typically involve two (or more) parties who are active participants in the collaboration and are exposed to significant risks and rewards dependent on the commercial success of the activities. These collaborations usually involve various activities by one or more parties, including research and development, marketing and selling and distribution. Often, these collaborations require upfront, milestone and royalty or profit share payments, contingent upon the occurrence of certain future events linked to the success of the asset in development. Amounts due to collaborative partners related to development activities are generally reflected as research and development expenses. See </w:t>
      </w:r>
      <w:r>
        <w:rPr>
          <w:rFonts w:ascii="Times New Roman" w:cs="Times New Roman" w:eastAsia="Times New Roman" w:hAnsi="Times New Roman"/>
          <w:sz w:val="20"/>
          <w:szCs w:val="20"/>
          <w:u w:val="single" w:color="auto"/>
          <w:color w:val="0000FF"/>
        </w:rPr>
        <w:t>“</w:t>
      </w:r>
      <w:r>
        <w:rPr>
          <w:rFonts w:ascii="Times New Roman" w:cs="Times New Roman" w:eastAsia="Times New Roman" w:hAnsi="Times New Roman"/>
          <w:sz w:val="20"/>
          <w:szCs w:val="20"/>
          <w:b w:val="1"/>
          <w:bCs w:val="1"/>
          <w:i w:val="1"/>
          <w:iCs w:val="1"/>
          <w:u w:val="single" w:color="auto"/>
          <w:color w:val="0000FF"/>
        </w:rPr>
        <w:t>Intellectual Property and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u w:val="single" w:color="auto"/>
          <w:color w:val="0000FF"/>
        </w:rPr>
        <w:t>License Agreements</w:t>
      </w:r>
      <w:r>
        <w:rPr>
          <w:rFonts w:ascii="Times New Roman" w:cs="Times New Roman" w:eastAsia="Times New Roman" w:hAnsi="Times New Roman"/>
          <w:sz w:val="20"/>
          <w:szCs w:val="20"/>
          <w:b w:val="1"/>
          <w:bCs w:val="1"/>
          <w:u w:val="single" w:color="auto"/>
          <w:color w:val="0000FF"/>
        </w:rPr>
        <w:t>”</w:t>
      </w:r>
      <w:r>
        <w:rPr>
          <w:rFonts w:ascii="Times New Roman" w:cs="Times New Roman" w:eastAsia="Times New Roman" w:hAnsi="Times New Roman"/>
          <w:sz w:val="20"/>
          <w:szCs w:val="20"/>
          <w:b w:val="1"/>
          <w:bCs w:val="1"/>
          <w:i w:val="1"/>
          <w:iCs w:val="1"/>
          <w:color w:val="0000FF"/>
        </w:rPr>
        <w:t xml:space="preserve"> </w:t>
      </w:r>
      <w:r>
        <w:rPr>
          <w:rFonts w:ascii="Times New Roman" w:cs="Times New Roman" w:eastAsia="Times New Roman" w:hAnsi="Times New Roman"/>
          <w:sz w:val="20"/>
          <w:szCs w:val="20"/>
          <w:color w:val="000000"/>
        </w:rPr>
        <w:t>in Item 1. Business of this Form 10-K for additional information on these arrangements.</w:t>
      </w:r>
    </w:p>
    <w:p>
      <w:pPr>
        <w:spacing w:after="0" w:line="213" w:lineRule="exact"/>
        <w:rPr>
          <w:sz w:val="20"/>
          <w:szCs w:val="20"/>
          <w:color w:val="auto"/>
        </w:rPr>
      </w:pPr>
    </w:p>
    <w:p>
      <w:pPr>
        <w:jc w:val="both"/>
        <w:ind w:firstLine="720"/>
        <w:spacing w:after="0" w:line="260" w:lineRule="auto"/>
        <w:rPr>
          <w:sz w:val="20"/>
          <w:szCs w:val="20"/>
          <w:color w:val="auto"/>
        </w:rPr>
      </w:pPr>
      <w:r>
        <w:rPr>
          <w:rFonts w:ascii="Times New Roman" w:cs="Times New Roman" w:eastAsia="Times New Roman" w:hAnsi="Times New Roman"/>
          <w:sz w:val="20"/>
          <w:szCs w:val="20"/>
          <w:color w:val="auto"/>
        </w:rPr>
        <w:t>The contractual obligations we have disclosed do not include any potential development, regulatory and commercial milestone payments and potential royalty payments that we may be required to make under the various license agreements entered into by Centessa. We excluded these payments given that the timing of any such payments cannot be reasonably estimated at this time.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Incentivization Agreements</w:t>
      </w:r>
    </w:p>
    <w:p>
      <w:pPr>
        <w:spacing w:after="0" w:line="134" w:lineRule="exact"/>
        <w:rPr>
          <w:sz w:val="20"/>
          <w:szCs w:val="20"/>
          <w:color w:val="auto"/>
        </w:rPr>
      </w:pPr>
    </w:p>
    <w:p>
      <w:pPr>
        <w:jc w:val="both"/>
        <w:ind w:right="20" w:firstLine="720"/>
        <w:spacing w:after="0" w:line="254" w:lineRule="auto"/>
        <w:rPr>
          <w:sz w:val="20"/>
          <w:szCs w:val="20"/>
          <w:color w:val="auto"/>
        </w:rPr>
      </w:pPr>
      <w:r>
        <w:rPr>
          <w:rFonts w:ascii="Times New Roman" w:cs="Times New Roman" w:eastAsia="Times New Roman" w:hAnsi="Times New Roman"/>
          <w:sz w:val="20"/>
          <w:szCs w:val="20"/>
          <w:color w:val="auto"/>
        </w:rPr>
        <w:t>In January 2021, we established incentivization arrangements (as novated, amended or amended and restated from time to time) pursuant to which certain members of the senior management teams of each historically acquired subsidiary in January 2021 are eligible to earn certain payments based on the attainment of corresponding milestone performance by and/or an “exit event” of such historically acquired subsidiary, as applicable to each executive. As defined in the incentivization agreements, an “exit event” includes the sale or disposition (including via an out-licensing) of all or substantially all of the acquired subsidiary’s commercially valuable assets or, in the case of acquired subsidiaries with more than one asset, sale or disposition of one or more of such assets, or any sale or disposition of the applicable subsidiary’s equity which results in the purchaser of the equity acquiring a controlling interest in the applicable subsidiary.</w:t>
      </w:r>
    </w:p>
    <w:p>
      <w:pPr>
        <w:spacing w:after="0" w:line="93" w:lineRule="exact"/>
        <w:rPr>
          <w:sz w:val="20"/>
          <w:szCs w:val="20"/>
          <w:color w:val="auto"/>
        </w:rPr>
      </w:pPr>
    </w:p>
    <w:p>
      <w:pPr>
        <w:jc w:val="both"/>
        <w:ind w:firstLine="720"/>
        <w:spacing w:after="0" w:line="253" w:lineRule="auto"/>
        <w:rPr>
          <w:sz w:val="20"/>
          <w:szCs w:val="20"/>
          <w:color w:val="auto"/>
        </w:rPr>
      </w:pPr>
      <w:r>
        <w:rPr>
          <w:rFonts w:ascii="Times New Roman" w:cs="Times New Roman" w:eastAsia="Times New Roman" w:hAnsi="Times New Roman"/>
          <w:sz w:val="20"/>
          <w:szCs w:val="20"/>
          <w:color w:val="auto"/>
        </w:rPr>
        <w:t>Milestones may include the designation of a product candidate or the attainment of approvals, licenses, permits, certifications registrations or authorizations necessary for the sale of a particular product candidate or related molecules in the United States, France, Germany, Italy, Spain or the United Kingdom. Each milestone payment amount for each subsidiary is in the low eight figure range to be divided among the members of the respective subsidiary’s senior management team and employees according to the terms of its respective incentivization agreement. Any milestone payment earned will be payable in a lump sum within twenty (20) days after attainment of the milestone. Such milestone payment may be accelerated in the event of a Company change of control and would result in the termination of the applicable incentivization agreement. In addition, if a sale of a controlling interest in a subsidiary or sale (or grant of an exclusive license) of its respective product candidate occurs prior to attainment of the milestone or within the three (3) year period following attainment of the milestone, an exit payment equal in the low teens percentage of the sales proceeds less any amounts previously paid as a milestone payment (if any) and any fees, costs and expenses of the sale (excluding any earn out, milestone, royalty payment or other contingent payments but including any escrow, holdback or similar amount) will become due and payable to certain employees and members of the subsidiary’s senior management team. To the extent</w:t>
      </w:r>
    </w:p>
    <w:p>
      <w:pPr>
        <w:sectPr>
          <w:pgSz w:w="12240" w:h="15840" w:orient="portrait"/>
          <w:cols w:equalWidth="0" w:num="1">
            <w:col w:w="9900"/>
          </w:cols>
          <w:pgMar w:left="1180" w:top="208" w:right="1160" w:bottom="0" w:gutter="0" w:footer="0" w:header="0"/>
        </w:sect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122</w:t>
      </w:r>
    </w:p>
    <w:p>
      <w:pPr>
        <w:sectPr>
          <w:pgSz w:w="12240" w:h="15840" w:orient="portrait"/>
          <w:cols w:equalWidth="0" w:num="1">
            <w:col w:w="9900"/>
          </w:cols>
          <w:pgMar w:left="1180" w:top="208" w:right="1160" w:bottom="0" w:gutter="0" w:footer="0" w:header="0"/>
          <w:type w:val="continuous"/>
        </w:sectPr>
      </w:pPr>
    </w:p>
    <w:bookmarkStart w:id="122" w:name="page123"/>
    <w:bookmarkEnd w:id="122"/>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40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an exit event occurs following the occurrence of an adverse event (which includes the failure to achieve milestones within the specified time period), no exit payment will become due unless sale proceeds are in excess of an amount in the eight-figure range.</w:t>
      </w:r>
    </w:p>
    <w:p>
      <w:pPr>
        <w:spacing w:after="0" w:line="75" w:lineRule="exact"/>
        <w:rPr>
          <w:sz w:val="20"/>
          <w:szCs w:val="20"/>
          <w:color w:val="auto"/>
        </w:rPr>
      </w:pPr>
    </w:p>
    <w:p>
      <w:pPr>
        <w:jc w:val="both"/>
        <w:ind w:right="20" w:firstLine="720"/>
        <w:spacing w:after="0" w:line="260" w:lineRule="auto"/>
        <w:rPr>
          <w:sz w:val="20"/>
          <w:szCs w:val="20"/>
          <w:color w:val="auto"/>
        </w:rPr>
      </w:pPr>
      <w:r>
        <w:rPr>
          <w:rFonts w:ascii="Times New Roman" w:cs="Times New Roman" w:eastAsia="Times New Roman" w:hAnsi="Times New Roman"/>
          <w:sz w:val="20"/>
          <w:szCs w:val="20"/>
          <w:color w:val="auto"/>
        </w:rPr>
        <w:t>As of December 31, 2025, incentivization agreements associated with Centessa Bioscience, Inc. (formerly Palladio Bioscience, Inc.), Capella Bioscience Limited, Centessa Pharmaceuticals (Morphogen-IX) Limited (formerly Morphogen-IX Limited), Pearl River Bio, Pega-One SAS, ApcinteX Limited, and Z-Factor Limited have ceased to apply. Incentivization agreements in respect of our orexin program and LockBody program continue to subsist.</w:t>
      </w:r>
    </w:p>
    <w:p>
      <w:pPr>
        <w:spacing w:after="0" w:line="203" w:lineRule="exact"/>
        <w:rPr>
          <w:sz w:val="20"/>
          <w:szCs w:val="20"/>
          <w:color w:val="auto"/>
        </w:rPr>
      </w:pPr>
    </w:p>
    <w:p>
      <w:pPr>
        <w:jc w:val="both"/>
        <w:ind w:right="20" w:firstLine="720"/>
        <w:spacing w:after="0" w:line="266" w:lineRule="auto"/>
        <w:rPr>
          <w:sz w:val="20"/>
          <w:szCs w:val="20"/>
          <w:color w:val="auto"/>
        </w:rPr>
      </w:pPr>
      <w:r>
        <w:rPr>
          <w:rFonts w:ascii="Times New Roman" w:cs="Times New Roman" w:eastAsia="Times New Roman" w:hAnsi="Times New Roman"/>
          <w:sz w:val="20"/>
          <w:szCs w:val="20"/>
          <w:color w:val="auto"/>
        </w:rPr>
        <w:t>The incentivization agreements contain standard termination provisions providing that the agreements shall terminate upon the occurrence of certain events, or automatically on December 31, 2035. Other events that may trigger termination include:</w:t>
      </w:r>
    </w:p>
    <w:p>
      <w:pPr>
        <w:spacing w:after="0" w:line="75" w:lineRule="exact"/>
        <w:rPr>
          <w:sz w:val="20"/>
          <w:szCs w:val="20"/>
          <w:color w:val="auto"/>
        </w:rPr>
      </w:pPr>
    </w:p>
    <w:p>
      <w:pPr>
        <w:ind w:left="1080" w:hanging="370"/>
        <w:spacing w:after="0"/>
        <w:tabs>
          <w:tab w:leader="none" w:pos="1080"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“exit event”;</w:t>
      </w:r>
    </w:p>
    <w:p>
      <w:pPr>
        <w:spacing w:after="0" w:line="130" w:lineRule="exact"/>
        <w:rPr>
          <w:rFonts w:ascii="Times New Roman" w:cs="Times New Roman" w:eastAsia="Times New Roman" w:hAnsi="Times New Roman"/>
          <w:sz w:val="20"/>
          <w:szCs w:val="20"/>
          <w:color w:val="auto"/>
        </w:rPr>
      </w:pPr>
    </w:p>
    <w:p>
      <w:pPr>
        <w:ind w:left="1080" w:hanging="370"/>
        <w:spacing w:after="0"/>
        <w:tabs>
          <w:tab w:leader="none" w:pos="1080"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occurrence of certain asset sales in conjunction with certain milestones; and</w:t>
      </w:r>
    </w:p>
    <w:p>
      <w:pPr>
        <w:spacing w:after="0" w:line="130" w:lineRule="exact"/>
        <w:rPr>
          <w:rFonts w:ascii="Times New Roman" w:cs="Times New Roman" w:eastAsia="Times New Roman" w:hAnsi="Times New Roman"/>
          <w:sz w:val="20"/>
          <w:szCs w:val="20"/>
          <w:color w:val="auto"/>
        </w:rPr>
      </w:pPr>
    </w:p>
    <w:p>
      <w:pPr>
        <w:ind w:left="1080" w:hanging="370"/>
        <w:spacing w:after="0"/>
        <w:tabs>
          <w:tab w:leader="none" w:pos="1080"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date that is three years following achievement of certain milestones.</w:t>
      </w: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Emerging Growth Company and Smaller Reporting Company Status</w:t>
      </w:r>
    </w:p>
    <w:p>
      <w:pPr>
        <w:spacing w:after="0" w:line="137" w:lineRule="exact"/>
        <w:rPr>
          <w:sz w:val="20"/>
          <w:szCs w:val="20"/>
          <w:color w:val="auto"/>
        </w:rPr>
      </w:pPr>
    </w:p>
    <w:p>
      <w:pPr>
        <w:jc w:val="both"/>
        <w:ind w:right="20" w:firstLine="720"/>
        <w:spacing w:after="0" w:line="253" w:lineRule="auto"/>
        <w:rPr>
          <w:sz w:val="20"/>
          <w:szCs w:val="20"/>
          <w:color w:val="auto"/>
        </w:rPr>
      </w:pPr>
      <w:r>
        <w:rPr>
          <w:rFonts w:ascii="Times New Roman" w:cs="Times New Roman" w:eastAsia="Times New Roman" w:hAnsi="Times New Roman"/>
          <w:sz w:val="20"/>
          <w:szCs w:val="20"/>
          <w:color w:val="auto"/>
        </w:rPr>
        <w:t>The Company is an emerging growth company, as defined in the JOBS Act. Under the JOBS Act, emerging growth companies can delay the adoption of new or revised accounting standards issued subsequent to the enactment of the JOBS Act until such time as those standards apply to private companies. Other exemptions and reduced reporting requirements under the JOBS Act for emerging growth companies include presentation of only two years of audited financial statements in a registration statement for an initial public offering, an exemption from the requirement to provide an auditor’s report on internal controls over financial reporting pursuant to Section 404 of the Sarbanes-Oxley Act of 2002, as amended, an exemption from any requirement that may be adopted by the Public Company Accounting Oversight Board regarding mandatory audit firm rotation and less extensive disclosure about our executive compensation arrangements. The Company has elected to use the extended transition period for complying with new or revised accounting standards that have different effective dates for public and private companies until the earlier of the date that (i) it is no longer an emerging growth company or (ii) the Company affirmatively and irrevocably opts out of the extended transition period provided in the JOBS Act.</w:t>
      </w:r>
    </w:p>
    <w:p>
      <w:pPr>
        <w:spacing w:after="0" w:line="91"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The Company will remain an emerging growth company until the earliest of (i) the last day of its first fiscal year in which it has total annual gross revenues of $1.235 billion or more, (ii) the last day of its first fiscal year following the fifth anniversary of the closing of its initial public offering, (iii) the date on which it is deemed to be a “large accelerated filer,” under the rules of the SEC, or (iv) the date on which we have issued more than $1.0 billion in non-convertible debt securities during the prior three-year period.</w:t>
      </w:r>
    </w:p>
    <w:p>
      <w:pPr>
        <w:spacing w:after="0" w:line="84" w:lineRule="exact"/>
        <w:rPr>
          <w:sz w:val="20"/>
          <w:szCs w:val="20"/>
          <w:color w:val="auto"/>
        </w:rPr>
      </w:pPr>
    </w:p>
    <w:p>
      <w:pPr>
        <w:jc w:val="both"/>
        <w:ind w:right="20" w:firstLine="720"/>
        <w:spacing w:after="0" w:line="256" w:lineRule="auto"/>
        <w:rPr>
          <w:sz w:val="20"/>
          <w:szCs w:val="20"/>
          <w:color w:val="auto"/>
        </w:rPr>
      </w:pPr>
      <w:r>
        <w:rPr>
          <w:rFonts w:ascii="Times New Roman" w:cs="Times New Roman" w:eastAsia="Times New Roman" w:hAnsi="Times New Roman"/>
          <w:sz w:val="20"/>
          <w:szCs w:val="20"/>
          <w:color w:val="auto"/>
        </w:rPr>
        <w:t>The Company is also a “smaller reporting company” as defined in the Securities Exchange Act of 1934 (the “Exchange Act”). If it is a smaller reporting company at the time we cease to be an emerging growth company, the Company may continue to rely on exemptions from certain disclosure requirements that are available to smaller reporting companies. Specifically, as a smaller reporting company it may choose to present only the two most recent fiscal years of audited financial statements in its Annual Report on Form 10-K and, similar to emerging growth companies, smaller reporting companies have reduced disclosure obligations regarding executive compensation.</w:t>
      </w:r>
    </w:p>
    <w:p>
      <w:pPr>
        <w:spacing w:after="0" w:line="88" w:lineRule="exact"/>
        <w:rPr>
          <w:sz w:val="20"/>
          <w:szCs w:val="20"/>
          <w:color w:val="auto"/>
        </w:rPr>
      </w:pPr>
    </w:p>
    <w:p>
      <w:pPr>
        <w:jc w:val="both"/>
        <w:ind w:right="20" w:firstLine="720"/>
        <w:spacing w:after="0" w:line="256" w:lineRule="auto"/>
        <w:rPr>
          <w:sz w:val="20"/>
          <w:szCs w:val="20"/>
          <w:color w:val="auto"/>
        </w:rPr>
      </w:pPr>
      <w:r>
        <w:rPr>
          <w:rFonts w:ascii="Times New Roman" w:cs="Times New Roman" w:eastAsia="Times New Roman" w:hAnsi="Times New Roman"/>
          <w:sz w:val="20"/>
          <w:szCs w:val="20"/>
          <w:color w:val="auto"/>
        </w:rPr>
        <w:t>As of January 1, 2026, the Company ceased to be a “smaller reporting company” (“SRC”) as defined in the Exchange Act. For the first fiscal quarter of 2026, the Company will no longer be permitted to take advantage of scaled disclosure requirements for SRCs. The Company will retain its non-accelerated filer status for its filings due in the fiscal year 2026. The Company anticipates that it will have to comply with the auditor attestation requirements of Section 404(b) of the Sarbanes-Oxley Act for the year ended December 31, 2026, and its independent registered public accounting firm will have to evaluate and report on the effectiveness of internal control over financial reporting.</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7A. Quantitative and Qualitative Disclosures About Market Risk</w:t>
      </w:r>
    </w:p>
    <w:p>
      <w:pPr>
        <w:spacing w:after="0" w:line="137" w:lineRule="exact"/>
        <w:rPr>
          <w:sz w:val="20"/>
          <w:szCs w:val="20"/>
          <w:color w:val="auto"/>
        </w:rPr>
      </w:pPr>
    </w:p>
    <w:p>
      <w:pPr>
        <w:jc w:val="both"/>
        <w:ind w:right="20" w:firstLine="720"/>
        <w:spacing w:after="0" w:line="281" w:lineRule="auto"/>
        <w:rPr>
          <w:sz w:val="20"/>
          <w:szCs w:val="20"/>
          <w:color w:val="auto"/>
        </w:rPr>
      </w:pPr>
      <w:r>
        <w:rPr>
          <w:rFonts w:ascii="Times New Roman" w:cs="Times New Roman" w:eastAsia="Times New Roman" w:hAnsi="Times New Roman"/>
          <w:sz w:val="20"/>
          <w:szCs w:val="20"/>
          <w:color w:val="auto"/>
        </w:rPr>
        <w:t>Under SEC rules and regulations, as a smaller reporting company, we are not required to provide the information required by this item.</w:t>
      </w:r>
    </w:p>
    <w:p>
      <w:pPr>
        <w:sectPr>
          <w:pgSz w:w="12240" w:h="15840" w:orient="portrait"/>
          <w:cols w:equalWidth="0" w:num="1">
            <w:col w:w="9900"/>
          </w:cols>
          <w:pgMar w:left="1180" w:top="20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123</w:t>
      </w:r>
    </w:p>
    <w:p>
      <w:pPr>
        <w:sectPr>
          <w:pgSz w:w="12240" w:h="15840" w:orient="portrait"/>
          <w:cols w:equalWidth="0" w:num="1">
            <w:col w:w="9900"/>
          </w:cols>
          <w:pgMar w:left="1180" w:top="208" w:right="1160" w:bottom="0" w:gutter="0" w:footer="0" w:header="0"/>
          <w:type w:val="continuous"/>
        </w:sectPr>
      </w:pPr>
    </w:p>
    <w:bookmarkStart w:id="123" w:name="page124"/>
    <w:bookmarkEnd w:id="123"/>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8. Financial Statements</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the Shareholders and the Board of Directors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Centessa Pharmaceuticals plc:</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Opinion on the Consolidated Financial Statements</w:t>
      </w:r>
    </w:p>
    <w:p>
      <w:pPr>
        <w:spacing w:after="0" w:line="13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We have audited the accompanying consolidated balance sheets of Centessa Pharmaceuticals plc and subsidiaries (the Company) as of December 31, 2025 and 2024, the related consolidated statements of operations and comprehensive loss, shareholders’ equity, and cash flows for the years then ended, and the related notes (collectively, the consolidated financial statements). In our opinion, the consolidated financial statements present fairly, in all material respects, the financial position of the Company as of December 31, 2025 and 2024, and the results of its operations and its cash flows for the years then ended, in conformity with U.S. generally accepted accounting principles.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Basis for Opinion</w:t>
      </w:r>
    </w:p>
    <w:p>
      <w:pPr>
        <w:spacing w:after="0" w:line="134"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KPMG LLP</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have served as the Company’s auditor since 2021.</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Boston, Massachusetts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March 31, 2026</w:t>
      </w:r>
    </w:p>
    <w:p>
      <w:pPr>
        <w:sectPr>
          <w:pgSz w:w="12240" w:h="15840" w:orient="portrait"/>
          <w:cols w:equalWidth="0" w:num="1">
            <w:col w:w="9900"/>
          </w:cols>
          <w:pgMar w:left="1180" w:top="20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124</w:t>
      </w:r>
    </w:p>
    <w:p>
      <w:pPr>
        <w:sectPr>
          <w:pgSz w:w="12240" w:h="15840" w:orient="portrait"/>
          <w:cols w:equalWidth="0" w:num="1">
            <w:col w:w="9900"/>
          </w:cols>
          <w:pgMar w:left="1180" w:top="208" w:right="1160" w:bottom="0" w:gutter="0" w:footer="0" w:header="0"/>
          <w:type w:val="continuous"/>
        </w:sectPr>
      </w:pPr>
    </w:p>
    <w:bookmarkStart w:id="124" w:name="page125"/>
    <w:bookmarkEnd w:id="124"/>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Centessa Pharmaceuticals plc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Balance Sheets</w:t>
      </w:r>
    </w:p>
    <w:p>
      <w:pPr>
        <w:spacing w:after="0" w:line="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(amounts in thousands, except share and per share data)</w:t>
      </w:r>
    </w:p>
    <w:p>
      <w:pPr>
        <w:spacing w:after="0" w:line="31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7180" w:type="dxa"/>
            <w:vAlign w:val="bottom"/>
          </w:tcPr>
          <w:p>
            <w:pPr>
              <w:spacing w:after="0"/>
              <w:rPr>
                <w:sz w:val="19"/>
                <w:szCs w:val="19"/>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60" w:type="dxa"/>
            <w:vAlign w:val="bottom"/>
          </w:tcPr>
          <w:p>
            <w:pPr>
              <w:spacing w:after="0"/>
              <w:rPr>
                <w:sz w:val="19"/>
                <w:szCs w:val="19"/>
                <w:color w:val="auto"/>
              </w:rPr>
            </w:pP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0" w:type="dxa"/>
            <w:vAlign w:val="bottom"/>
          </w:tcPr>
          <w:p>
            <w:pPr>
              <w:spacing w:after="0"/>
              <w:rPr>
                <w:sz w:val="1"/>
                <w:szCs w:val="1"/>
                <w:color w:val="auto"/>
              </w:rPr>
            </w:pPr>
          </w:p>
        </w:tc>
      </w:tr>
      <w:tr>
        <w:trPr>
          <w:trHeight w:val="263"/>
        </w:trPr>
        <w:tc>
          <w:tcPr>
            <w:tcW w:w="71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2025</w:t>
            </w: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2024</w:t>
            </w:r>
          </w:p>
        </w:tc>
        <w:tc>
          <w:tcPr>
            <w:tcW w:w="0" w:type="dxa"/>
            <w:vAlign w:val="bottom"/>
          </w:tcPr>
          <w:p>
            <w:pPr>
              <w:spacing w:after="0"/>
              <w:rPr>
                <w:sz w:val="1"/>
                <w:szCs w:val="1"/>
                <w:color w:val="auto"/>
              </w:rPr>
            </w:pPr>
          </w:p>
        </w:tc>
      </w:tr>
      <w:tr>
        <w:trPr>
          <w:trHeight w:val="337"/>
        </w:trPr>
        <w:tc>
          <w:tcPr>
            <w:tcW w:w="71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Assets</w:t>
            </w: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Current assets:</w:t>
            </w: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71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Cash and cash equivalents</w:t>
            </w:r>
          </w:p>
        </w:tc>
        <w:tc>
          <w:tcPr>
            <w:tcW w:w="2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61,299</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383,221</w:t>
            </w:r>
          </w:p>
        </w:tc>
        <w:tc>
          <w:tcPr>
            <w:tcW w:w="0" w:type="dxa"/>
            <w:vAlign w:val="bottom"/>
          </w:tcPr>
          <w:p>
            <w:pPr>
              <w:spacing w:after="0"/>
              <w:rPr>
                <w:sz w:val="1"/>
                <w:szCs w:val="1"/>
                <w:color w:val="auto"/>
              </w:rPr>
            </w:pPr>
          </w:p>
        </w:tc>
      </w:tr>
      <w:tr>
        <w:trPr>
          <w:trHeight w:val="285"/>
        </w:trPr>
        <w:tc>
          <w:tcPr>
            <w:tcW w:w="71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Short-term investments</w:t>
            </w: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233,281</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98,956</w:t>
            </w:r>
          </w:p>
        </w:tc>
        <w:tc>
          <w:tcPr>
            <w:tcW w:w="0" w:type="dxa"/>
            <w:vAlign w:val="bottom"/>
          </w:tcPr>
          <w:p>
            <w:pPr>
              <w:spacing w:after="0"/>
              <w:rPr>
                <w:sz w:val="1"/>
                <w:szCs w:val="1"/>
                <w:color w:val="auto"/>
              </w:rPr>
            </w:pPr>
          </w:p>
        </w:tc>
      </w:tr>
      <w:tr>
        <w:trPr>
          <w:trHeight w:val="285"/>
        </w:trPr>
        <w:tc>
          <w:tcPr>
            <w:tcW w:w="71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Tax incentive receivable</w:t>
            </w: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53,917</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43,768</w:t>
            </w:r>
          </w:p>
        </w:tc>
        <w:tc>
          <w:tcPr>
            <w:tcW w:w="0" w:type="dxa"/>
            <w:vAlign w:val="bottom"/>
          </w:tcPr>
          <w:p>
            <w:pPr>
              <w:spacing w:after="0"/>
              <w:rPr>
                <w:sz w:val="1"/>
                <w:szCs w:val="1"/>
                <w:color w:val="auto"/>
              </w:rPr>
            </w:pPr>
          </w:p>
        </w:tc>
      </w:tr>
      <w:tr>
        <w:trPr>
          <w:trHeight w:val="288"/>
        </w:trPr>
        <w:tc>
          <w:tcPr>
            <w:tcW w:w="71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Prepaid expenses and other current assets</w:t>
            </w: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19,378</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10,464</w:t>
            </w:r>
          </w:p>
        </w:tc>
        <w:tc>
          <w:tcPr>
            <w:tcW w:w="0" w:type="dxa"/>
            <w:vAlign w:val="bottom"/>
          </w:tcPr>
          <w:p>
            <w:pPr>
              <w:spacing w:after="0"/>
              <w:rPr>
                <w:sz w:val="1"/>
                <w:szCs w:val="1"/>
                <w:color w:val="auto"/>
              </w:rPr>
            </w:pPr>
          </w:p>
        </w:tc>
      </w:tr>
      <w:tr>
        <w:trPr>
          <w:trHeight w:val="262"/>
        </w:trPr>
        <w:tc>
          <w:tcPr>
            <w:tcW w:w="718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Total current assets</w:t>
            </w:r>
          </w:p>
        </w:tc>
        <w:tc>
          <w:tcPr>
            <w:tcW w:w="2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367,875</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536,409</w:t>
            </w:r>
          </w:p>
        </w:tc>
        <w:tc>
          <w:tcPr>
            <w:tcW w:w="0" w:type="dxa"/>
            <w:vAlign w:val="bottom"/>
          </w:tcPr>
          <w:p>
            <w:pPr>
              <w:spacing w:after="0"/>
              <w:rPr>
                <w:sz w:val="1"/>
                <w:szCs w:val="1"/>
                <w:color w:val="auto"/>
              </w:rPr>
            </w:pPr>
          </w:p>
        </w:tc>
      </w:tr>
      <w:tr>
        <w:trPr>
          <w:trHeight w:val="285"/>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Long-term investments</w:t>
            </w: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282,548</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85"/>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Property and equipment, net</w:t>
            </w: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807</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744</w:t>
            </w:r>
          </w:p>
        </w:tc>
        <w:tc>
          <w:tcPr>
            <w:tcW w:w="0" w:type="dxa"/>
            <w:vAlign w:val="bottom"/>
          </w:tcPr>
          <w:p>
            <w:pPr>
              <w:spacing w:after="0"/>
              <w:rPr>
                <w:sz w:val="1"/>
                <w:szCs w:val="1"/>
                <w:color w:val="auto"/>
              </w:rPr>
            </w:pPr>
          </w:p>
        </w:tc>
      </w:tr>
      <w:tr>
        <w:trPr>
          <w:trHeight w:val="285"/>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Operating lease right-of-use assets</w:t>
            </w: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10,047</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11,013</w:t>
            </w:r>
          </w:p>
        </w:tc>
        <w:tc>
          <w:tcPr>
            <w:tcW w:w="0" w:type="dxa"/>
            <w:vAlign w:val="bottom"/>
          </w:tcPr>
          <w:p>
            <w:pPr>
              <w:spacing w:after="0"/>
              <w:rPr>
                <w:sz w:val="1"/>
                <w:szCs w:val="1"/>
                <w:color w:val="auto"/>
              </w:rPr>
            </w:pPr>
          </w:p>
        </w:tc>
      </w:tr>
      <w:tr>
        <w:trPr>
          <w:trHeight w:val="285"/>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Deferred tax asset</w:t>
            </w: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24,778</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26,586</w:t>
            </w:r>
          </w:p>
        </w:tc>
        <w:tc>
          <w:tcPr>
            <w:tcW w:w="0" w:type="dxa"/>
            <w:vAlign w:val="bottom"/>
          </w:tcPr>
          <w:p>
            <w:pPr>
              <w:spacing w:after="0"/>
              <w:rPr>
                <w:sz w:val="1"/>
                <w:szCs w:val="1"/>
                <w:color w:val="auto"/>
              </w:rPr>
            </w:pPr>
          </w:p>
        </w:tc>
      </w:tr>
      <w:tr>
        <w:trPr>
          <w:trHeight w:val="288"/>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Other non-current assets</w:t>
            </w: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1,440</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2,046</w:t>
            </w:r>
          </w:p>
        </w:tc>
        <w:tc>
          <w:tcPr>
            <w:tcW w:w="0" w:type="dxa"/>
            <w:vAlign w:val="bottom"/>
          </w:tcPr>
          <w:p>
            <w:pPr>
              <w:spacing w:after="0"/>
              <w:rPr>
                <w:sz w:val="1"/>
                <w:szCs w:val="1"/>
                <w:color w:val="auto"/>
              </w:rPr>
            </w:pPr>
          </w:p>
        </w:tc>
      </w:tr>
      <w:tr>
        <w:trPr>
          <w:trHeight w:val="245"/>
        </w:trPr>
        <w:tc>
          <w:tcPr>
            <w:tcW w:w="718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Total assets</w:t>
            </w:r>
          </w:p>
        </w:tc>
        <w:tc>
          <w:tcPr>
            <w:tcW w:w="2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687,495</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576,798</w:t>
            </w:r>
          </w:p>
        </w:tc>
        <w:tc>
          <w:tcPr>
            <w:tcW w:w="0" w:type="dxa"/>
            <w:vAlign w:val="bottom"/>
          </w:tcPr>
          <w:p>
            <w:pPr>
              <w:spacing w:after="0"/>
              <w:rPr>
                <w:sz w:val="1"/>
                <w:szCs w:val="1"/>
                <w:color w:val="auto"/>
              </w:rPr>
            </w:pPr>
          </w:p>
        </w:tc>
      </w:tr>
      <w:tr>
        <w:trPr>
          <w:trHeight w:val="20"/>
        </w:trPr>
        <w:tc>
          <w:tcPr>
            <w:tcW w:w="718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Liabilities</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71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Current liabilities:</w:t>
            </w: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71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Accounts payable</w:t>
            </w:r>
          </w:p>
        </w:tc>
        <w:tc>
          <w:tcPr>
            <w:tcW w:w="2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7,582</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7,143</w:t>
            </w:r>
          </w:p>
        </w:tc>
        <w:tc>
          <w:tcPr>
            <w:tcW w:w="0" w:type="dxa"/>
            <w:vAlign w:val="bottom"/>
          </w:tcPr>
          <w:p>
            <w:pPr>
              <w:spacing w:after="0"/>
              <w:rPr>
                <w:sz w:val="1"/>
                <w:szCs w:val="1"/>
                <w:color w:val="auto"/>
              </w:rPr>
            </w:pPr>
          </w:p>
        </w:tc>
      </w:tr>
      <w:tr>
        <w:trPr>
          <w:trHeight w:val="288"/>
        </w:trPr>
        <w:tc>
          <w:tcPr>
            <w:tcW w:w="71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Accrued expenses and other current liabilities</w:t>
            </w: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35,353</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50,855</w:t>
            </w:r>
          </w:p>
        </w:tc>
        <w:tc>
          <w:tcPr>
            <w:tcW w:w="0" w:type="dxa"/>
            <w:vAlign w:val="bottom"/>
          </w:tcPr>
          <w:p>
            <w:pPr>
              <w:spacing w:after="0"/>
              <w:rPr>
                <w:sz w:val="1"/>
                <w:szCs w:val="1"/>
                <w:color w:val="auto"/>
              </w:rPr>
            </w:pPr>
          </w:p>
        </w:tc>
      </w:tr>
      <w:tr>
        <w:trPr>
          <w:trHeight w:val="262"/>
        </w:trPr>
        <w:tc>
          <w:tcPr>
            <w:tcW w:w="718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Total current liabilities</w:t>
            </w:r>
          </w:p>
        </w:tc>
        <w:tc>
          <w:tcPr>
            <w:tcW w:w="2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42,935</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57,998</w:t>
            </w:r>
          </w:p>
        </w:tc>
        <w:tc>
          <w:tcPr>
            <w:tcW w:w="0" w:type="dxa"/>
            <w:vAlign w:val="bottom"/>
          </w:tcPr>
          <w:p>
            <w:pPr>
              <w:spacing w:after="0"/>
              <w:rPr>
                <w:sz w:val="1"/>
                <w:szCs w:val="1"/>
                <w:color w:val="auto"/>
              </w:rPr>
            </w:pPr>
          </w:p>
        </w:tc>
      </w:tr>
      <w:tr>
        <w:trPr>
          <w:trHeight w:val="285"/>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Long term debt (Note 6)</w:t>
            </w: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110,095</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108,940</w:t>
            </w:r>
          </w:p>
        </w:tc>
        <w:tc>
          <w:tcPr>
            <w:tcW w:w="0" w:type="dxa"/>
            <w:vAlign w:val="bottom"/>
          </w:tcPr>
          <w:p>
            <w:pPr>
              <w:spacing w:after="0"/>
              <w:rPr>
                <w:sz w:val="1"/>
                <w:szCs w:val="1"/>
                <w:color w:val="auto"/>
              </w:rPr>
            </w:pPr>
          </w:p>
        </w:tc>
      </w:tr>
      <w:tr>
        <w:trPr>
          <w:trHeight w:val="285"/>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Operating lease liabilities</w:t>
            </w: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7,573</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8,286</w:t>
            </w:r>
          </w:p>
        </w:tc>
        <w:tc>
          <w:tcPr>
            <w:tcW w:w="0" w:type="dxa"/>
            <w:vAlign w:val="bottom"/>
          </w:tcPr>
          <w:p>
            <w:pPr>
              <w:spacing w:after="0"/>
              <w:rPr>
                <w:sz w:val="1"/>
                <w:szCs w:val="1"/>
                <w:color w:val="auto"/>
              </w:rPr>
            </w:pPr>
          </w:p>
        </w:tc>
      </w:tr>
      <w:tr>
        <w:trPr>
          <w:trHeight w:val="288"/>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Other noncurrent liabilities</w:t>
            </w: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w:t>
            </w:r>
          </w:p>
        </w:tc>
        <w:tc>
          <w:tcPr>
            <w:tcW w:w="0" w:type="dxa"/>
            <w:vAlign w:val="bottom"/>
          </w:tcPr>
          <w:p>
            <w:pPr>
              <w:spacing w:after="0"/>
              <w:rPr>
                <w:sz w:val="1"/>
                <w:szCs w:val="1"/>
                <w:color w:val="auto"/>
              </w:rPr>
            </w:pPr>
          </w:p>
        </w:tc>
      </w:tr>
      <w:tr>
        <w:trPr>
          <w:trHeight w:val="265"/>
        </w:trPr>
        <w:tc>
          <w:tcPr>
            <w:tcW w:w="718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Total liabilities</w:t>
            </w:r>
          </w:p>
        </w:tc>
        <w:tc>
          <w:tcPr>
            <w:tcW w:w="2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160,632</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175,253</w:t>
            </w:r>
          </w:p>
        </w:tc>
        <w:tc>
          <w:tcPr>
            <w:tcW w:w="0" w:type="dxa"/>
            <w:vAlign w:val="bottom"/>
          </w:tcPr>
          <w:p>
            <w:pPr>
              <w:spacing w:after="0"/>
              <w:rPr>
                <w:sz w:val="1"/>
                <w:szCs w:val="1"/>
                <w:color w:val="auto"/>
              </w:rPr>
            </w:pPr>
          </w:p>
        </w:tc>
      </w:tr>
      <w:tr>
        <w:trPr>
          <w:trHeight w:val="262"/>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Commitments and contingencies (Note 7)</w:t>
            </w:r>
          </w:p>
        </w:tc>
        <w:tc>
          <w:tcPr>
            <w:tcW w:w="26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65"/>
        </w:trPr>
        <w:tc>
          <w:tcPr>
            <w:tcW w:w="71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Shareholders’ equity</w:t>
            </w: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Ordinary shares: £0.002 nominal value: 184,469,623 shares authorized; 149,228,068</w:t>
            </w: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718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shares issued and outstanding at December 31, 2025 and 132,631,587shares issued and</w:t>
            </w:r>
          </w:p>
        </w:tc>
        <w:tc>
          <w:tcPr>
            <w:tcW w:w="260" w:type="dxa"/>
            <w:vAlign w:val="bottom"/>
          </w:tcPr>
          <w:p>
            <w:pPr>
              <w:spacing w:after="0"/>
              <w:rPr>
                <w:sz w:val="17"/>
                <w:szCs w:val="17"/>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405</w:t>
            </w: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359</w:t>
            </w:r>
          </w:p>
        </w:tc>
        <w:tc>
          <w:tcPr>
            <w:tcW w:w="0" w:type="dxa"/>
            <w:vAlign w:val="bottom"/>
          </w:tcPr>
          <w:p>
            <w:pPr>
              <w:spacing w:after="0"/>
              <w:rPr>
                <w:sz w:val="1"/>
                <w:szCs w:val="1"/>
                <w:color w:val="auto"/>
              </w:rPr>
            </w:pPr>
          </w:p>
        </w:tc>
      </w:tr>
      <w:tr>
        <w:trPr>
          <w:trHeight w:val="260"/>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outstanding at December 31, 2024</w:t>
            </w:r>
          </w:p>
        </w:tc>
        <w:tc>
          <w:tcPr>
            <w:tcW w:w="260" w:type="dxa"/>
            <w:vAlign w:val="bottom"/>
          </w:tcPr>
          <w:p>
            <w:pPr>
              <w:spacing w:after="0"/>
              <w:rPr>
                <w:sz w:val="22"/>
                <w:szCs w:val="22"/>
                <w:color w:val="auto"/>
              </w:rPr>
            </w:pPr>
          </w:p>
        </w:tc>
        <w:tc>
          <w:tcPr>
            <w:tcW w:w="104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Additional paid-in capital</w:t>
            </w: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1,709,978</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1,385,675</w:t>
            </w:r>
          </w:p>
        </w:tc>
        <w:tc>
          <w:tcPr>
            <w:tcW w:w="0" w:type="dxa"/>
            <w:vAlign w:val="bottom"/>
          </w:tcPr>
          <w:p>
            <w:pPr>
              <w:spacing w:after="0"/>
              <w:rPr>
                <w:sz w:val="1"/>
                <w:szCs w:val="1"/>
                <w:color w:val="auto"/>
              </w:rPr>
            </w:pPr>
          </w:p>
        </w:tc>
      </w:tr>
      <w:tr>
        <w:trPr>
          <w:trHeight w:val="285"/>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Accumulated other comprehensive income</w:t>
            </w: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2,714</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4,213</w:t>
            </w:r>
          </w:p>
        </w:tc>
        <w:tc>
          <w:tcPr>
            <w:tcW w:w="0" w:type="dxa"/>
            <w:vAlign w:val="bottom"/>
          </w:tcPr>
          <w:p>
            <w:pPr>
              <w:spacing w:after="0"/>
              <w:rPr>
                <w:sz w:val="1"/>
                <w:szCs w:val="1"/>
                <w:color w:val="auto"/>
              </w:rPr>
            </w:pPr>
          </w:p>
        </w:tc>
      </w:tr>
      <w:tr>
        <w:trPr>
          <w:trHeight w:val="288"/>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Accumulated deficit</w:t>
            </w: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(1,186,234)</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(988,702)</w:t>
            </w:r>
          </w:p>
        </w:tc>
        <w:tc>
          <w:tcPr>
            <w:tcW w:w="0" w:type="dxa"/>
            <w:vAlign w:val="bottom"/>
          </w:tcPr>
          <w:p>
            <w:pPr>
              <w:spacing w:after="0"/>
              <w:rPr>
                <w:sz w:val="1"/>
                <w:szCs w:val="1"/>
                <w:color w:val="auto"/>
              </w:rPr>
            </w:pPr>
          </w:p>
        </w:tc>
      </w:tr>
      <w:tr>
        <w:trPr>
          <w:trHeight w:val="265"/>
        </w:trPr>
        <w:tc>
          <w:tcPr>
            <w:tcW w:w="71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Total shareholders’ equity</w:t>
            </w:r>
          </w:p>
        </w:tc>
        <w:tc>
          <w:tcPr>
            <w:tcW w:w="26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526,863</w:t>
            </w: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401,545</w:t>
            </w:r>
          </w:p>
        </w:tc>
        <w:tc>
          <w:tcPr>
            <w:tcW w:w="0" w:type="dxa"/>
            <w:vAlign w:val="bottom"/>
          </w:tcPr>
          <w:p>
            <w:pPr>
              <w:spacing w:after="0"/>
              <w:rPr>
                <w:sz w:val="1"/>
                <w:szCs w:val="1"/>
                <w:color w:val="auto"/>
              </w:rPr>
            </w:pPr>
          </w:p>
        </w:tc>
      </w:tr>
      <w:tr>
        <w:trPr>
          <w:trHeight w:val="245"/>
        </w:trPr>
        <w:tc>
          <w:tcPr>
            <w:tcW w:w="71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Total liabilities and shareholders’ equity</w:t>
            </w:r>
          </w:p>
        </w:tc>
        <w:tc>
          <w:tcPr>
            <w:tcW w:w="2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687,495</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576,798</w:t>
            </w: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-6022340</wp:posOffset>
            </wp:positionV>
            <wp:extent cx="6324600" cy="60420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8">
                      <a:extLst>
                        <a:ext uri="{28A0092B-C50C-407E-A947-70E740481C1C}"/>
                      </a:extLst>
                    </a:blip>
                    <a:srcRect/>
                    <a:stretch>
                      <a:fillRect/>
                    </a:stretch>
                  </pic:blipFill>
                  <pic:spPr bwMode="auto">
                    <a:xfrm>
                      <a:off x="0" y="0"/>
                      <a:ext cx="6324600" cy="6042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The accompanying notes are an integral part of these consolidated financial statements.</w:t>
      </w:r>
    </w:p>
    <w:p>
      <w:pPr>
        <w:sectPr>
          <w:pgSz w:w="12240" w:h="15840" w:orient="portrait"/>
          <w:cols w:equalWidth="0" w:num="1">
            <w:col w:w="9900"/>
          </w:cols>
          <w:pgMar w:left="1180" w:top="208" w:right="1160" w:bottom="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125</w:t>
      </w:r>
    </w:p>
    <w:p>
      <w:pPr>
        <w:sectPr>
          <w:pgSz w:w="12240" w:h="15840" w:orient="portrait"/>
          <w:cols w:equalWidth="0" w:num="1">
            <w:col w:w="9900"/>
          </w:cols>
          <w:pgMar w:left="1180" w:top="208" w:right="1160" w:bottom="0" w:gutter="0" w:footer="0" w:header="0"/>
          <w:type w:val="continuous"/>
        </w:sectPr>
      </w:pPr>
    </w:p>
    <w:bookmarkStart w:id="125" w:name="page126"/>
    <w:bookmarkEnd w:id="125"/>
    <w:tbl>
      <w:tblPr>
        <w:tblLayout w:type="fixed"/>
        <w:tblInd w:w="0" w:type="dxa"/>
        <w:tblCellMar>
          <w:top w:w="0" w:type="dxa"/>
          <w:left w:w="0" w:type="dxa"/>
          <w:bottom w:w="0" w:type="dxa"/>
          <w:right w:w="0" w:type="dxa"/>
        </w:tblCellMar>
      </w:tblPr>
      <w:tr>
        <w:trPr>
          <w:trHeight w:val="230"/>
        </w:trPr>
        <w:tc>
          <w:tcPr>
            <w:tcW w:w="7240" w:type="dxa"/>
            <w:vAlign w:val="bottom"/>
            <w:gridSpan w:val="2"/>
          </w:tcPr>
          <w:p>
            <w:pPr>
              <w:spacing w:after="0"/>
              <w:rPr>
                <w:sz w:val="20"/>
                <w:szCs w:val="20"/>
                <w:color w:val="auto"/>
              </w:rPr>
            </w:pPr>
            <w:r>
              <w:rPr>
                <w:rFonts w:ascii="Times New Roman" w:cs="Times New Roman" w:eastAsia="Times New Roman" w:hAnsi="Times New Roman"/>
                <w:sz w:val="20"/>
                <w:szCs w:val="20"/>
                <w:color w:val="0000FF"/>
              </w:rPr>
              <w:t>Table of Contents</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66"/>
        </w:trPr>
        <w:tc>
          <w:tcPr>
            <w:tcW w:w="1420" w:type="dxa"/>
            <w:vAlign w:val="bottom"/>
            <w:tcBorders>
              <w:top w:val="single" w:sz="8" w:color="0000FF"/>
            </w:tcBorders>
          </w:tcPr>
          <w:p>
            <w:pPr>
              <w:spacing w:after="0"/>
              <w:rPr>
                <w:sz w:val="24"/>
                <w:szCs w:val="24"/>
                <w:color w:val="auto"/>
              </w:rPr>
            </w:pPr>
          </w:p>
        </w:tc>
        <w:tc>
          <w:tcPr>
            <w:tcW w:w="5820" w:type="dxa"/>
            <w:vAlign w:val="bottom"/>
          </w:tcPr>
          <w:p>
            <w:pPr>
              <w:jc w:val="center"/>
              <w:ind w:left="1120"/>
              <w:spacing w:after="0"/>
              <w:rPr>
                <w:sz w:val="20"/>
                <w:szCs w:val="20"/>
                <w:color w:val="auto"/>
              </w:rPr>
            </w:pPr>
            <w:r>
              <w:rPr>
                <w:rFonts w:ascii="Times New Roman" w:cs="Times New Roman" w:eastAsia="Times New Roman" w:hAnsi="Times New Roman"/>
                <w:sz w:val="20"/>
                <w:szCs w:val="20"/>
                <w:b w:val="1"/>
                <w:bCs w:val="1"/>
                <w:color w:val="auto"/>
                <w:w w:val="99"/>
              </w:rPr>
              <w:t>Centessa Pharmaceuticals plc</w:t>
            </w: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1420" w:type="dxa"/>
            <w:vAlign w:val="bottom"/>
          </w:tcPr>
          <w:p>
            <w:pPr>
              <w:spacing w:after="0"/>
              <w:rPr>
                <w:sz w:val="21"/>
                <w:szCs w:val="21"/>
                <w:color w:val="auto"/>
              </w:rPr>
            </w:pPr>
          </w:p>
        </w:tc>
        <w:tc>
          <w:tcPr>
            <w:tcW w:w="7100" w:type="dxa"/>
            <w:vAlign w:val="bottom"/>
            <w:gridSpan w:val="3"/>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Consolidated Statements of Operations and Comprehensive Loss</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1420" w:type="dxa"/>
            <w:vAlign w:val="bottom"/>
          </w:tcPr>
          <w:p>
            <w:pPr>
              <w:spacing w:after="0"/>
              <w:rPr>
                <w:sz w:val="22"/>
                <w:szCs w:val="22"/>
                <w:color w:val="auto"/>
              </w:rPr>
            </w:pPr>
          </w:p>
        </w:tc>
        <w:tc>
          <w:tcPr>
            <w:tcW w:w="5820" w:type="dxa"/>
            <w:vAlign w:val="bottom"/>
          </w:tcPr>
          <w:p>
            <w:pPr>
              <w:jc w:val="center"/>
              <w:ind w:left="1120"/>
              <w:spacing w:after="0"/>
              <w:rPr>
                <w:sz w:val="20"/>
                <w:szCs w:val="20"/>
                <w:color w:val="auto"/>
              </w:rPr>
            </w:pPr>
            <w:r>
              <w:rPr>
                <w:rFonts w:ascii="Times New Roman" w:cs="Times New Roman" w:eastAsia="Times New Roman" w:hAnsi="Times New Roman"/>
                <w:sz w:val="20"/>
                <w:szCs w:val="20"/>
                <w:color w:val="auto"/>
                <w:w w:val="99"/>
              </w:rPr>
              <w:t>(amounts in thousands, except share and per share data)</w:t>
            </w: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6"/>
        </w:trPr>
        <w:tc>
          <w:tcPr>
            <w:tcW w:w="1420" w:type="dxa"/>
            <w:vAlign w:val="bottom"/>
          </w:tcPr>
          <w:p>
            <w:pPr>
              <w:spacing w:after="0"/>
              <w:rPr>
                <w:sz w:val="24"/>
                <w:szCs w:val="24"/>
                <w:color w:val="auto"/>
              </w:rPr>
            </w:pPr>
          </w:p>
        </w:tc>
        <w:tc>
          <w:tcPr>
            <w:tcW w:w="58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20"/>
                <w:szCs w:val="20"/>
                <w:b w:val="1"/>
                <w:bCs w:val="1"/>
                <w:color w:val="auto"/>
                <w:w w:val="99"/>
              </w:rPr>
              <w:t>Years Ended December 31,</w:t>
            </w:r>
          </w:p>
        </w:tc>
        <w:tc>
          <w:tcPr>
            <w:tcW w:w="0" w:type="dxa"/>
            <w:vAlign w:val="bottom"/>
          </w:tcPr>
          <w:p>
            <w:pPr>
              <w:spacing w:after="0"/>
              <w:rPr>
                <w:sz w:val="1"/>
                <w:szCs w:val="1"/>
                <w:color w:val="auto"/>
              </w:rPr>
            </w:pPr>
          </w:p>
        </w:tc>
      </w:tr>
      <w:tr>
        <w:trPr>
          <w:trHeight w:val="265"/>
        </w:trPr>
        <w:tc>
          <w:tcPr>
            <w:tcW w:w="1420" w:type="dxa"/>
            <w:vAlign w:val="bottom"/>
          </w:tcPr>
          <w:p>
            <w:pPr>
              <w:spacing w:after="0"/>
              <w:rPr>
                <w:sz w:val="23"/>
                <w:szCs w:val="23"/>
                <w:color w:val="auto"/>
              </w:rPr>
            </w:pPr>
          </w:p>
        </w:tc>
        <w:tc>
          <w:tcPr>
            <w:tcW w:w="582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2025</w:t>
            </w:r>
          </w:p>
        </w:tc>
        <w:tc>
          <w:tcPr>
            <w:tcW w:w="6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2024</w:t>
            </w:r>
          </w:p>
        </w:tc>
        <w:tc>
          <w:tcPr>
            <w:tcW w:w="0" w:type="dxa"/>
            <w:vAlign w:val="bottom"/>
          </w:tcPr>
          <w:p>
            <w:pPr>
              <w:spacing w:after="0"/>
              <w:rPr>
                <w:sz w:val="1"/>
                <w:szCs w:val="1"/>
                <w:color w:val="auto"/>
              </w:rPr>
            </w:pPr>
          </w:p>
        </w:tc>
      </w:tr>
      <w:tr>
        <w:trPr>
          <w:trHeight w:val="262"/>
        </w:trPr>
        <w:tc>
          <w:tcPr>
            <w:tcW w:w="724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License and other revenue</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15,000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85"/>
        </w:trPr>
        <w:tc>
          <w:tcPr>
            <w:tcW w:w="724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Operating expenses:</w:t>
            </w: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724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auto"/>
              </w:rPr>
              <w:t>Research and development</w:t>
            </w: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172,224</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150,244</w:t>
            </w:r>
          </w:p>
        </w:tc>
        <w:tc>
          <w:tcPr>
            <w:tcW w:w="0" w:type="dxa"/>
            <w:vAlign w:val="bottom"/>
          </w:tcPr>
          <w:p>
            <w:pPr>
              <w:spacing w:after="0"/>
              <w:rPr>
                <w:sz w:val="1"/>
                <w:szCs w:val="1"/>
                <w:color w:val="auto"/>
              </w:rPr>
            </w:pPr>
          </w:p>
        </w:tc>
      </w:tr>
      <w:tr>
        <w:trPr>
          <w:trHeight w:val="288"/>
        </w:trPr>
        <w:tc>
          <w:tcPr>
            <w:tcW w:w="724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auto"/>
              </w:rPr>
              <w:t>General and administrative</w:t>
            </w: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50,468</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50,811</w:t>
            </w:r>
          </w:p>
        </w:tc>
        <w:tc>
          <w:tcPr>
            <w:tcW w:w="0" w:type="dxa"/>
            <w:vAlign w:val="bottom"/>
          </w:tcPr>
          <w:p>
            <w:pPr>
              <w:spacing w:after="0"/>
              <w:rPr>
                <w:sz w:val="1"/>
                <w:szCs w:val="1"/>
                <w:color w:val="auto"/>
              </w:rPr>
            </w:pPr>
          </w:p>
        </w:tc>
      </w:tr>
      <w:tr>
        <w:trPr>
          <w:trHeight w:val="262"/>
        </w:trPr>
        <w:tc>
          <w:tcPr>
            <w:tcW w:w="724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Loss from operations</w:t>
            </w:r>
          </w:p>
        </w:tc>
        <w:tc>
          <w:tcPr>
            <w:tcW w:w="1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(207,692)</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(201,055)</w:t>
            </w:r>
          </w:p>
        </w:tc>
        <w:tc>
          <w:tcPr>
            <w:tcW w:w="0" w:type="dxa"/>
            <w:vAlign w:val="bottom"/>
          </w:tcPr>
          <w:p>
            <w:pPr>
              <w:spacing w:after="0"/>
              <w:rPr>
                <w:sz w:val="1"/>
                <w:szCs w:val="1"/>
                <w:color w:val="auto"/>
              </w:rPr>
            </w:pPr>
          </w:p>
        </w:tc>
      </w:tr>
      <w:tr>
        <w:trPr>
          <w:trHeight w:val="285"/>
        </w:trPr>
        <w:tc>
          <w:tcPr>
            <w:tcW w:w="724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auto"/>
              </w:rPr>
              <w:t>Interest income</w:t>
            </w: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20,527</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14,016</w:t>
            </w:r>
          </w:p>
        </w:tc>
        <w:tc>
          <w:tcPr>
            <w:tcW w:w="0" w:type="dxa"/>
            <w:vAlign w:val="bottom"/>
          </w:tcPr>
          <w:p>
            <w:pPr>
              <w:spacing w:after="0"/>
              <w:rPr>
                <w:sz w:val="1"/>
                <w:szCs w:val="1"/>
                <w:color w:val="auto"/>
              </w:rPr>
            </w:pPr>
          </w:p>
        </w:tc>
      </w:tr>
      <w:tr>
        <w:trPr>
          <w:trHeight w:val="285"/>
        </w:trPr>
        <w:tc>
          <w:tcPr>
            <w:tcW w:w="724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auto"/>
              </w:rPr>
              <w:t>Interest expense</w:t>
            </w: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(11,459)</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(10,090)</w:t>
            </w:r>
          </w:p>
        </w:tc>
        <w:tc>
          <w:tcPr>
            <w:tcW w:w="0" w:type="dxa"/>
            <w:vAlign w:val="bottom"/>
          </w:tcPr>
          <w:p>
            <w:pPr>
              <w:spacing w:after="0"/>
              <w:rPr>
                <w:sz w:val="1"/>
                <w:szCs w:val="1"/>
                <w:color w:val="auto"/>
              </w:rPr>
            </w:pPr>
          </w:p>
        </w:tc>
      </w:tr>
      <w:tr>
        <w:trPr>
          <w:trHeight w:val="285"/>
        </w:trPr>
        <w:tc>
          <w:tcPr>
            <w:tcW w:w="724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auto"/>
              </w:rPr>
              <w:t>Loss on extinguishment of debt</w:t>
            </w: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(34,097)</w:t>
            </w:r>
          </w:p>
        </w:tc>
        <w:tc>
          <w:tcPr>
            <w:tcW w:w="0" w:type="dxa"/>
            <w:vAlign w:val="bottom"/>
          </w:tcPr>
          <w:p>
            <w:pPr>
              <w:spacing w:after="0"/>
              <w:rPr>
                <w:sz w:val="1"/>
                <w:szCs w:val="1"/>
                <w:color w:val="auto"/>
              </w:rPr>
            </w:pPr>
          </w:p>
        </w:tc>
      </w:tr>
      <w:tr>
        <w:trPr>
          <w:trHeight w:val="288"/>
        </w:trPr>
        <w:tc>
          <w:tcPr>
            <w:tcW w:w="724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auto"/>
              </w:rPr>
              <w:t>Other non-operating income (expense), net</w:t>
            </w: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2,911</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(1,687)</w:t>
            </w:r>
          </w:p>
        </w:tc>
        <w:tc>
          <w:tcPr>
            <w:tcW w:w="0" w:type="dxa"/>
            <w:vAlign w:val="bottom"/>
          </w:tcPr>
          <w:p>
            <w:pPr>
              <w:spacing w:after="0"/>
              <w:rPr>
                <w:sz w:val="1"/>
                <w:szCs w:val="1"/>
                <w:color w:val="auto"/>
              </w:rPr>
            </w:pPr>
          </w:p>
        </w:tc>
      </w:tr>
      <w:tr>
        <w:trPr>
          <w:trHeight w:val="262"/>
        </w:trPr>
        <w:tc>
          <w:tcPr>
            <w:tcW w:w="724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Loss before income taxes</w:t>
            </w:r>
          </w:p>
        </w:tc>
        <w:tc>
          <w:tcPr>
            <w:tcW w:w="1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(195,713)</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(232,913)</w:t>
            </w:r>
          </w:p>
        </w:tc>
        <w:tc>
          <w:tcPr>
            <w:tcW w:w="0" w:type="dxa"/>
            <w:vAlign w:val="bottom"/>
          </w:tcPr>
          <w:p>
            <w:pPr>
              <w:spacing w:after="0"/>
              <w:rPr>
                <w:sz w:val="1"/>
                <w:szCs w:val="1"/>
                <w:color w:val="auto"/>
              </w:rPr>
            </w:pPr>
          </w:p>
        </w:tc>
      </w:tr>
      <w:tr>
        <w:trPr>
          <w:trHeight w:val="288"/>
        </w:trPr>
        <w:tc>
          <w:tcPr>
            <w:tcW w:w="724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auto"/>
              </w:rPr>
              <w:t>Income tax expense</w:t>
            </w: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1,819</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2,844</w:t>
            </w:r>
          </w:p>
        </w:tc>
        <w:tc>
          <w:tcPr>
            <w:tcW w:w="0" w:type="dxa"/>
            <w:vAlign w:val="bottom"/>
          </w:tcPr>
          <w:p>
            <w:pPr>
              <w:spacing w:after="0"/>
              <w:rPr>
                <w:sz w:val="1"/>
                <w:szCs w:val="1"/>
                <w:color w:val="auto"/>
              </w:rPr>
            </w:pPr>
          </w:p>
        </w:tc>
      </w:tr>
      <w:tr>
        <w:trPr>
          <w:trHeight w:val="262"/>
        </w:trPr>
        <w:tc>
          <w:tcPr>
            <w:tcW w:w="724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Net loss</w:t>
            </w:r>
          </w:p>
        </w:tc>
        <w:tc>
          <w:tcPr>
            <w:tcW w:w="1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(197,532)</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(235,757)</w:t>
            </w:r>
          </w:p>
        </w:tc>
        <w:tc>
          <w:tcPr>
            <w:tcW w:w="0" w:type="dxa"/>
            <w:vAlign w:val="bottom"/>
          </w:tcPr>
          <w:p>
            <w:pPr>
              <w:spacing w:after="0"/>
              <w:rPr>
                <w:sz w:val="1"/>
                <w:szCs w:val="1"/>
                <w:color w:val="auto"/>
              </w:rPr>
            </w:pPr>
          </w:p>
        </w:tc>
      </w:tr>
      <w:tr>
        <w:trPr>
          <w:trHeight w:val="570"/>
        </w:trPr>
        <w:tc>
          <w:tcPr>
            <w:tcW w:w="724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Other comprehensive (loss) income:</w:t>
            </w: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724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auto"/>
              </w:rPr>
              <w:t>Foreign currency translation adjustments</w:t>
            </w: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1,045</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1,223</w:t>
            </w:r>
          </w:p>
        </w:tc>
        <w:tc>
          <w:tcPr>
            <w:tcW w:w="0" w:type="dxa"/>
            <w:vAlign w:val="bottom"/>
          </w:tcPr>
          <w:p>
            <w:pPr>
              <w:spacing w:after="0"/>
              <w:rPr>
                <w:sz w:val="1"/>
                <w:szCs w:val="1"/>
                <w:color w:val="auto"/>
              </w:rPr>
            </w:pPr>
          </w:p>
        </w:tc>
      </w:tr>
      <w:tr>
        <w:trPr>
          <w:trHeight w:val="325"/>
        </w:trPr>
        <w:tc>
          <w:tcPr>
            <w:tcW w:w="724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auto"/>
              </w:rPr>
              <w:t>Unrealized gain on available for sale securities, net of tax of $0.1 million in 2025 and</w:t>
            </w:r>
          </w:p>
        </w:tc>
        <w:tc>
          <w:tcPr>
            <w:tcW w:w="160" w:type="dxa"/>
            <w:vAlign w:val="bottom"/>
          </w:tcPr>
          <w:p>
            <w:pPr>
              <w:spacing w:after="0"/>
              <w:rPr>
                <w:sz w:val="24"/>
                <w:szCs w:val="24"/>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243</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2,787</w:t>
            </w:r>
          </w:p>
        </w:tc>
        <w:tc>
          <w:tcPr>
            <w:tcW w:w="0" w:type="dxa"/>
            <w:vAlign w:val="bottom"/>
          </w:tcPr>
          <w:p>
            <w:pPr>
              <w:spacing w:after="0"/>
              <w:rPr>
                <w:sz w:val="1"/>
                <w:szCs w:val="1"/>
                <w:color w:val="auto"/>
              </w:rPr>
            </w:pPr>
          </w:p>
        </w:tc>
      </w:tr>
      <w:tr>
        <w:trPr>
          <w:trHeight w:val="260"/>
        </w:trPr>
        <w:tc>
          <w:tcPr>
            <w:tcW w:w="724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auto"/>
              </w:rPr>
              <w:t>$0.8 million in 2024</w:t>
            </w:r>
          </w:p>
        </w:tc>
        <w:tc>
          <w:tcPr>
            <w:tcW w:w="160" w:type="dxa"/>
            <w:vAlign w:val="bottom"/>
          </w:tcPr>
          <w:p>
            <w:pPr>
              <w:spacing w:after="0"/>
              <w:rPr>
                <w:sz w:val="22"/>
                <w:szCs w:val="22"/>
                <w:color w:val="auto"/>
              </w:rPr>
            </w:pPr>
          </w:p>
        </w:tc>
        <w:tc>
          <w:tcPr>
            <w:tcW w:w="112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05"/>
        </w:trPr>
        <w:tc>
          <w:tcPr>
            <w:tcW w:w="724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auto"/>
              </w:rPr>
              <w:t>Reclassification adjustment for realized net gain on available for sale marketable</w:t>
            </w: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7240" w:type="dxa"/>
            <w:vAlign w:val="bottom"/>
            <w:gridSpan w:val="2"/>
          </w:tcPr>
          <w:p>
            <w:pPr>
              <w:ind w:left="280"/>
              <w:spacing w:after="0" w:line="200" w:lineRule="exact"/>
              <w:rPr>
                <w:sz w:val="20"/>
                <w:szCs w:val="20"/>
                <w:color w:val="auto"/>
              </w:rPr>
            </w:pPr>
            <w:r>
              <w:rPr>
                <w:rFonts w:ascii="Times New Roman" w:cs="Times New Roman" w:eastAsia="Times New Roman" w:hAnsi="Times New Roman"/>
                <w:sz w:val="20"/>
                <w:szCs w:val="20"/>
                <w:color w:val="auto"/>
              </w:rPr>
              <w:t>securities included in net loss, net of tax of $0.8 million in 2025 and $0.4 million in</w:t>
            </w:r>
          </w:p>
        </w:tc>
        <w:tc>
          <w:tcPr>
            <w:tcW w:w="160" w:type="dxa"/>
            <w:vAlign w:val="bottom"/>
          </w:tcPr>
          <w:p>
            <w:pPr>
              <w:spacing w:after="0"/>
              <w:rPr>
                <w:sz w:val="17"/>
                <w:szCs w:val="17"/>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(2,787)</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(1,290)</w:t>
            </w:r>
          </w:p>
        </w:tc>
        <w:tc>
          <w:tcPr>
            <w:tcW w:w="0" w:type="dxa"/>
            <w:vAlign w:val="bottom"/>
          </w:tcPr>
          <w:p>
            <w:pPr>
              <w:spacing w:after="0"/>
              <w:rPr>
                <w:sz w:val="1"/>
                <w:szCs w:val="1"/>
                <w:color w:val="auto"/>
              </w:rPr>
            </w:pPr>
          </w:p>
        </w:tc>
      </w:tr>
      <w:tr>
        <w:trPr>
          <w:trHeight w:val="263"/>
        </w:trPr>
        <w:tc>
          <w:tcPr>
            <w:tcW w:w="142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2024</w:t>
            </w:r>
          </w:p>
        </w:tc>
        <w:tc>
          <w:tcPr>
            <w:tcW w:w="58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vMerge w:val="continue"/>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724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Other comprehensive (loss) income</w:t>
            </w:r>
          </w:p>
        </w:tc>
        <w:tc>
          <w:tcPr>
            <w:tcW w:w="1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(1,499)</w:t>
            </w:r>
          </w:p>
        </w:tc>
        <w:tc>
          <w:tcPr>
            <w:tcW w:w="6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2,720</w:t>
            </w:r>
          </w:p>
        </w:tc>
        <w:tc>
          <w:tcPr>
            <w:tcW w:w="0" w:type="dxa"/>
            <w:vAlign w:val="bottom"/>
          </w:tcPr>
          <w:p>
            <w:pPr>
              <w:spacing w:after="0"/>
              <w:rPr>
                <w:sz w:val="1"/>
                <w:szCs w:val="1"/>
                <w:color w:val="auto"/>
              </w:rPr>
            </w:pPr>
          </w:p>
        </w:tc>
      </w:tr>
      <w:tr>
        <w:trPr>
          <w:trHeight w:val="265"/>
        </w:trPr>
        <w:tc>
          <w:tcPr>
            <w:tcW w:w="7240" w:type="dxa"/>
            <w:vAlign w:val="bottom"/>
            <w:gridSpan w:val="2"/>
            <w:vMerge w:val="restart"/>
          </w:tcPr>
          <w:p>
            <w:pPr>
              <w:ind w:left="40"/>
              <w:spacing w:after="0"/>
              <w:rPr>
                <w:sz w:val="20"/>
                <w:szCs w:val="20"/>
                <w:color w:val="auto"/>
              </w:rPr>
            </w:pPr>
            <w:r>
              <w:rPr>
                <w:rFonts w:ascii="Times New Roman" w:cs="Times New Roman" w:eastAsia="Times New Roman" w:hAnsi="Times New Roman"/>
                <w:sz w:val="20"/>
                <w:szCs w:val="20"/>
                <w:color w:val="auto"/>
              </w:rPr>
              <w:t>Total comprehensive (loss) income</w:t>
            </w:r>
          </w:p>
        </w:tc>
        <w:tc>
          <w:tcPr>
            <w:tcW w:w="1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45"/>
        </w:trPr>
        <w:tc>
          <w:tcPr>
            <w:tcW w:w="7240" w:type="dxa"/>
            <w:vAlign w:val="bottom"/>
            <w:gridSpan w:val="2"/>
            <w:vMerge w:val="continue"/>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(199,031)</w:t>
            </w:r>
          </w:p>
        </w:tc>
        <w:tc>
          <w:tcPr>
            <w:tcW w:w="6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(233,037)</w:t>
            </w: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5"/>
        </w:trPr>
        <w:tc>
          <w:tcPr>
            <w:tcW w:w="724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Net loss per ordinary share - basic and diluted</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(2.06)</w:t>
            </w: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7"/>
        </w:trPr>
        <w:tc>
          <w:tcPr>
            <w:tcW w:w="724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Weighted average ordinary shares outstanding - basic and diluted</w:t>
            </w: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135,715,608</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114,473,449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-4737735</wp:posOffset>
            </wp:positionV>
            <wp:extent cx="6324600" cy="47593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9">
                      <a:extLst>
                        <a:ext uri="{28A0092B-C50C-407E-A947-70E740481C1C}"/>
                      </a:extLst>
                    </a:blip>
                    <a:srcRect/>
                    <a:stretch>
                      <a:fillRect/>
                    </a:stretch>
                  </pic:blipFill>
                  <pic:spPr bwMode="auto">
                    <a:xfrm>
                      <a:off x="0" y="0"/>
                      <a:ext cx="6324600" cy="4759325"/>
                    </a:xfrm>
                    <a:prstGeom prst="rect">
                      <a:avLst/>
                    </a:prstGeom>
                    <a:noFill/>
                  </pic:spPr>
                </pic:pic>
              </a:graphicData>
            </a:graphic>
          </wp:anchor>
        </w:drawing>
      </w:r>
    </w:p>
    <w:p>
      <w:pPr>
        <w:sectPr>
          <w:pgSz w:w="12240" w:h="15840" w:orient="portrait"/>
          <w:cols w:equalWidth="0" w:num="1">
            <w:col w:w="9900"/>
          </w:cols>
          <w:pgMar w:left="1180" w:top="195"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126</w:t>
      </w:r>
    </w:p>
    <w:p>
      <w:pPr>
        <w:sectPr>
          <w:pgSz w:w="12240" w:h="15840" w:orient="portrait"/>
          <w:cols w:equalWidth="0" w:num="1">
            <w:col w:w="9900"/>
          </w:cols>
          <w:pgMar w:left="1180" w:top="195" w:right="1160" w:bottom="0" w:gutter="0" w:footer="0" w:header="0"/>
          <w:type w:val="continuous"/>
        </w:sectPr>
      </w:pPr>
    </w:p>
    <w:bookmarkStart w:id="126" w:name="page127"/>
    <w:bookmarkEnd w:id="126"/>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99" w:lineRule="exact"/>
        <w:rPr>
          <w:sz w:val="20"/>
          <w:szCs w:val="20"/>
          <w:color w:val="auto"/>
        </w:rPr>
      </w:pPr>
    </w:p>
    <w:p>
      <w:pPr>
        <w:jc w:val="right"/>
        <w:ind w:right="1420"/>
        <w:spacing w:after="0"/>
        <w:rPr>
          <w:sz w:val="20"/>
          <w:szCs w:val="20"/>
          <w:color w:val="auto"/>
        </w:rPr>
      </w:pPr>
      <w:r>
        <w:rPr>
          <w:rFonts w:ascii="Times New Roman" w:cs="Times New Roman" w:eastAsia="Times New Roman" w:hAnsi="Times New Roman"/>
          <w:sz w:val="18"/>
          <w:szCs w:val="18"/>
          <w:b w:val="1"/>
          <w:bCs w:val="1"/>
          <w:i w:val="1"/>
          <w:iCs w:val="1"/>
          <w:color w:val="auto"/>
        </w:rPr>
        <w:t>The accompanying notes are an integral part of these consolidated financial statements.</w:t>
      </w:r>
    </w:p>
    <w:p>
      <w:pPr>
        <w:sectPr>
          <w:pgSz w:w="12240" w:h="15840" w:orient="portrait"/>
          <w:cols w:equalWidth="0" w:num="1">
            <w:col w:w="9620"/>
          </w:cols>
          <w:pgMar w:left="1180" w:top="208"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127</w:t>
      </w:r>
    </w:p>
    <w:p>
      <w:pPr>
        <w:sectPr>
          <w:pgSz w:w="12240" w:h="15840" w:orient="portrait"/>
          <w:cols w:equalWidth="0" w:num="1">
            <w:col w:w="9620"/>
          </w:cols>
          <w:pgMar w:left="1180" w:top="208" w:right="1440" w:bottom="0" w:gutter="0" w:footer="0" w:header="0"/>
          <w:type w:val="continuous"/>
        </w:sectPr>
      </w:pPr>
    </w:p>
    <w:bookmarkStart w:id="127" w:name="page128"/>
    <w:bookmarkEnd w:id="127"/>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67"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Centessa Pharmaceuticals plc</w:t>
      </w:r>
    </w:p>
    <w:p>
      <w:pPr>
        <w:spacing w:after="0" w:line="27"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Consolidated Statements of Shareholders' Equity</w:t>
      </w:r>
    </w:p>
    <w:p>
      <w:pPr>
        <w:spacing w:after="0" w:line="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color w:val="auto"/>
        </w:rPr>
        <w:t>(amounts in thousands, except share data)</w:t>
      </w:r>
    </w:p>
    <w:p>
      <w:pPr>
        <w:spacing w:after="0" w:line="35" w:lineRule="exact"/>
        <w:rPr>
          <w:sz w:val="20"/>
          <w:szCs w:val="20"/>
          <w:color w:val="auto"/>
        </w:rPr>
      </w:pPr>
    </w:p>
    <w:tbl>
      <w:tblPr>
        <w:tblLayout w:type="fixed"/>
        <w:tblInd w:w="840" w:type="dxa"/>
        <w:tblCellMar>
          <w:top w:w="0" w:type="dxa"/>
          <w:left w:w="0" w:type="dxa"/>
          <w:bottom w:w="0" w:type="dxa"/>
          <w:right w:w="0" w:type="dxa"/>
        </w:tblCellMar>
      </w:tblPr>
      <w:tr>
        <w:trPr>
          <w:trHeight w:val="184"/>
        </w:trPr>
        <w:tc>
          <w:tcPr>
            <w:tcW w:w="5100" w:type="dxa"/>
            <w:vAlign w:val="bottom"/>
          </w:tcPr>
          <w:p>
            <w:pPr>
              <w:spacing w:after="0"/>
              <w:rPr>
                <w:sz w:val="16"/>
                <w:szCs w:val="16"/>
                <w:color w:val="auto"/>
              </w:rPr>
            </w:pPr>
          </w:p>
        </w:tc>
        <w:tc>
          <w:tcPr>
            <w:tcW w:w="2160" w:type="dxa"/>
            <w:vAlign w:val="bottom"/>
            <w:gridSpan w:val="3"/>
            <w:vMerge w:val="restart"/>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Ordinary shares</w:t>
            </w: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5100" w:type="dxa"/>
            <w:vAlign w:val="bottom"/>
          </w:tcPr>
          <w:p>
            <w:pPr>
              <w:spacing w:after="0"/>
              <w:rPr>
                <w:sz w:val="14"/>
                <w:szCs w:val="14"/>
                <w:color w:val="auto"/>
              </w:rPr>
            </w:pPr>
          </w:p>
        </w:tc>
        <w:tc>
          <w:tcPr>
            <w:tcW w:w="216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jc w:val="center"/>
              <w:ind w:right="140"/>
              <w:spacing w:after="0" w:line="165" w:lineRule="exact"/>
              <w:rPr>
                <w:sz w:val="20"/>
                <w:szCs w:val="20"/>
                <w:color w:val="auto"/>
              </w:rPr>
            </w:pPr>
            <w:r>
              <w:rPr>
                <w:rFonts w:ascii="Times New Roman" w:cs="Times New Roman" w:eastAsia="Times New Roman" w:hAnsi="Times New Roman"/>
                <w:sz w:val="16"/>
                <w:szCs w:val="16"/>
                <w:b w:val="1"/>
                <w:bCs w:val="1"/>
                <w:color w:val="auto"/>
                <w:w w:val="98"/>
              </w:rPr>
              <w:t>other</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5100" w:type="dxa"/>
            <w:vAlign w:val="bottom"/>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0" w:type="dxa"/>
            <w:vAlign w:val="bottom"/>
            <w:vMerge w:val="restart"/>
          </w:tcPr>
          <w:p>
            <w:pPr>
              <w:jc w:val="center"/>
              <w:ind w:right="100"/>
              <w:spacing w:after="0" w:line="155" w:lineRule="exact"/>
              <w:rPr>
                <w:sz w:val="20"/>
                <w:szCs w:val="20"/>
                <w:color w:val="auto"/>
              </w:rPr>
            </w:pPr>
            <w:r>
              <w:rPr>
                <w:rFonts w:ascii="Times New Roman" w:cs="Times New Roman" w:eastAsia="Times New Roman" w:hAnsi="Times New Roman"/>
                <w:sz w:val="16"/>
                <w:szCs w:val="16"/>
                <w:b w:val="1"/>
                <w:bCs w:val="1"/>
                <w:color w:val="auto"/>
              </w:rPr>
              <w:t>paid-in</w:t>
            </w: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20" w:type="dxa"/>
            <w:vAlign w:val="bottom"/>
            <w:vMerge w:val="restart"/>
          </w:tcPr>
          <w:p>
            <w:pPr>
              <w:jc w:val="center"/>
              <w:ind w:right="120"/>
              <w:spacing w:after="0" w:line="155" w:lineRule="exact"/>
              <w:rPr>
                <w:sz w:val="20"/>
                <w:szCs w:val="20"/>
                <w:color w:val="auto"/>
              </w:rPr>
            </w:pPr>
            <w:r>
              <w:rPr>
                <w:rFonts w:ascii="Times New Roman" w:cs="Times New Roman" w:eastAsia="Times New Roman" w:hAnsi="Times New Roman"/>
                <w:sz w:val="16"/>
                <w:szCs w:val="16"/>
                <w:b w:val="1"/>
                <w:bCs w:val="1"/>
                <w:color w:val="auto"/>
                <w:w w:val="99"/>
              </w:rPr>
              <w:t>comprehensive</w:t>
            </w: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40" w:type="dxa"/>
            <w:vAlign w:val="bottom"/>
            <w:vMerge w:val="restart"/>
          </w:tcPr>
          <w:p>
            <w:pPr>
              <w:jc w:val="right"/>
              <w:ind w:right="120"/>
              <w:spacing w:after="0" w:line="155"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1"/>
        </w:trPr>
        <w:tc>
          <w:tcPr>
            <w:tcW w:w="5100" w:type="dxa"/>
            <w:vAlign w:val="bottom"/>
          </w:tcPr>
          <w:p>
            <w:pPr>
              <w:spacing w:after="0"/>
              <w:rPr>
                <w:sz w:val="7"/>
                <w:szCs w:val="7"/>
                <w:color w:val="auto"/>
              </w:rPr>
            </w:pPr>
          </w:p>
        </w:tc>
        <w:tc>
          <w:tcPr>
            <w:tcW w:w="1200" w:type="dxa"/>
            <w:vAlign w:val="bottom"/>
            <w:vMerge w:val="restart"/>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60" w:type="dxa"/>
            <w:vAlign w:val="bottom"/>
          </w:tcPr>
          <w:p>
            <w:pPr>
              <w:spacing w:after="0"/>
              <w:rPr>
                <w:sz w:val="7"/>
                <w:szCs w:val="7"/>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2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tcPr>
          <w:p>
            <w:pPr>
              <w:spacing w:after="0"/>
              <w:rPr>
                <w:sz w:val="7"/>
                <w:szCs w:val="7"/>
                <w:color w:val="auto"/>
              </w:rPr>
            </w:pPr>
          </w:p>
        </w:tc>
        <w:tc>
          <w:tcPr>
            <w:tcW w:w="940" w:type="dxa"/>
            <w:vAlign w:val="bottom"/>
            <w:vMerge w:val="restart"/>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5100" w:type="dxa"/>
            <w:vAlign w:val="bottom"/>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capital</w:t>
            </w:r>
          </w:p>
        </w:tc>
        <w:tc>
          <w:tcPr>
            <w:tcW w:w="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income</w:t>
            </w: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1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at December 31, 2023</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98,774,827</w:t>
            </w:r>
          </w:p>
        </w:tc>
        <w:tc>
          <w:tcPr>
            <w:tcW w:w="60" w:type="dxa"/>
            <w:vAlign w:val="bottom"/>
          </w:tcPr>
          <w:p>
            <w:pPr>
              <w:spacing w:after="0"/>
              <w:rPr>
                <w:sz w:val="19"/>
                <w:szCs w:val="19"/>
                <w:color w:val="auto"/>
              </w:rPr>
            </w:pPr>
          </w:p>
        </w:tc>
        <w:tc>
          <w:tcPr>
            <w:tcW w:w="900" w:type="dxa"/>
            <w:vAlign w:val="bottom"/>
          </w:tcPr>
          <w:p>
            <w:pPr>
              <w:jc w:val="right"/>
              <w:ind w:right="680"/>
              <w:spacing w:after="0"/>
              <w:rPr>
                <w:sz w:val="20"/>
                <w:szCs w:val="20"/>
                <w:color w:val="auto"/>
              </w:rPr>
            </w:pPr>
            <w:r>
              <w:rPr>
                <w:rFonts w:ascii="Times New Roman" w:cs="Times New Roman" w:eastAsia="Times New Roman" w:hAnsi="Times New Roman"/>
                <w:sz w:val="16"/>
                <w:szCs w:val="16"/>
                <w:b w:val="1"/>
                <w:bCs w:val="1"/>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1"/>
              </w:rPr>
              <w:t>273</w:t>
            </w:r>
          </w:p>
        </w:tc>
        <w:tc>
          <w:tcPr>
            <w:tcW w:w="6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987,423</w:t>
            </w:r>
          </w:p>
        </w:tc>
        <w:tc>
          <w:tcPr>
            <w:tcW w:w="6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1,493</w:t>
            </w:r>
          </w:p>
        </w:tc>
        <w:tc>
          <w:tcPr>
            <w:tcW w:w="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(752,945)</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236,244</w:t>
            </w:r>
          </w:p>
        </w:tc>
        <w:tc>
          <w:tcPr>
            <w:tcW w:w="0" w:type="dxa"/>
            <w:vAlign w:val="bottom"/>
          </w:tcPr>
          <w:p>
            <w:pPr>
              <w:spacing w:after="0"/>
              <w:rPr>
                <w:sz w:val="1"/>
                <w:szCs w:val="1"/>
                <w:color w:val="auto"/>
              </w:rPr>
            </w:pPr>
          </w:p>
        </w:tc>
      </w:tr>
      <w:tr>
        <w:trPr>
          <w:trHeight w:val="240"/>
        </w:trPr>
        <w:tc>
          <w:tcPr>
            <w:tcW w:w="5100" w:type="dxa"/>
            <w:vAlign w:val="bottom"/>
          </w:tcPr>
          <w:p>
            <w:pPr>
              <w:spacing w:after="0"/>
              <w:rPr>
                <w:sz w:val="20"/>
                <w:szCs w:val="20"/>
                <w:color w:val="auto"/>
              </w:rPr>
            </w:pPr>
            <w:r>
              <w:rPr>
                <w:rFonts w:ascii="Times New Roman" w:cs="Times New Roman" w:eastAsia="Times New Roman" w:hAnsi="Times New Roman"/>
                <w:sz w:val="16"/>
                <w:szCs w:val="16"/>
                <w:color w:val="auto"/>
              </w:rPr>
              <w:t>Issuance of ordinary shares under share offerings, net of issuance costs</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29,932,626</w:t>
            </w:r>
          </w:p>
        </w:tc>
        <w:tc>
          <w:tcPr>
            <w:tcW w:w="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349,874</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349,950</w:t>
            </w:r>
          </w:p>
        </w:tc>
        <w:tc>
          <w:tcPr>
            <w:tcW w:w="0" w:type="dxa"/>
            <w:vAlign w:val="bottom"/>
          </w:tcPr>
          <w:p>
            <w:pPr>
              <w:spacing w:after="0"/>
              <w:rPr>
                <w:sz w:val="1"/>
                <w:szCs w:val="1"/>
                <w:color w:val="auto"/>
              </w:rPr>
            </w:pPr>
          </w:p>
        </w:tc>
      </w:tr>
      <w:tr>
        <w:trPr>
          <w:trHeight w:val="240"/>
        </w:trPr>
        <w:tc>
          <w:tcPr>
            <w:tcW w:w="5100" w:type="dxa"/>
            <w:vAlign w:val="bottom"/>
          </w:tcPr>
          <w:p>
            <w:pPr>
              <w:spacing w:after="0"/>
              <w:rPr>
                <w:sz w:val="20"/>
                <w:szCs w:val="20"/>
                <w:color w:val="auto"/>
              </w:rPr>
            </w:pPr>
            <w:r>
              <w:rPr>
                <w:rFonts w:ascii="Times New Roman" w:cs="Times New Roman" w:eastAsia="Times New Roman" w:hAnsi="Times New Roman"/>
                <w:sz w:val="16"/>
                <w:szCs w:val="16"/>
                <w:color w:val="auto"/>
              </w:rPr>
              <w:t>Issuance of ordinary shares under ATM program, net of issuance costs</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1,250,000</w:t>
            </w:r>
          </w:p>
        </w:tc>
        <w:tc>
          <w:tcPr>
            <w:tcW w:w="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9,652</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9,655</w:t>
            </w:r>
          </w:p>
        </w:tc>
        <w:tc>
          <w:tcPr>
            <w:tcW w:w="0" w:type="dxa"/>
            <w:vAlign w:val="bottom"/>
          </w:tcPr>
          <w:p>
            <w:pPr>
              <w:spacing w:after="0"/>
              <w:rPr>
                <w:sz w:val="1"/>
                <w:szCs w:val="1"/>
                <w:color w:val="auto"/>
              </w:rPr>
            </w:pPr>
          </w:p>
        </w:tc>
      </w:tr>
      <w:tr>
        <w:trPr>
          <w:trHeight w:val="240"/>
        </w:trPr>
        <w:tc>
          <w:tcPr>
            <w:tcW w:w="5100" w:type="dxa"/>
            <w:vAlign w:val="bottom"/>
          </w:tcPr>
          <w:p>
            <w:pPr>
              <w:spacing w:after="0"/>
              <w:rPr>
                <w:sz w:val="20"/>
                <w:szCs w:val="20"/>
                <w:color w:val="auto"/>
              </w:rPr>
            </w:pPr>
            <w:r>
              <w:rPr>
                <w:rFonts w:ascii="Times New Roman" w:cs="Times New Roman" w:eastAsia="Times New Roman" w:hAnsi="Times New Roman"/>
                <w:sz w:val="16"/>
                <w:szCs w:val="16"/>
                <w:color w:val="auto"/>
              </w:rPr>
              <w:t>Stock option exercises</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1,853,718</w:t>
            </w:r>
          </w:p>
        </w:tc>
        <w:tc>
          <w:tcPr>
            <w:tcW w:w="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11,259</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11,263</w:t>
            </w:r>
          </w:p>
        </w:tc>
        <w:tc>
          <w:tcPr>
            <w:tcW w:w="0" w:type="dxa"/>
            <w:vAlign w:val="bottom"/>
          </w:tcPr>
          <w:p>
            <w:pPr>
              <w:spacing w:after="0"/>
              <w:rPr>
                <w:sz w:val="1"/>
                <w:szCs w:val="1"/>
                <w:color w:val="auto"/>
              </w:rPr>
            </w:pPr>
          </w:p>
        </w:tc>
      </w:tr>
      <w:tr>
        <w:trPr>
          <w:trHeight w:val="255"/>
        </w:trPr>
        <w:tc>
          <w:tcPr>
            <w:tcW w:w="5100" w:type="dxa"/>
            <w:vAlign w:val="bottom"/>
          </w:tcPr>
          <w:p>
            <w:pPr>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33,546</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33,546</w:t>
            </w:r>
          </w:p>
        </w:tc>
        <w:tc>
          <w:tcPr>
            <w:tcW w:w="0" w:type="dxa"/>
            <w:vAlign w:val="bottom"/>
          </w:tcPr>
          <w:p>
            <w:pPr>
              <w:spacing w:after="0"/>
              <w:rPr>
                <w:sz w:val="1"/>
                <w:szCs w:val="1"/>
                <w:color w:val="auto"/>
              </w:rPr>
            </w:pPr>
          </w:p>
        </w:tc>
      </w:tr>
      <w:tr>
        <w:trPr>
          <w:trHeight w:val="240"/>
        </w:trPr>
        <w:tc>
          <w:tcPr>
            <w:tcW w:w="5100" w:type="dxa"/>
            <w:vAlign w:val="bottom"/>
          </w:tcPr>
          <w:p>
            <w:pPr>
              <w:spacing w:after="0"/>
              <w:rPr>
                <w:sz w:val="20"/>
                <w:szCs w:val="20"/>
                <w:color w:val="auto"/>
              </w:rPr>
            </w:pPr>
            <w:r>
              <w:rPr>
                <w:rFonts w:ascii="Times New Roman" w:cs="Times New Roman" w:eastAsia="Times New Roman" w:hAnsi="Times New Roman"/>
                <w:sz w:val="16"/>
                <w:szCs w:val="16"/>
                <w:color w:val="auto"/>
              </w:rPr>
              <w:t>Vesting of ordinary shares</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1,328,991</w:t>
            </w:r>
          </w:p>
        </w:tc>
        <w:tc>
          <w:tcPr>
            <w:tcW w:w="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0"/>
        </w:trPr>
        <w:tc>
          <w:tcPr>
            <w:tcW w:w="5100" w:type="dxa"/>
            <w:vAlign w:val="bottom"/>
          </w:tcPr>
          <w:p>
            <w:pPr>
              <w:spacing w:after="0"/>
              <w:rPr>
                <w:sz w:val="20"/>
                <w:szCs w:val="20"/>
                <w:color w:val="auto"/>
              </w:rPr>
            </w:pPr>
            <w:r>
              <w:rPr>
                <w:rFonts w:ascii="Times New Roman" w:cs="Times New Roman" w:eastAsia="Times New Roman" w:hAnsi="Times New Roman"/>
                <w:sz w:val="16"/>
                <w:szCs w:val="16"/>
                <w:color w:val="auto"/>
              </w:rPr>
              <w:t>Shares withheld to pay employee withholding tax on equity awards</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(508,575)</w:t>
            </w:r>
          </w:p>
        </w:tc>
        <w:tc>
          <w:tcPr>
            <w:tcW w:w="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(6,076)</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(6,076)</w:t>
            </w:r>
          </w:p>
        </w:tc>
        <w:tc>
          <w:tcPr>
            <w:tcW w:w="0" w:type="dxa"/>
            <w:vAlign w:val="bottom"/>
          </w:tcPr>
          <w:p>
            <w:pPr>
              <w:spacing w:after="0"/>
              <w:rPr>
                <w:sz w:val="1"/>
                <w:szCs w:val="1"/>
                <w:color w:val="auto"/>
              </w:rPr>
            </w:pPr>
          </w:p>
        </w:tc>
      </w:tr>
      <w:tr>
        <w:trPr>
          <w:trHeight w:val="240"/>
        </w:trPr>
        <w:tc>
          <w:tcPr>
            <w:tcW w:w="5100" w:type="dxa"/>
            <w:vAlign w:val="bottom"/>
          </w:tcPr>
          <w:p>
            <w:pPr>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1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1,223</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1,223</w:t>
            </w:r>
          </w:p>
        </w:tc>
        <w:tc>
          <w:tcPr>
            <w:tcW w:w="0" w:type="dxa"/>
            <w:vAlign w:val="bottom"/>
          </w:tcPr>
          <w:p>
            <w:pPr>
              <w:spacing w:after="0"/>
              <w:rPr>
                <w:sz w:val="1"/>
                <w:szCs w:val="1"/>
                <w:color w:val="auto"/>
              </w:rPr>
            </w:pPr>
          </w:p>
        </w:tc>
      </w:tr>
      <w:tr>
        <w:trPr>
          <w:trHeight w:val="228"/>
        </w:trPr>
        <w:tc>
          <w:tcPr>
            <w:tcW w:w="5100" w:type="dxa"/>
            <w:vAlign w:val="bottom"/>
          </w:tcPr>
          <w:p>
            <w:pPr>
              <w:spacing w:after="0"/>
              <w:rPr>
                <w:sz w:val="20"/>
                <w:szCs w:val="20"/>
                <w:color w:val="auto"/>
              </w:rPr>
            </w:pPr>
            <w:r>
              <w:rPr>
                <w:rFonts w:ascii="Times New Roman" w:cs="Times New Roman" w:eastAsia="Times New Roman" w:hAnsi="Times New Roman"/>
                <w:sz w:val="16"/>
                <w:szCs w:val="16"/>
                <w:color w:val="auto"/>
              </w:rPr>
              <w:t>Unrealized gain on available for sale securities, net of tax of $0.8 million</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2,787</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2,787</w:t>
            </w:r>
          </w:p>
        </w:tc>
        <w:tc>
          <w:tcPr>
            <w:tcW w:w="0" w:type="dxa"/>
            <w:vAlign w:val="bottom"/>
          </w:tcPr>
          <w:p>
            <w:pPr>
              <w:spacing w:after="0"/>
              <w:rPr>
                <w:sz w:val="1"/>
                <w:szCs w:val="1"/>
                <w:color w:val="auto"/>
              </w:rPr>
            </w:pPr>
          </w:p>
        </w:tc>
      </w:tr>
      <w:tr>
        <w:trPr>
          <w:trHeight w:val="177"/>
        </w:trPr>
        <w:tc>
          <w:tcPr>
            <w:tcW w:w="5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1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Reclassification adjustment for realized net gain on available for sale</w:t>
            </w: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(1,290)</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100" w:type="dxa"/>
            <w:vAlign w:val="bottom"/>
          </w:tcPr>
          <w:p>
            <w:pPr>
              <w:spacing w:after="0"/>
              <w:rPr>
                <w:sz w:val="20"/>
                <w:szCs w:val="20"/>
                <w:color w:val="auto"/>
              </w:rPr>
            </w:pPr>
            <w:r>
              <w:rPr>
                <w:rFonts w:ascii="Times New Roman" w:cs="Times New Roman" w:eastAsia="Times New Roman" w:hAnsi="Times New Roman"/>
                <w:sz w:val="16"/>
                <w:szCs w:val="16"/>
                <w:color w:val="auto"/>
              </w:rPr>
              <w:t>marketable securities included in net loss, net of tax of $0.4 million</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(1,290)</w:t>
            </w:r>
          </w:p>
        </w:tc>
        <w:tc>
          <w:tcPr>
            <w:tcW w:w="0" w:type="dxa"/>
            <w:vAlign w:val="bottom"/>
          </w:tcPr>
          <w:p>
            <w:pPr>
              <w:spacing w:after="0"/>
              <w:rPr>
                <w:sz w:val="1"/>
                <w:szCs w:val="1"/>
                <w:color w:val="auto"/>
              </w:rPr>
            </w:pPr>
          </w:p>
        </w:tc>
      </w:tr>
      <w:tr>
        <w:trPr>
          <w:trHeight w:val="92"/>
        </w:trPr>
        <w:tc>
          <w:tcPr>
            <w:tcW w:w="5100" w:type="dxa"/>
            <w:vAlign w:val="bottom"/>
          </w:tcPr>
          <w:p>
            <w:pPr>
              <w:spacing w:after="0"/>
              <w:rPr>
                <w:sz w:val="7"/>
                <w:szCs w:val="7"/>
                <w:color w:val="auto"/>
              </w:rPr>
            </w:pPr>
          </w:p>
        </w:tc>
        <w:tc>
          <w:tcPr>
            <w:tcW w:w="120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9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2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tcPr>
          <w:p>
            <w:pPr>
              <w:spacing w:after="0"/>
              <w:rPr>
                <w:sz w:val="7"/>
                <w:szCs w:val="7"/>
                <w:color w:val="auto"/>
              </w:rPr>
            </w:pPr>
          </w:p>
        </w:tc>
        <w:tc>
          <w:tcPr>
            <w:tcW w:w="9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61"/>
        </w:trPr>
        <w:tc>
          <w:tcPr>
            <w:tcW w:w="510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(235,757)</w:t>
            </w:r>
          </w:p>
        </w:tc>
        <w:tc>
          <w:tcPr>
            <w:tcW w:w="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(235,757)</w:t>
            </w:r>
          </w:p>
        </w:tc>
        <w:tc>
          <w:tcPr>
            <w:tcW w:w="0" w:type="dxa"/>
            <w:vAlign w:val="bottom"/>
          </w:tcPr>
          <w:p>
            <w:pPr>
              <w:spacing w:after="0"/>
              <w:rPr>
                <w:sz w:val="1"/>
                <w:szCs w:val="1"/>
                <w:color w:val="auto"/>
              </w:rPr>
            </w:pPr>
          </w:p>
        </w:tc>
      </w:tr>
      <w:tr>
        <w:trPr>
          <w:trHeight w:val="229"/>
        </w:trPr>
        <w:tc>
          <w:tcPr>
            <w:tcW w:w="51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at December 31, 2024</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132,631,587</w:t>
            </w:r>
          </w:p>
        </w:tc>
        <w:tc>
          <w:tcPr>
            <w:tcW w:w="60" w:type="dxa"/>
            <w:vAlign w:val="bottom"/>
          </w:tcPr>
          <w:p>
            <w:pPr>
              <w:spacing w:after="0"/>
              <w:rPr>
                <w:sz w:val="19"/>
                <w:szCs w:val="19"/>
                <w:color w:val="auto"/>
              </w:rPr>
            </w:pPr>
          </w:p>
        </w:tc>
        <w:tc>
          <w:tcPr>
            <w:tcW w:w="900" w:type="dxa"/>
            <w:vAlign w:val="bottom"/>
          </w:tcPr>
          <w:p>
            <w:pPr>
              <w:jc w:val="right"/>
              <w:ind w:right="680"/>
              <w:spacing w:after="0"/>
              <w:rPr>
                <w:sz w:val="20"/>
                <w:szCs w:val="20"/>
                <w:color w:val="auto"/>
              </w:rPr>
            </w:pPr>
            <w:r>
              <w:rPr>
                <w:rFonts w:ascii="Times New Roman" w:cs="Times New Roman" w:eastAsia="Times New Roman" w:hAnsi="Times New Roman"/>
                <w:sz w:val="16"/>
                <w:szCs w:val="16"/>
                <w:b w:val="1"/>
                <w:bCs w:val="1"/>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1"/>
              </w:rPr>
              <w:t>359</w:t>
            </w:r>
          </w:p>
        </w:tc>
        <w:tc>
          <w:tcPr>
            <w:tcW w:w="6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1,385,675</w:t>
            </w:r>
          </w:p>
        </w:tc>
        <w:tc>
          <w:tcPr>
            <w:tcW w:w="6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4,213</w:t>
            </w:r>
          </w:p>
        </w:tc>
        <w:tc>
          <w:tcPr>
            <w:tcW w:w="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(988,702)</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401,545</w:t>
            </w:r>
          </w:p>
        </w:tc>
        <w:tc>
          <w:tcPr>
            <w:tcW w:w="0" w:type="dxa"/>
            <w:vAlign w:val="bottom"/>
          </w:tcPr>
          <w:p>
            <w:pPr>
              <w:spacing w:after="0"/>
              <w:rPr>
                <w:sz w:val="1"/>
                <w:szCs w:val="1"/>
                <w:color w:val="auto"/>
              </w:rPr>
            </w:pPr>
          </w:p>
        </w:tc>
      </w:tr>
      <w:tr>
        <w:trPr>
          <w:trHeight w:val="255"/>
        </w:trPr>
        <w:tc>
          <w:tcPr>
            <w:tcW w:w="5100" w:type="dxa"/>
            <w:vAlign w:val="bottom"/>
          </w:tcPr>
          <w:p>
            <w:pPr>
              <w:spacing w:after="0"/>
              <w:rPr>
                <w:sz w:val="20"/>
                <w:szCs w:val="20"/>
                <w:color w:val="auto"/>
              </w:rPr>
            </w:pPr>
            <w:r>
              <w:rPr>
                <w:rFonts w:ascii="Times New Roman" w:cs="Times New Roman" w:eastAsia="Times New Roman" w:hAnsi="Times New Roman"/>
                <w:sz w:val="16"/>
                <w:szCs w:val="16"/>
                <w:color w:val="auto"/>
              </w:rPr>
              <w:t>Issuance of ordinary shares under share offerings, net of issuance costs</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13,372,093</w:t>
            </w:r>
          </w:p>
        </w:tc>
        <w:tc>
          <w:tcPr>
            <w:tcW w:w="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269,213</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269,249</w:t>
            </w:r>
          </w:p>
        </w:tc>
        <w:tc>
          <w:tcPr>
            <w:tcW w:w="0" w:type="dxa"/>
            <w:vAlign w:val="bottom"/>
          </w:tcPr>
          <w:p>
            <w:pPr>
              <w:spacing w:after="0"/>
              <w:rPr>
                <w:sz w:val="1"/>
                <w:szCs w:val="1"/>
                <w:color w:val="auto"/>
              </w:rPr>
            </w:pPr>
          </w:p>
        </w:tc>
      </w:tr>
      <w:tr>
        <w:trPr>
          <w:trHeight w:val="255"/>
        </w:trPr>
        <w:tc>
          <w:tcPr>
            <w:tcW w:w="5100" w:type="dxa"/>
            <w:vAlign w:val="bottom"/>
          </w:tcPr>
          <w:p>
            <w:pPr>
              <w:spacing w:after="0"/>
              <w:rPr>
                <w:sz w:val="20"/>
                <w:szCs w:val="20"/>
                <w:color w:val="auto"/>
              </w:rPr>
            </w:pPr>
            <w:r>
              <w:rPr>
                <w:rFonts w:ascii="Times New Roman" w:cs="Times New Roman" w:eastAsia="Times New Roman" w:hAnsi="Times New Roman"/>
                <w:sz w:val="16"/>
                <w:szCs w:val="16"/>
                <w:color w:val="auto"/>
              </w:rPr>
              <w:t>Issuance of ordinary shares under ATM program, net of issuance costs</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372,538</w:t>
            </w:r>
          </w:p>
        </w:tc>
        <w:tc>
          <w:tcPr>
            <w:tcW w:w="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6,108</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6,109</w:t>
            </w:r>
          </w:p>
        </w:tc>
        <w:tc>
          <w:tcPr>
            <w:tcW w:w="0" w:type="dxa"/>
            <w:vAlign w:val="bottom"/>
          </w:tcPr>
          <w:p>
            <w:pPr>
              <w:spacing w:after="0"/>
              <w:rPr>
                <w:sz w:val="1"/>
                <w:szCs w:val="1"/>
                <w:color w:val="auto"/>
              </w:rPr>
            </w:pPr>
          </w:p>
        </w:tc>
      </w:tr>
      <w:tr>
        <w:trPr>
          <w:trHeight w:val="255"/>
        </w:trPr>
        <w:tc>
          <w:tcPr>
            <w:tcW w:w="5100" w:type="dxa"/>
            <w:vAlign w:val="bottom"/>
          </w:tcPr>
          <w:p>
            <w:pPr>
              <w:spacing w:after="0"/>
              <w:rPr>
                <w:sz w:val="20"/>
                <w:szCs w:val="20"/>
                <w:color w:val="auto"/>
              </w:rPr>
            </w:pPr>
            <w:r>
              <w:rPr>
                <w:rFonts w:ascii="Times New Roman" w:cs="Times New Roman" w:eastAsia="Times New Roman" w:hAnsi="Times New Roman"/>
                <w:sz w:val="16"/>
                <w:szCs w:val="16"/>
                <w:color w:val="auto"/>
              </w:rPr>
              <w:t>Stock option exercises</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2,505,396</w:t>
            </w:r>
          </w:p>
        </w:tc>
        <w:tc>
          <w:tcPr>
            <w:tcW w:w="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21,318</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21,326</w:t>
            </w:r>
          </w:p>
        </w:tc>
        <w:tc>
          <w:tcPr>
            <w:tcW w:w="0" w:type="dxa"/>
            <w:vAlign w:val="bottom"/>
          </w:tcPr>
          <w:p>
            <w:pPr>
              <w:spacing w:after="0"/>
              <w:rPr>
                <w:sz w:val="1"/>
                <w:szCs w:val="1"/>
                <w:color w:val="auto"/>
              </w:rPr>
            </w:pPr>
          </w:p>
        </w:tc>
      </w:tr>
      <w:tr>
        <w:trPr>
          <w:trHeight w:val="255"/>
        </w:trPr>
        <w:tc>
          <w:tcPr>
            <w:tcW w:w="5100" w:type="dxa"/>
            <w:vAlign w:val="bottom"/>
          </w:tcPr>
          <w:p>
            <w:pPr>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30,962</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30,962</w:t>
            </w:r>
          </w:p>
        </w:tc>
        <w:tc>
          <w:tcPr>
            <w:tcW w:w="0" w:type="dxa"/>
            <w:vAlign w:val="bottom"/>
          </w:tcPr>
          <w:p>
            <w:pPr>
              <w:spacing w:after="0"/>
              <w:rPr>
                <w:sz w:val="1"/>
                <w:szCs w:val="1"/>
                <w:color w:val="auto"/>
              </w:rPr>
            </w:pPr>
          </w:p>
        </w:tc>
      </w:tr>
      <w:tr>
        <w:trPr>
          <w:trHeight w:val="255"/>
        </w:trPr>
        <w:tc>
          <w:tcPr>
            <w:tcW w:w="5100" w:type="dxa"/>
            <w:vAlign w:val="bottom"/>
          </w:tcPr>
          <w:p>
            <w:pPr>
              <w:spacing w:after="0"/>
              <w:rPr>
                <w:sz w:val="20"/>
                <w:szCs w:val="20"/>
                <w:color w:val="auto"/>
              </w:rPr>
            </w:pPr>
            <w:r>
              <w:rPr>
                <w:rFonts w:ascii="Times New Roman" w:cs="Times New Roman" w:eastAsia="Times New Roman" w:hAnsi="Times New Roman"/>
                <w:sz w:val="16"/>
                <w:szCs w:val="16"/>
                <w:color w:val="auto"/>
              </w:rPr>
              <w:t>Vesting of ordinary shares</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540,824</w:t>
            </w:r>
          </w:p>
        </w:tc>
        <w:tc>
          <w:tcPr>
            <w:tcW w:w="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0"/>
        </w:trPr>
        <w:tc>
          <w:tcPr>
            <w:tcW w:w="5100" w:type="dxa"/>
            <w:vAlign w:val="bottom"/>
          </w:tcPr>
          <w:p>
            <w:pPr>
              <w:spacing w:after="0"/>
              <w:rPr>
                <w:sz w:val="20"/>
                <w:szCs w:val="20"/>
                <w:color w:val="auto"/>
              </w:rPr>
            </w:pPr>
            <w:r>
              <w:rPr>
                <w:rFonts w:ascii="Times New Roman" w:cs="Times New Roman" w:eastAsia="Times New Roman" w:hAnsi="Times New Roman"/>
                <w:sz w:val="16"/>
                <w:szCs w:val="16"/>
                <w:color w:val="auto"/>
              </w:rPr>
              <w:t>Shares withheld to pay employee withholding tax on equity awards</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(194,370)</w:t>
            </w:r>
          </w:p>
        </w:tc>
        <w:tc>
          <w:tcPr>
            <w:tcW w:w="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(3,297)</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(3,297)</w:t>
            </w:r>
          </w:p>
        </w:tc>
        <w:tc>
          <w:tcPr>
            <w:tcW w:w="0" w:type="dxa"/>
            <w:vAlign w:val="bottom"/>
          </w:tcPr>
          <w:p>
            <w:pPr>
              <w:spacing w:after="0"/>
              <w:rPr>
                <w:sz w:val="1"/>
                <w:szCs w:val="1"/>
                <w:color w:val="auto"/>
              </w:rPr>
            </w:pPr>
          </w:p>
        </w:tc>
      </w:tr>
      <w:tr>
        <w:trPr>
          <w:trHeight w:val="255"/>
        </w:trPr>
        <w:tc>
          <w:tcPr>
            <w:tcW w:w="5100" w:type="dxa"/>
            <w:vAlign w:val="bottom"/>
          </w:tcPr>
          <w:p>
            <w:pPr>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1,045</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1,045</w:t>
            </w:r>
          </w:p>
        </w:tc>
        <w:tc>
          <w:tcPr>
            <w:tcW w:w="0" w:type="dxa"/>
            <w:vAlign w:val="bottom"/>
          </w:tcPr>
          <w:p>
            <w:pPr>
              <w:spacing w:after="0"/>
              <w:rPr>
                <w:sz w:val="1"/>
                <w:szCs w:val="1"/>
                <w:color w:val="auto"/>
              </w:rPr>
            </w:pPr>
          </w:p>
        </w:tc>
      </w:tr>
      <w:tr>
        <w:trPr>
          <w:trHeight w:val="228"/>
        </w:trPr>
        <w:tc>
          <w:tcPr>
            <w:tcW w:w="5100" w:type="dxa"/>
            <w:vAlign w:val="bottom"/>
          </w:tcPr>
          <w:p>
            <w:pPr>
              <w:spacing w:after="0"/>
              <w:rPr>
                <w:sz w:val="20"/>
                <w:szCs w:val="20"/>
                <w:color w:val="auto"/>
              </w:rPr>
            </w:pPr>
            <w:r>
              <w:rPr>
                <w:rFonts w:ascii="Times New Roman" w:cs="Times New Roman" w:eastAsia="Times New Roman" w:hAnsi="Times New Roman"/>
                <w:sz w:val="16"/>
                <w:szCs w:val="16"/>
                <w:color w:val="auto"/>
              </w:rPr>
              <w:t>Unrealized gain on available for sale securities, net of tax of $0.1 million</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243</w:t>
            </w:r>
          </w:p>
        </w:tc>
        <w:tc>
          <w:tcPr>
            <w:tcW w:w="0" w:type="dxa"/>
            <w:vAlign w:val="bottom"/>
          </w:tcPr>
          <w:p>
            <w:pPr>
              <w:spacing w:after="0"/>
              <w:rPr>
                <w:sz w:val="1"/>
                <w:szCs w:val="1"/>
                <w:color w:val="auto"/>
              </w:rPr>
            </w:pPr>
          </w:p>
        </w:tc>
      </w:tr>
      <w:tr>
        <w:trPr>
          <w:trHeight w:val="132"/>
        </w:trPr>
        <w:tc>
          <w:tcPr>
            <w:tcW w:w="5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51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Reclassification adjustment for realized net gain on available for sale</w:t>
            </w:r>
          </w:p>
        </w:tc>
        <w:tc>
          <w:tcPr>
            <w:tcW w:w="12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100" w:type="dxa"/>
            <w:vAlign w:val="bottom"/>
          </w:tcPr>
          <w:p>
            <w:pPr>
              <w:spacing w:after="0"/>
              <w:rPr>
                <w:sz w:val="20"/>
                <w:szCs w:val="20"/>
                <w:color w:val="auto"/>
              </w:rPr>
            </w:pPr>
            <w:r>
              <w:rPr>
                <w:rFonts w:ascii="Times New Roman" w:cs="Times New Roman" w:eastAsia="Times New Roman" w:hAnsi="Times New Roman"/>
                <w:sz w:val="16"/>
                <w:szCs w:val="16"/>
                <w:color w:val="auto"/>
              </w:rPr>
              <w:t>marketable securities included in net loss, net of tax of $0.8 million</w:t>
            </w: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(2,787)</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(2,787)</w:t>
            </w:r>
          </w:p>
        </w:tc>
        <w:tc>
          <w:tcPr>
            <w:tcW w:w="0" w:type="dxa"/>
            <w:vAlign w:val="bottom"/>
          </w:tcPr>
          <w:p>
            <w:pPr>
              <w:spacing w:after="0"/>
              <w:rPr>
                <w:sz w:val="1"/>
                <w:szCs w:val="1"/>
                <w:color w:val="auto"/>
              </w:rPr>
            </w:pPr>
          </w:p>
        </w:tc>
      </w:tr>
      <w:tr>
        <w:trPr>
          <w:trHeight w:val="77"/>
        </w:trPr>
        <w:tc>
          <w:tcPr>
            <w:tcW w:w="51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9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26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61"/>
        </w:trPr>
        <w:tc>
          <w:tcPr>
            <w:tcW w:w="510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(197,532)</w:t>
            </w:r>
          </w:p>
        </w:tc>
        <w:tc>
          <w:tcPr>
            <w:tcW w:w="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(197,532)</w:t>
            </w:r>
          </w:p>
        </w:tc>
        <w:tc>
          <w:tcPr>
            <w:tcW w:w="0" w:type="dxa"/>
            <w:vAlign w:val="bottom"/>
          </w:tcPr>
          <w:p>
            <w:pPr>
              <w:spacing w:after="0"/>
              <w:rPr>
                <w:sz w:val="1"/>
                <w:szCs w:val="1"/>
                <w:color w:val="auto"/>
              </w:rPr>
            </w:pPr>
          </w:p>
        </w:tc>
      </w:tr>
      <w:tr>
        <w:trPr>
          <w:trHeight w:val="229"/>
        </w:trPr>
        <w:tc>
          <w:tcPr>
            <w:tcW w:w="51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at December 31, 2025</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149,228,068</w:t>
            </w:r>
          </w:p>
        </w:tc>
        <w:tc>
          <w:tcPr>
            <w:tcW w:w="60" w:type="dxa"/>
            <w:vAlign w:val="bottom"/>
          </w:tcPr>
          <w:p>
            <w:pPr>
              <w:spacing w:after="0"/>
              <w:rPr>
                <w:sz w:val="19"/>
                <w:szCs w:val="19"/>
                <w:color w:val="auto"/>
              </w:rPr>
            </w:pPr>
          </w:p>
        </w:tc>
        <w:tc>
          <w:tcPr>
            <w:tcW w:w="900" w:type="dxa"/>
            <w:vAlign w:val="bottom"/>
          </w:tcPr>
          <w:p>
            <w:pPr>
              <w:jc w:val="right"/>
              <w:ind w:right="680"/>
              <w:spacing w:after="0"/>
              <w:rPr>
                <w:sz w:val="20"/>
                <w:szCs w:val="20"/>
                <w:color w:val="auto"/>
              </w:rPr>
            </w:pPr>
            <w:r>
              <w:rPr>
                <w:rFonts w:ascii="Times New Roman" w:cs="Times New Roman" w:eastAsia="Times New Roman" w:hAnsi="Times New Roman"/>
                <w:sz w:val="16"/>
                <w:szCs w:val="16"/>
                <w:b w:val="1"/>
                <w:bCs w:val="1"/>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1"/>
              </w:rPr>
              <w:t>405</w:t>
            </w:r>
          </w:p>
        </w:tc>
        <w:tc>
          <w:tcPr>
            <w:tcW w:w="6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1,709,978</w:t>
            </w:r>
          </w:p>
        </w:tc>
        <w:tc>
          <w:tcPr>
            <w:tcW w:w="6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2,714</w:t>
            </w:r>
          </w:p>
        </w:tc>
        <w:tc>
          <w:tcPr>
            <w:tcW w:w="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(1,186,234)</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526,863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487045</wp:posOffset>
            </wp:positionH>
            <wp:positionV relativeFrom="paragraph">
              <wp:posOffset>-4097655</wp:posOffset>
            </wp:positionV>
            <wp:extent cx="8397875" cy="41211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0">
                      <a:extLst>
                        <a:ext uri="{28A0092B-C50C-407E-A947-70E740481C1C}"/>
                      </a:extLst>
                    </a:blip>
                    <a:srcRect/>
                    <a:stretch>
                      <a:fillRect/>
                    </a:stretch>
                  </pic:blipFill>
                  <pic:spPr bwMode="auto">
                    <a:xfrm>
                      <a:off x="0" y="0"/>
                      <a:ext cx="8397875" cy="4121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b w:val="1"/>
          <w:bCs w:val="1"/>
          <w:i w:val="1"/>
          <w:iCs w:val="1"/>
          <w:color w:val="auto"/>
        </w:rPr>
        <w:t>The accompanying notes are an integral part of these consolidated financial statements.</w:t>
      </w:r>
    </w:p>
    <w:p>
      <w:pPr>
        <w:sectPr>
          <w:pgSz w:w="15840" w:h="12240" w:orient="landscape"/>
          <w:cols w:equalWidth="0" w:num="1">
            <w:col w:w="13980"/>
          </w:cols>
          <w:pgMar w:left="540" w:top="208" w:right="13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20"/>
          <w:szCs w:val="20"/>
          <w:color w:val="auto"/>
        </w:rPr>
        <w:t>128</w:t>
      </w:r>
    </w:p>
    <w:p>
      <w:pPr>
        <w:sectPr>
          <w:pgSz w:w="15840" w:h="12240" w:orient="landscape"/>
          <w:cols w:equalWidth="0" w:num="1">
            <w:col w:w="13980"/>
          </w:cols>
          <w:pgMar w:left="540" w:top="208" w:right="1320" w:bottom="0" w:gutter="0" w:footer="0" w:header="0"/>
          <w:type w:val="continuous"/>
        </w:sectPr>
      </w:pPr>
    </w:p>
    <w:bookmarkStart w:id="128" w:name="page129"/>
    <w:bookmarkEnd w:id="128"/>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Centessa Pharmaceuticals plc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Cash Flows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(amounts in thousands)</w:t>
      </w:r>
    </w:p>
    <w:p>
      <w:pPr>
        <w:spacing w:after="0" w:line="296" w:lineRule="exact"/>
        <w:rPr>
          <w:sz w:val="20"/>
          <w:szCs w:val="20"/>
          <w:color w:val="auto"/>
        </w:rPr>
      </w:pPr>
    </w:p>
    <w:tbl>
      <w:tblPr>
        <w:tblLayout w:type="fixed"/>
        <w:tblInd w:w="60" w:type="dxa"/>
        <w:tblCellMar>
          <w:top w:w="0" w:type="dxa"/>
          <w:left w:w="0" w:type="dxa"/>
          <w:bottom w:w="0" w:type="dxa"/>
          <w:right w:w="0" w:type="dxa"/>
        </w:tblCellMar>
      </w:tblPr>
      <w:tr>
        <w:trPr>
          <w:trHeight w:val="243"/>
        </w:trPr>
        <w:tc>
          <w:tcPr>
            <w:tcW w:w="71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420" w:type="dxa"/>
            <w:vAlign w:val="bottom"/>
            <w:tcBorders>
              <w:bottom w:val="single" w:sz="8" w:color="auto"/>
            </w:tcBorders>
            <w:gridSpan w:val="4"/>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0" w:type="dxa"/>
            <w:vAlign w:val="bottom"/>
          </w:tcPr>
          <w:p>
            <w:pPr>
              <w:spacing w:after="0"/>
              <w:rPr>
                <w:sz w:val="1"/>
                <w:szCs w:val="1"/>
                <w:color w:val="auto"/>
              </w:rPr>
            </w:pPr>
          </w:p>
        </w:tc>
      </w:tr>
      <w:tr>
        <w:trPr>
          <w:trHeight w:val="235"/>
        </w:trPr>
        <w:tc>
          <w:tcPr>
            <w:tcW w:w="7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30"/>
        </w:trPr>
        <w:tc>
          <w:tcPr>
            <w:tcW w:w="71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7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(197,532)</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(235,757)</w:t>
            </w:r>
          </w:p>
        </w:tc>
        <w:tc>
          <w:tcPr>
            <w:tcW w:w="0" w:type="dxa"/>
            <w:vAlign w:val="bottom"/>
          </w:tcPr>
          <w:p>
            <w:pPr>
              <w:spacing w:after="0"/>
              <w:rPr>
                <w:sz w:val="1"/>
                <w:szCs w:val="1"/>
                <w:color w:val="auto"/>
              </w:rPr>
            </w:pPr>
          </w:p>
        </w:tc>
      </w:tr>
      <w:tr>
        <w:trPr>
          <w:trHeight w:val="234"/>
        </w:trPr>
        <w:tc>
          <w:tcPr>
            <w:tcW w:w="7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71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2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30,962</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33,546</w:t>
            </w:r>
          </w:p>
        </w:tc>
        <w:tc>
          <w:tcPr>
            <w:tcW w:w="0" w:type="dxa"/>
            <w:vAlign w:val="bottom"/>
          </w:tcPr>
          <w:p>
            <w:pPr>
              <w:spacing w:after="0"/>
              <w:rPr>
                <w:sz w:val="1"/>
                <w:szCs w:val="1"/>
                <w:color w:val="auto"/>
              </w:rPr>
            </w:pPr>
          </w:p>
        </w:tc>
      </w:tr>
      <w:tr>
        <w:trPr>
          <w:trHeight w:val="255"/>
        </w:trPr>
        <w:tc>
          <w:tcPr>
            <w:tcW w:w="71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34,097</w:t>
            </w:r>
          </w:p>
        </w:tc>
        <w:tc>
          <w:tcPr>
            <w:tcW w:w="0" w:type="dxa"/>
            <w:vAlign w:val="bottom"/>
          </w:tcPr>
          <w:p>
            <w:pPr>
              <w:spacing w:after="0"/>
              <w:rPr>
                <w:sz w:val="1"/>
                <w:szCs w:val="1"/>
                <w:color w:val="auto"/>
              </w:rPr>
            </w:pPr>
          </w:p>
        </w:tc>
      </w:tr>
      <w:tr>
        <w:trPr>
          <w:trHeight w:val="255"/>
        </w:trPr>
        <w:tc>
          <w:tcPr>
            <w:tcW w:w="71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0" w:type="dxa"/>
            <w:vAlign w:val="bottom"/>
          </w:tcPr>
          <w:p>
            <w:pPr>
              <w:spacing w:after="0"/>
              <w:rPr>
                <w:sz w:val="1"/>
                <w:szCs w:val="1"/>
                <w:color w:val="auto"/>
              </w:rPr>
            </w:pPr>
          </w:p>
        </w:tc>
      </w:tr>
      <w:tr>
        <w:trPr>
          <w:trHeight w:val="255"/>
        </w:trPr>
        <w:tc>
          <w:tcPr>
            <w:tcW w:w="71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Amortization of discount of marketable securities</w:t>
            </w:r>
          </w:p>
        </w:tc>
        <w:tc>
          <w:tcPr>
            <w:tcW w:w="2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(1,802)</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5"/>
        </w:trPr>
        <w:tc>
          <w:tcPr>
            <w:tcW w:w="71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Change in fair value of financial instruments</w:t>
            </w:r>
          </w:p>
        </w:tc>
        <w:tc>
          <w:tcPr>
            <w:tcW w:w="2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55"/>
        </w:trPr>
        <w:tc>
          <w:tcPr>
            <w:tcW w:w="71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Amortization of debt issuance costs and exit fee of long-term debt</w:t>
            </w:r>
          </w:p>
        </w:tc>
        <w:tc>
          <w:tcPr>
            <w:tcW w:w="2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5"/>
        </w:trPr>
        <w:tc>
          <w:tcPr>
            <w:tcW w:w="71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Change in deferred taxes</w:t>
            </w:r>
          </w:p>
        </w:tc>
        <w:tc>
          <w:tcPr>
            <w:tcW w:w="2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2,509</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2,653</w:t>
            </w:r>
          </w:p>
        </w:tc>
        <w:tc>
          <w:tcPr>
            <w:tcW w:w="0" w:type="dxa"/>
            <w:vAlign w:val="bottom"/>
          </w:tcPr>
          <w:p>
            <w:pPr>
              <w:spacing w:after="0"/>
              <w:rPr>
                <w:sz w:val="1"/>
                <w:szCs w:val="1"/>
                <w:color w:val="auto"/>
              </w:rPr>
            </w:pPr>
          </w:p>
        </w:tc>
      </w:tr>
      <w:tr>
        <w:trPr>
          <w:trHeight w:val="255"/>
        </w:trPr>
        <w:tc>
          <w:tcPr>
            <w:tcW w:w="71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71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Tax incentive receivable</w:t>
            </w:r>
          </w:p>
        </w:tc>
        <w:tc>
          <w:tcPr>
            <w:tcW w:w="2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(7,257)</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(6,601)</w:t>
            </w:r>
          </w:p>
        </w:tc>
        <w:tc>
          <w:tcPr>
            <w:tcW w:w="0" w:type="dxa"/>
            <w:vAlign w:val="bottom"/>
          </w:tcPr>
          <w:p>
            <w:pPr>
              <w:spacing w:after="0"/>
              <w:rPr>
                <w:sz w:val="1"/>
                <w:szCs w:val="1"/>
                <w:color w:val="auto"/>
              </w:rPr>
            </w:pPr>
          </w:p>
        </w:tc>
      </w:tr>
      <w:tr>
        <w:trPr>
          <w:trHeight w:val="255"/>
        </w:trPr>
        <w:tc>
          <w:tcPr>
            <w:tcW w:w="71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(7,852)</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10,219</w:t>
            </w:r>
          </w:p>
        </w:tc>
        <w:tc>
          <w:tcPr>
            <w:tcW w:w="0" w:type="dxa"/>
            <w:vAlign w:val="bottom"/>
          </w:tcPr>
          <w:p>
            <w:pPr>
              <w:spacing w:after="0"/>
              <w:rPr>
                <w:sz w:val="1"/>
                <w:szCs w:val="1"/>
                <w:color w:val="auto"/>
              </w:rPr>
            </w:pPr>
          </w:p>
        </w:tc>
      </w:tr>
      <w:tr>
        <w:trPr>
          <w:trHeight w:val="255"/>
        </w:trPr>
        <w:tc>
          <w:tcPr>
            <w:tcW w:w="71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Operating leases, net</w:t>
            </w:r>
          </w:p>
        </w:tc>
        <w:tc>
          <w:tcPr>
            <w:tcW w:w="2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0" w:type="dxa"/>
            <w:vAlign w:val="bottom"/>
          </w:tcPr>
          <w:p>
            <w:pPr>
              <w:spacing w:after="0"/>
              <w:rPr>
                <w:sz w:val="1"/>
                <w:szCs w:val="1"/>
                <w:color w:val="auto"/>
              </w:rPr>
            </w:pPr>
          </w:p>
        </w:tc>
      </w:tr>
      <w:tr>
        <w:trPr>
          <w:trHeight w:val="255"/>
        </w:trPr>
        <w:tc>
          <w:tcPr>
            <w:tcW w:w="71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(4,585)</w:t>
            </w:r>
          </w:p>
        </w:tc>
        <w:tc>
          <w:tcPr>
            <w:tcW w:w="0" w:type="dxa"/>
            <w:vAlign w:val="bottom"/>
          </w:tcPr>
          <w:p>
            <w:pPr>
              <w:spacing w:after="0"/>
              <w:rPr>
                <w:sz w:val="1"/>
                <w:szCs w:val="1"/>
                <w:color w:val="auto"/>
              </w:rPr>
            </w:pPr>
          </w:p>
        </w:tc>
      </w:tr>
      <w:tr>
        <w:trPr>
          <w:trHeight w:val="255"/>
        </w:trPr>
        <w:tc>
          <w:tcPr>
            <w:tcW w:w="71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2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(15,216)</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22,771</w:t>
            </w:r>
          </w:p>
        </w:tc>
        <w:tc>
          <w:tcPr>
            <w:tcW w:w="0" w:type="dxa"/>
            <w:vAlign w:val="bottom"/>
          </w:tcPr>
          <w:p>
            <w:pPr>
              <w:spacing w:after="0"/>
              <w:rPr>
                <w:sz w:val="1"/>
                <w:szCs w:val="1"/>
                <w:color w:val="auto"/>
              </w:rPr>
            </w:pPr>
          </w:p>
        </w:tc>
      </w:tr>
      <w:tr>
        <w:trPr>
          <w:trHeight w:val="260"/>
        </w:trPr>
        <w:tc>
          <w:tcPr>
            <w:tcW w:w="71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 net</w:t>
            </w:r>
          </w:p>
        </w:tc>
        <w:tc>
          <w:tcPr>
            <w:tcW w:w="2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35"/>
        </w:trPr>
        <w:tc>
          <w:tcPr>
            <w:tcW w:w="7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(193,817)</w:t>
            </w:r>
          </w:p>
        </w:tc>
        <w:tc>
          <w:tcPr>
            <w:tcW w:w="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(142,055)</w:t>
            </w:r>
          </w:p>
        </w:tc>
        <w:tc>
          <w:tcPr>
            <w:tcW w:w="0" w:type="dxa"/>
            <w:vAlign w:val="bottom"/>
          </w:tcPr>
          <w:p>
            <w:pPr>
              <w:spacing w:after="0"/>
              <w:rPr>
                <w:sz w:val="1"/>
                <w:szCs w:val="1"/>
                <w:color w:val="auto"/>
              </w:rPr>
            </w:pPr>
          </w:p>
        </w:tc>
      </w:tr>
      <w:tr>
        <w:trPr>
          <w:trHeight w:val="455"/>
        </w:trPr>
        <w:tc>
          <w:tcPr>
            <w:tcW w:w="71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7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Purchases of investments in marketable securities</w:t>
            </w:r>
          </w:p>
        </w:tc>
        <w:tc>
          <w:tcPr>
            <w:tcW w:w="2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(739,761)</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(140,533)</w:t>
            </w:r>
          </w:p>
        </w:tc>
        <w:tc>
          <w:tcPr>
            <w:tcW w:w="0" w:type="dxa"/>
            <w:vAlign w:val="bottom"/>
          </w:tcPr>
          <w:p>
            <w:pPr>
              <w:spacing w:after="0"/>
              <w:rPr>
                <w:sz w:val="1"/>
                <w:szCs w:val="1"/>
                <w:color w:val="auto"/>
              </w:rPr>
            </w:pPr>
          </w:p>
        </w:tc>
      </w:tr>
      <w:tr>
        <w:trPr>
          <w:trHeight w:val="255"/>
        </w:trPr>
        <w:tc>
          <w:tcPr>
            <w:tcW w:w="7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Proceeds from maturities of investments in marketable securities</w:t>
            </w:r>
          </w:p>
        </w:tc>
        <w:tc>
          <w:tcPr>
            <w:tcW w:w="2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321,601</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171,834</w:t>
            </w:r>
          </w:p>
        </w:tc>
        <w:tc>
          <w:tcPr>
            <w:tcW w:w="0" w:type="dxa"/>
            <w:vAlign w:val="bottom"/>
          </w:tcPr>
          <w:p>
            <w:pPr>
              <w:spacing w:after="0"/>
              <w:rPr>
                <w:sz w:val="1"/>
                <w:szCs w:val="1"/>
                <w:color w:val="auto"/>
              </w:rPr>
            </w:pPr>
          </w:p>
        </w:tc>
      </w:tr>
      <w:tr>
        <w:trPr>
          <w:trHeight w:val="260"/>
        </w:trPr>
        <w:tc>
          <w:tcPr>
            <w:tcW w:w="7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2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35"/>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(418,531)</w:t>
            </w:r>
          </w:p>
        </w:tc>
        <w:tc>
          <w:tcPr>
            <w:tcW w:w="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31,267</w:t>
            </w:r>
          </w:p>
        </w:tc>
        <w:tc>
          <w:tcPr>
            <w:tcW w:w="0" w:type="dxa"/>
            <w:vAlign w:val="bottom"/>
          </w:tcPr>
          <w:p>
            <w:pPr>
              <w:spacing w:after="0"/>
              <w:rPr>
                <w:sz w:val="1"/>
                <w:szCs w:val="1"/>
                <w:color w:val="auto"/>
              </w:rPr>
            </w:pPr>
          </w:p>
        </w:tc>
      </w:tr>
      <w:tr>
        <w:trPr>
          <w:trHeight w:val="470"/>
        </w:trPr>
        <w:tc>
          <w:tcPr>
            <w:tcW w:w="71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7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Proceeds from issuance of shares under share offerings, net of issuance costs</w:t>
            </w:r>
          </w:p>
        </w:tc>
        <w:tc>
          <w:tcPr>
            <w:tcW w:w="2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269,249</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349,950</w:t>
            </w:r>
          </w:p>
        </w:tc>
        <w:tc>
          <w:tcPr>
            <w:tcW w:w="0" w:type="dxa"/>
            <w:vAlign w:val="bottom"/>
          </w:tcPr>
          <w:p>
            <w:pPr>
              <w:spacing w:after="0"/>
              <w:rPr>
                <w:sz w:val="1"/>
                <w:szCs w:val="1"/>
                <w:color w:val="auto"/>
              </w:rPr>
            </w:pPr>
          </w:p>
        </w:tc>
      </w:tr>
      <w:tr>
        <w:trPr>
          <w:trHeight w:val="255"/>
        </w:trPr>
        <w:tc>
          <w:tcPr>
            <w:tcW w:w="7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Proceeds from issuance of shares under ATM program, net of issuance costs</w:t>
            </w:r>
          </w:p>
        </w:tc>
        <w:tc>
          <w:tcPr>
            <w:tcW w:w="2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6,109</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9,655</w:t>
            </w:r>
          </w:p>
        </w:tc>
        <w:tc>
          <w:tcPr>
            <w:tcW w:w="0" w:type="dxa"/>
            <w:vAlign w:val="bottom"/>
          </w:tcPr>
          <w:p>
            <w:pPr>
              <w:spacing w:after="0"/>
              <w:rPr>
                <w:sz w:val="1"/>
                <w:szCs w:val="1"/>
                <w:color w:val="auto"/>
              </w:rPr>
            </w:pPr>
          </w:p>
        </w:tc>
      </w:tr>
      <w:tr>
        <w:trPr>
          <w:trHeight w:val="255"/>
        </w:trPr>
        <w:tc>
          <w:tcPr>
            <w:tcW w:w="7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Repayment of debt</w:t>
            </w:r>
          </w:p>
        </w:tc>
        <w:tc>
          <w:tcPr>
            <w:tcW w:w="2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(110,097)</w:t>
            </w:r>
          </w:p>
        </w:tc>
        <w:tc>
          <w:tcPr>
            <w:tcW w:w="0" w:type="dxa"/>
            <w:vAlign w:val="bottom"/>
          </w:tcPr>
          <w:p>
            <w:pPr>
              <w:spacing w:after="0"/>
              <w:rPr>
                <w:sz w:val="1"/>
                <w:szCs w:val="1"/>
                <w:color w:val="auto"/>
              </w:rPr>
            </w:pPr>
          </w:p>
        </w:tc>
      </w:tr>
      <w:tr>
        <w:trPr>
          <w:trHeight w:val="246"/>
        </w:trPr>
        <w:tc>
          <w:tcPr>
            <w:tcW w:w="7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Proceeds from issuance of debt, net of issuance costs</w:t>
            </w: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109,335</w:t>
            </w:r>
          </w:p>
        </w:tc>
        <w:tc>
          <w:tcPr>
            <w:tcW w:w="0" w:type="dxa"/>
            <w:vAlign w:val="bottom"/>
          </w:tcPr>
          <w:p>
            <w:pPr>
              <w:spacing w:after="0"/>
              <w:rPr>
                <w:sz w:val="1"/>
                <w:szCs w:val="1"/>
                <w:color w:val="auto"/>
              </w:rPr>
            </w:pPr>
          </w:p>
        </w:tc>
      </w:tr>
      <w:tr>
        <w:trPr>
          <w:trHeight w:val="180"/>
        </w:trPr>
        <w:tc>
          <w:tcPr>
            <w:tcW w:w="7180" w:type="dxa"/>
            <w:vAlign w:val="bottom"/>
          </w:tcPr>
          <w:p>
            <w:pPr>
              <w:ind w:left="40"/>
              <w:spacing w:after="0" w:line="181" w:lineRule="exact"/>
              <w:rPr>
                <w:sz w:val="20"/>
                <w:szCs w:val="20"/>
                <w:color w:val="auto"/>
              </w:rPr>
            </w:pPr>
            <w:r>
              <w:rPr>
                <w:rFonts w:ascii="Times New Roman" w:cs="Times New Roman" w:eastAsia="Times New Roman" w:hAnsi="Times New Roman"/>
                <w:sz w:val="18"/>
                <w:szCs w:val="18"/>
                <w:color w:val="auto"/>
              </w:rPr>
              <w:t>Payment of employee withholding taxes related to withheld shares for stock based compensation</w:t>
            </w:r>
          </w:p>
        </w:tc>
        <w:tc>
          <w:tcPr>
            <w:tcW w:w="22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(4,791)</w:t>
            </w: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(5,318)</w:t>
            </w:r>
          </w:p>
        </w:tc>
        <w:tc>
          <w:tcPr>
            <w:tcW w:w="0" w:type="dxa"/>
            <w:vAlign w:val="bottom"/>
          </w:tcPr>
          <w:p>
            <w:pPr>
              <w:spacing w:after="0"/>
              <w:rPr>
                <w:sz w:val="1"/>
                <w:szCs w:val="1"/>
                <w:color w:val="auto"/>
              </w:rPr>
            </w:pPr>
          </w:p>
        </w:tc>
      </w:tr>
      <w:tr>
        <w:trPr>
          <w:trHeight w:val="234"/>
        </w:trPr>
        <w:tc>
          <w:tcPr>
            <w:tcW w:w="7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plans</w:t>
            </w:r>
          </w:p>
        </w:tc>
        <w:tc>
          <w:tcPr>
            <w:tcW w:w="220" w:type="dxa"/>
            <w:vAlign w:val="bottom"/>
          </w:tcPr>
          <w:p>
            <w:pPr>
              <w:spacing w:after="0"/>
              <w:rPr>
                <w:sz w:val="20"/>
                <w:szCs w:val="20"/>
                <w:color w:val="auto"/>
              </w:rPr>
            </w:pPr>
          </w:p>
        </w:tc>
        <w:tc>
          <w:tcPr>
            <w:tcW w:w="108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7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Proceeds from option exercises</w:t>
            </w:r>
          </w:p>
        </w:tc>
        <w:tc>
          <w:tcPr>
            <w:tcW w:w="2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21,362</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11,227</w:t>
            </w:r>
          </w:p>
        </w:tc>
        <w:tc>
          <w:tcPr>
            <w:tcW w:w="0" w:type="dxa"/>
            <w:vAlign w:val="bottom"/>
          </w:tcPr>
          <w:p>
            <w:pPr>
              <w:spacing w:after="0"/>
              <w:rPr>
                <w:sz w:val="1"/>
                <w:szCs w:val="1"/>
                <w:color w:val="auto"/>
              </w:rPr>
            </w:pPr>
          </w:p>
        </w:tc>
      </w:tr>
      <w:tr>
        <w:trPr>
          <w:trHeight w:val="260"/>
        </w:trPr>
        <w:tc>
          <w:tcPr>
            <w:tcW w:w="7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net</w:t>
            </w:r>
          </w:p>
        </w:tc>
        <w:tc>
          <w:tcPr>
            <w:tcW w:w="2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5"/>
        </w:trPr>
        <w:tc>
          <w:tcPr>
            <w:tcW w:w="7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291,528</w:t>
            </w:r>
          </w:p>
        </w:tc>
        <w:tc>
          <w:tcPr>
            <w:tcW w:w="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364,752</w:t>
            </w:r>
          </w:p>
        </w:tc>
        <w:tc>
          <w:tcPr>
            <w:tcW w:w="0" w:type="dxa"/>
            <w:vAlign w:val="bottom"/>
          </w:tcPr>
          <w:p>
            <w:pPr>
              <w:spacing w:after="0"/>
              <w:rPr>
                <w:sz w:val="1"/>
                <w:szCs w:val="1"/>
                <w:color w:val="auto"/>
              </w:rPr>
            </w:pPr>
          </w:p>
        </w:tc>
      </w:tr>
      <w:tr>
        <w:trPr>
          <w:trHeight w:val="234"/>
        </w:trPr>
        <w:tc>
          <w:tcPr>
            <w:tcW w:w="7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Effect of exchange rate on cash, cash equivalents, and restricted cash</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1,227</w:t>
            </w:r>
          </w:p>
        </w:tc>
        <w:tc>
          <w:tcPr>
            <w:tcW w:w="0" w:type="dxa"/>
            <w:vAlign w:val="bottom"/>
          </w:tcPr>
          <w:p>
            <w:pPr>
              <w:spacing w:after="0"/>
              <w:rPr>
                <w:sz w:val="1"/>
                <w:szCs w:val="1"/>
                <w:color w:val="auto"/>
              </w:rPr>
            </w:pPr>
          </w:p>
        </w:tc>
      </w:tr>
      <w:tr>
        <w:trPr>
          <w:trHeight w:val="251"/>
        </w:trPr>
        <w:tc>
          <w:tcPr>
            <w:tcW w:w="7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(decrease) increase in cash, cash equivalents, and restricted cash</w:t>
            </w: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(321,268)</w:t>
            </w: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255,191</w:t>
            </w:r>
          </w:p>
        </w:tc>
        <w:tc>
          <w:tcPr>
            <w:tcW w:w="0" w:type="dxa"/>
            <w:vAlign w:val="bottom"/>
          </w:tcPr>
          <w:p>
            <w:pPr>
              <w:spacing w:after="0"/>
              <w:rPr>
                <w:sz w:val="1"/>
                <w:szCs w:val="1"/>
                <w:color w:val="auto"/>
              </w:rPr>
            </w:pPr>
          </w:p>
        </w:tc>
      </w:tr>
      <w:tr>
        <w:trPr>
          <w:trHeight w:val="255"/>
        </w:trPr>
        <w:tc>
          <w:tcPr>
            <w:tcW w:w="7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2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383,221</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128,030</w:t>
            </w:r>
          </w:p>
        </w:tc>
        <w:tc>
          <w:tcPr>
            <w:tcW w:w="0" w:type="dxa"/>
            <w:vAlign w:val="bottom"/>
          </w:tcPr>
          <w:p>
            <w:pPr>
              <w:spacing w:after="0"/>
              <w:rPr>
                <w:sz w:val="1"/>
                <w:szCs w:val="1"/>
                <w:color w:val="auto"/>
              </w:rPr>
            </w:pPr>
          </w:p>
        </w:tc>
      </w:tr>
      <w:tr>
        <w:trPr>
          <w:trHeight w:val="240"/>
        </w:trPr>
        <w:tc>
          <w:tcPr>
            <w:tcW w:w="7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61,953</w:t>
            </w:r>
          </w:p>
        </w:tc>
        <w:tc>
          <w:tcPr>
            <w:tcW w:w="36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383,221</w:t>
            </w:r>
          </w:p>
        </w:tc>
        <w:tc>
          <w:tcPr>
            <w:tcW w:w="0" w:type="dxa"/>
            <w:vAlign w:val="bottom"/>
          </w:tcPr>
          <w:p>
            <w:pPr>
              <w:spacing w:after="0"/>
              <w:rPr>
                <w:sz w:val="1"/>
                <w:szCs w:val="1"/>
                <w:color w:val="auto"/>
              </w:rPr>
            </w:pPr>
          </w:p>
        </w:tc>
      </w:tr>
      <w:tr>
        <w:trPr>
          <w:trHeight w:val="20"/>
        </w:trPr>
        <w:tc>
          <w:tcPr>
            <w:tcW w:w="718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Supplemental disclosure:</w:t>
            </w: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1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7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Interest paid</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9,464</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10,085</w:t>
            </w:r>
          </w:p>
        </w:tc>
        <w:tc>
          <w:tcPr>
            <w:tcW w:w="0" w:type="dxa"/>
            <w:vAlign w:val="bottom"/>
          </w:tcPr>
          <w:p>
            <w:pPr>
              <w:spacing w:after="0"/>
              <w:rPr>
                <w:sz w:val="1"/>
                <w:szCs w:val="1"/>
                <w:color w:val="auto"/>
              </w:rPr>
            </w:pPr>
          </w:p>
        </w:tc>
      </w:tr>
      <w:tr>
        <w:trPr>
          <w:trHeight w:val="255"/>
        </w:trPr>
        <w:tc>
          <w:tcPr>
            <w:tcW w:w="7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Income taxes paid</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1,331</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55"/>
        </w:trPr>
        <w:tc>
          <w:tcPr>
            <w:tcW w:w="7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Operating lease payments reducing operating lease liabilities</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1,634</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-6851015</wp:posOffset>
            </wp:positionV>
            <wp:extent cx="6315075" cy="68738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1">
                      <a:extLst>
                        <a:ext uri="{28A0092B-C50C-407E-A947-70E740481C1C}"/>
                      </a:extLst>
                    </a:blip>
                    <a:srcRect/>
                    <a:stretch>
                      <a:fillRect/>
                    </a:stretch>
                  </pic:blipFill>
                  <pic:spPr bwMode="auto">
                    <a:xfrm>
                      <a:off x="0" y="0"/>
                      <a:ext cx="6315075" cy="6873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The accompanying notes are an integral part of these consolidated financial statements.</w:t>
      </w:r>
    </w:p>
    <w:p>
      <w:pPr>
        <w:sectPr>
          <w:pgSz w:w="12240" w:h="15840" w:orient="portrait"/>
          <w:cols w:equalWidth="0" w:num="1">
            <w:col w:w="9880"/>
          </w:cols>
          <w:pgMar w:left="1180" w:top="20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129</w:t>
      </w:r>
    </w:p>
    <w:p>
      <w:pPr>
        <w:sectPr>
          <w:pgSz w:w="12240" w:h="15840" w:orient="portrait"/>
          <w:cols w:equalWidth="0" w:num="1">
            <w:col w:w="9880"/>
          </w:cols>
          <w:pgMar w:left="1180" w:top="208" w:right="1180" w:bottom="0" w:gutter="0" w:footer="0" w:header="0"/>
          <w:type w:val="continuous"/>
        </w:sectPr>
      </w:pPr>
    </w:p>
    <w:bookmarkStart w:id="129" w:name="page130"/>
    <w:bookmarkEnd w:id="129"/>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Centessa Pharmaceuticals plc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 Organization and Description of Business</w:t>
      </w:r>
    </w:p>
    <w:p>
      <w:pPr>
        <w:spacing w:after="0" w:line="137"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Centessa Pharmaceuticals plc (“Centessa” or “the Company”) is a clinical-stage pharmaceutical company that aims to discover, develop and ultimately deliver medicines that are transformational for patients. Centessa was incorporated on October 26, 2020 as a limited liability company under the laws of England and Wales. In connection with the IPO in June 2021, the Company re-registered Centessa Pharmaceuticals Limited as an English public limited company and renamed it as Centessa Pharmaceuticals plc.</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Risks and Liquidity</w:t>
      </w:r>
    </w:p>
    <w:p>
      <w:pPr>
        <w:spacing w:after="0" w:line="134"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The Company is subject to risks common to other life science companies in early stages of development including, but not limited to, uncertainty of product development and commercialization, lack of marketing and sales history, development of new technological innovations by its competitors, dependence on key personnel, market acceptance of products, product liability, protection of proprietary technology, ability to raise additional financing and compliance with government regulations, in the markets in which the Company is seeking approvals, including FDA regulations. If the Company does not successfully advance its programs into and through human clinical trials and/or enter into collaborations for its programs and commercialize any of its product candidates, it may be unable to produce product revenue or achieve profitability.</w:t>
      </w:r>
    </w:p>
    <w:p>
      <w:pPr>
        <w:spacing w:after="0" w:line="213" w:lineRule="exact"/>
        <w:rPr>
          <w:sz w:val="20"/>
          <w:szCs w:val="20"/>
          <w:color w:val="auto"/>
        </w:rPr>
      </w:pPr>
    </w:p>
    <w:p>
      <w:pPr>
        <w:jc w:val="both"/>
        <w:ind w:right="20" w:firstLine="720"/>
        <w:spacing w:after="0" w:line="260" w:lineRule="auto"/>
        <w:rPr>
          <w:sz w:val="20"/>
          <w:szCs w:val="20"/>
          <w:color w:val="auto"/>
        </w:rPr>
      </w:pPr>
      <w:r>
        <w:rPr>
          <w:rFonts w:ascii="Times New Roman" w:cs="Times New Roman" w:eastAsia="Times New Roman" w:hAnsi="Times New Roman"/>
          <w:sz w:val="20"/>
          <w:szCs w:val="20"/>
          <w:color w:val="auto"/>
        </w:rPr>
        <w:t>The Company has incurred losses and negative cash flows from operations since inception and the Company had an accumulated deficit of $1.2 billion as of December 31, 2025. The Company anticipates incurring additional losses until such time, if ever, that it can generate significant sales of the product candidates currently in development. Substantial additional capital will be needed by the Company to fund its operations and to develop its product candidates.</w:t>
      </w:r>
    </w:p>
    <w:p>
      <w:pPr>
        <w:spacing w:after="0" w:line="203" w:lineRule="exact"/>
        <w:rPr>
          <w:sz w:val="20"/>
          <w:szCs w:val="20"/>
          <w:color w:val="auto"/>
        </w:rPr>
      </w:pPr>
    </w:p>
    <w:p>
      <w:pPr>
        <w:jc w:val="both"/>
        <w:ind w:right="20" w:firstLine="720"/>
        <w:spacing w:after="0" w:line="260" w:lineRule="auto"/>
        <w:rPr>
          <w:sz w:val="20"/>
          <w:szCs w:val="20"/>
          <w:color w:val="auto"/>
        </w:rPr>
      </w:pPr>
      <w:r>
        <w:rPr>
          <w:rFonts w:ascii="Times New Roman" w:cs="Times New Roman" w:eastAsia="Times New Roman" w:hAnsi="Times New Roman"/>
          <w:sz w:val="20"/>
          <w:szCs w:val="20"/>
          <w:color w:val="auto"/>
        </w:rPr>
        <w:t>On December 30, 2024, the Company entered into a loan and security agreement (the “Loan and Security Agreement”) with Oxford Finance LLC (“Oxford”), as collateral agent and a lender, and the other lenders from time to time party thereto (collectively, the “Lenders”), pursuant to which the Lenders have agreed to lend the Company an aggregate principal amount of up to $200.0 million in a series of term loans (the “Term Loans”).</w:t>
      </w:r>
    </w:p>
    <w:p>
      <w:pPr>
        <w:spacing w:after="0" w:line="143" w:lineRule="exact"/>
        <w:rPr>
          <w:sz w:val="20"/>
          <w:szCs w:val="20"/>
          <w:color w:val="auto"/>
        </w:rPr>
      </w:pPr>
    </w:p>
    <w:p>
      <w:pPr>
        <w:jc w:val="both"/>
        <w:ind w:right="20" w:firstLine="720"/>
        <w:spacing w:after="0" w:line="256" w:lineRule="auto"/>
        <w:rPr>
          <w:sz w:val="20"/>
          <w:szCs w:val="20"/>
          <w:color w:val="auto"/>
        </w:rPr>
      </w:pPr>
      <w:r>
        <w:rPr>
          <w:rFonts w:ascii="Times New Roman" w:cs="Times New Roman" w:eastAsia="Times New Roman" w:hAnsi="Times New Roman"/>
          <w:sz w:val="20"/>
          <w:szCs w:val="20"/>
          <w:color w:val="auto"/>
        </w:rPr>
        <w:t>Pursuant to the Loan and Security Agreement, the Company received $110.0 million (the “Initial Term Loan”) and incurred $1.1 million of debt issuance costs inclusive of facility and legal fees. The Company has access to up to an additional $40.0 million of loan proceeds in an additional tranche which is available during the period commencing on the date of the occurrence of the Clinical Milestone (as defined in the Loan and Security Agreement) through the earlier of: (i) 90 days following the Clinical Milestone and (ii) June 30, 2028. An additional $50.0 million may be made available to the Company at the Lenders’ sole discretion.</w:t>
      </w:r>
    </w:p>
    <w:p>
      <w:pPr>
        <w:spacing w:after="0" w:line="208" w:lineRule="exact"/>
        <w:rPr>
          <w:sz w:val="20"/>
          <w:szCs w:val="20"/>
          <w:color w:val="auto"/>
        </w:rPr>
      </w:pPr>
    </w:p>
    <w:p>
      <w:pPr>
        <w:jc w:val="both"/>
        <w:ind w:right="20" w:firstLine="720"/>
        <w:spacing w:after="0" w:line="260" w:lineRule="auto"/>
        <w:rPr>
          <w:sz w:val="20"/>
          <w:szCs w:val="20"/>
          <w:color w:val="auto"/>
        </w:rPr>
      </w:pPr>
      <w:r>
        <w:rPr>
          <w:rFonts w:ascii="Times New Roman" w:cs="Times New Roman" w:eastAsia="Times New Roman" w:hAnsi="Times New Roman"/>
          <w:sz w:val="20"/>
          <w:szCs w:val="20"/>
          <w:color w:val="auto"/>
        </w:rPr>
        <w:t>The term loans are set to mature on December 1, 2029 and, following an interest-only period, will begin to amortize in equal monthly installments beginning on February 1, 2029. However, if the Extension Event as defined in the Agreement occurs, then at the Company’s option, the term loans could begin to amortize in equal monthly installments beginning on February 1, 2030, and the maturity date will be extended to December 1, 2030.</w:t>
      </w:r>
    </w:p>
    <w:p>
      <w:pPr>
        <w:spacing w:after="0" w:line="203" w:lineRule="exact"/>
        <w:rPr>
          <w:sz w:val="20"/>
          <w:szCs w:val="20"/>
          <w:color w:val="auto"/>
        </w:rPr>
      </w:pPr>
    </w:p>
    <w:p>
      <w:pPr>
        <w:jc w:val="both"/>
        <w:ind w:firstLine="720"/>
        <w:spacing w:after="0" w:line="261" w:lineRule="auto"/>
        <w:rPr>
          <w:sz w:val="20"/>
          <w:szCs w:val="20"/>
          <w:color w:val="auto"/>
        </w:rPr>
      </w:pPr>
      <w:r>
        <w:rPr>
          <w:rFonts w:ascii="Times New Roman" w:cs="Times New Roman" w:eastAsia="Times New Roman" w:hAnsi="Times New Roman"/>
          <w:sz w:val="20"/>
          <w:szCs w:val="20"/>
          <w:color w:val="auto"/>
        </w:rPr>
        <w:t xml:space="preserve">Substantially all of the proceeds from the Initial Term Loan were used to repay in full the approximately $110 million aggregate principal amount outstanding, accrued interest and fees related to the Company’s existing note purchase agreement (the “NPA”) with Three Peaks Capital Solutions Aggregator Fund and Cocoon SA LLC, an affiliate of Oberland Capital Management LLC (collectively, “Oberland Capital”). </w:t>
      </w:r>
      <w:r>
        <w:rPr>
          <w:rFonts w:ascii="Times New Roman" w:cs="Times New Roman" w:eastAsia="Times New Roman" w:hAnsi="Times New Roman"/>
          <w:sz w:val="20"/>
          <w:szCs w:val="20"/>
          <w:b w:val="1"/>
          <w:bCs w:val="1"/>
          <w:i w:val="1"/>
          <w:iCs w:val="1"/>
          <w:color w:val="auto"/>
        </w:rPr>
        <w:t>(See - Note 6</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u w:val="single" w:color="auto"/>
          <w:color w:val="0000FF"/>
        </w:rPr>
        <w:t>"Debt"</w:t>
      </w:r>
      <w:r>
        <w:rPr>
          <w:rFonts w:ascii="Times New Roman" w:cs="Times New Roman" w:eastAsia="Times New Roman" w:hAnsi="Times New Roman"/>
          <w:sz w:val="20"/>
          <w:szCs w:val="20"/>
          <w:b w:val="1"/>
          <w:bCs w:val="1"/>
          <w:i w:val="1"/>
          <w:iCs w:val="1"/>
          <w:color w:val="auto"/>
          <w:highlight w:val="white"/>
        </w:rPr>
        <w:t>).</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Shelf Registration Statement and Equity offerings</w:t>
      </w:r>
    </w:p>
    <w:p>
      <w:pPr>
        <w:spacing w:after="0" w:line="134" w:lineRule="exact"/>
        <w:rPr>
          <w:sz w:val="20"/>
          <w:szCs w:val="20"/>
          <w:color w:val="auto"/>
        </w:rPr>
      </w:pPr>
    </w:p>
    <w:p>
      <w:pPr>
        <w:jc w:val="both"/>
        <w:ind w:right="20" w:firstLine="720"/>
        <w:spacing w:after="0" w:line="256" w:lineRule="auto"/>
        <w:rPr>
          <w:sz w:val="20"/>
          <w:szCs w:val="20"/>
          <w:color w:val="auto"/>
        </w:rPr>
      </w:pPr>
      <w:r>
        <w:rPr>
          <w:rFonts w:ascii="Times New Roman" w:cs="Times New Roman" w:eastAsia="Times New Roman" w:hAnsi="Times New Roman"/>
          <w:sz w:val="20"/>
          <w:szCs w:val="20"/>
          <w:color w:val="auto"/>
        </w:rPr>
        <w:t>On September 11, 2024, the Company filed an automatic shelf registration statement on Form S-3ASR (“Shelf”) registering an unspecified amount of the Company’s ordinary shares, American Depository Shares representing ordinary shares, debt securities, warrants, and/or units or any combination thereof with the U.S. Securities and Exchange Commission (the “SEC”) under the Securities Act of 1933, as amended. The Shelf automatically became effective upon filing. Under the Shelf, Centessa may offer securities from time to time in one or more offerings, at prices and on terms to be determined by market conditions at the time of offering. The specifics of any future offerings, along with the use of</w:t>
      </w:r>
    </w:p>
    <w:p>
      <w:pPr>
        <w:sectPr>
          <w:pgSz w:w="12240" w:h="15840" w:orient="portrait"/>
          <w:cols w:equalWidth="0" w:num="1">
            <w:col w:w="9900"/>
          </w:cols>
          <w:pgMar w:left="1180" w:top="20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130</w:t>
      </w:r>
    </w:p>
    <w:p>
      <w:pPr>
        <w:sectPr>
          <w:pgSz w:w="12240" w:h="15840" w:orient="portrait"/>
          <w:cols w:equalWidth="0" w:num="1">
            <w:col w:w="9900"/>
          </w:cols>
          <w:pgMar w:left="1180" w:top="208" w:right="1160" w:bottom="0" w:gutter="0" w:footer="0" w:header="0"/>
          <w:type w:val="continuous"/>
        </w:sectPr>
      </w:pPr>
    </w:p>
    <w:bookmarkStart w:id="130" w:name="page131"/>
    <w:bookmarkEnd w:id="130"/>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Centessa Pharmaceuticals plc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243"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proceeds of any securities offered, will be described in detail in a prospectus supplement, or other offering materials, at the time of any offering.</w:t>
      </w:r>
    </w:p>
    <w:p>
      <w:pPr>
        <w:spacing w:after="0" w:line="181" w:lineRule="exact"/>
        <w:rPr>
          <w:sz w:val="20"/>
          <w:szCs w:val="20"/>
          <w:color w:val="auto"/>
        </w:rPr>
      </w:pPr>
    </w:p>
    <w:p>
      <w:pPr>
        <w:jc w:val="both"/>
        <w:ind w:right="20" w:firstLine="720"/>
        <w:spacing w:after="0" w:line="255" w:lineRule="auto"/>
        <w:rPr>
          <w:sz w:val="20"/>
          <w:szCs w:val="20"/>
          <w:color w:val="auto"/>
        </w:rPr>
      </w:pPr>
      <w:r>
        <w:rPr>
          <w:rFonts w:ascii="Times New Roman" w:cs="Times New Roman" w:eastAsia="Times New Roman" w:hAnsi="Times New Roman"/>
          <w:sz w:val="20"/>
          <w:szCs w:val="20"/>
          <w:color w:val="auto"/>
        </w:rPr>
        <w:t>The Company entered into a Sales agreement, dated January 27, 2023 and amended and restated on November 24 2025 (the “Sales Agreement”), by and between Centessa Pharmaceuticals plc and Leerink Partners LLC. As sales agent, Leerink Partners LLC provided for the issuance and sale by the Company of up to $250.0 million of its ordinary shares represented by American Depository Shares (“ADSs”) from time to time in “at-the-market” offerings (“ATM Program”). In the year ended December 31, 2025, the Company sold 372,538 ordinary shares under the ATM Program, resulting in net proceeds of $6.1 million. On a life to date basis, as of December 31, 2025, the Company sold 4,663,354 ordinary shares under the ATM Program, resulting in net proceeds of approximately $36.6 million under the Sales Agreement.</w:t>
      </w:r>
    </w:p>
    <w:p>
      <w:pPr>
        <w:spacing w:after="0" w:line="210"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In 2024, the Company completed offerings of its ordinary shares through the sale and issuance of a cumulative 29,932,626 ADSs. Each ADS represents one ordinary share with a nominal value of £0.002 per ordinary share. The completed offerings, which included the Underwriters’ over-allotment option to purchase additional shares, was made pursuant to the Shelf registration. The net proceeds of these offerings, after deducting underwriting discounts and commissions and offering expenses, was approximately $349.9 million.</w:t>
      </w:r>
    </w:p>
    <w:p>
      <w:pPr>
        <w:spacing w:after="0" w:line="204"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In 2025, the Company completed offerings of its ordinary shares through the sale and issuance of a cumulative 13,372,093 ADSs. Each ADS represents one ordinary share with a nominal value of £0.002 per ordinary share. The completed offerings, which included the underwriters’ over-allotment option to purchase additional shares, was made pursuant to the Shelf registration. The net proceeds of these offerings, after deducting underwriting discounts and commissions and offering expenses, was approximately $269.2 million. The Company intends to use the net proceeds from the offerings, together with its existing cash, cash equivalents, and investments, to fund the continued development of its product candidates, as well as for general corporate purposes.</w:t>
      </w:r>
    </w:p>
    <w:p>
      <w:pPr>
        <w:spacing w:after="0" w:line="210" w:lineRule="exact"/>
        <w:rPr>
          <w:sz w:val="20"/>
          <w:szCs w:val="20"/>
          <w:color w:val="auto"/>
        </w:rPr>
      </w:pPr>
    </w:p>
    <w:p>
      <w:pPr>
        <w:jc w:val="both"/>
        <w:ind w:right="20" w:firstLine="720"/>
        <w:spacing w:after="0" w:line="266" w:lineRule="auto"/>
        <w:rPr>
          <w:sz w:val="20"/>
          <w:szCs w:val="20"/>
          <w:color w:val="auto"/>
        </w:rPr>
      </w:pPr>
      <w:r>
        <w:rPr>
          <w:rFonts w:ascii="Times New Roman" w:cs="Times New Roman" w:eastAsia="Times New Roman" w:hAnsi="Times New Roman"/>
          <w:sz w:val="20"/>
          <w:szCs w:val="20"/>
          <w:color w:val="auto"/>
        </w:rPr>
        <w:t>The Company expects its existing cash, cash equivalents, and investments as of December 31, 2025 of $577.1 million will be sufficient to fund its expected operating expenses and capital expenditure requirements for at least the next 12 months from the date of issuance of these consolidated financial statements.</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 Summary of Significant Accounting Policies</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Basis of Presentation and Consolidation</w:t>
      </w:r>
    </w:p>
    <w:p>
      <w:pPr>
        <w:spacing w:after="0" w:line="134" w:lineRule="exact"/>
        <w:rPr>
          <w:sz w:val="20"/>
          <w:szCs w:val="20"/>
          <w:color w:val="auto"/>
        </w:rPr>
      </w:pPr>
    </w:p>
    <w:p>
      <w:pPr>
        <w:jc w:val="both"/>
        <w:ind w:right="20" w:firstLine="720"/>
        <w:spacing w:after="0" w:line="258" w:lineRule="auto"/>
        <w:rPr>
          <w:sz w:val="20"/>
          <w:szCs w:val="20"/>
          <w:color w:val="auto"/>
        </w:rPr>
      </w:pPr>
      <w:r>
        <w:rPr>
          <w:rFonts w:ascii="Times New Roman" w:cs="Times New Roman" w:eastAsia="Times New Roman" w:hAnsi="Times New Roman"/>
          <w:sz w:val="20"/>
          <w:szCs w:val="20"/>
          <w:color w:val="auto"/>
        </w:rPr>
        <w:t>The accompanying consolidated financial statements have been prepared in conformity with accounting principles generally accepted in the United States of America (“GAAP”). Any reference in these notes to applicable guidance is meant to refer to GAAP as found in the Accounting Standards Codification (“ASC”) and Accounting Standards Updates (“ASUs”) promulgated by the Financial Accounting Standards Board (“FASB”). All intercompany accounts and transactions have been eliminated in consolidation.</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Emerging Growth Company and Smaller Reporting Company</w:t>
      </w:r>
    </w:p>
    <w:p>
      <w:pPr>
        <w:spacing w:after="0" w:line="134" w:lineRule="exact"/>
        <w:rPr>
          <w:sz w:val="20"/>
          <w:szCs w:val="20"/>
          <w:color w:val="auto"/>
        </w:rPr>
      </w:pPr>
    </w:p>
    <w:p>
      <w:pPr>
        <w:jc w:val="both"/>
        <w:ind w:right="20" w:firstLine="720"/>
        <w:spacing w:after="0" w:line="253" w:lineRule="auto"/>
        <w:rPr>
          <w:sz w:val="20"/>
          <w:szCs w:val="20"/>
          <w:color w:val="auto"/>
        </w:rPr>
      </w:pPr>
      <w:r>
        <w:rPr>
          <w:rFonts w:ascii="Times New Roman" w:cs="Times New Roman" w:eastAsia="Times New Roman" w:hAnsi="Times New Roman"/>
          <w:sz w:val="20"/>
          <w:szCs w:val="20"/>
          <w:color w:val="auto"/>
        </w:rPr>
        <w:t>The Company is an emerging growth company, as defined in the JOBS Act. Under the JOBS Act, emerging growth companies can delay the adoption of new or revised accounting standards issued subsequent to the enactment of the JOBS Act until such time as those standards apply to private companies. Other exemptions and reduced reporting requirements under the JOBS Act for emerging growth companies include presentation of only two years of audited financial statements in a registration statement for an initial public offering, an exemption from the requirement to provide an auditor’s report on internal controls over financial reporting pursuant to Section 404 of the Sarbanes-Oxley Act of 2002, as amended, an exemption from any requirement that may be adopted by the Public Company Accounting Oversight Board regarding mandatory audit firm rotation and less extensive disclosure about our executive compensation arrangements. The Company has elected to use the extended transition period for complying with new or revised accounting standards that have different effective dates for public and private companies until the earlier of the date that (i) it is no longer an emerging growth company or (ii) the Company affirmatively and irrevocably opts out of the extended transition period provided in the JOBS Act.</w:t>
      </w:r>
    </w:p>
    <w:p>
      <w:pPr>
        <w:spacing w:after="0" w:line="91" w:lineRule="exact"/>
        <w:rPr>
          <w:sz w:val="20"/>
          <w:szCs w:val="20"/>
          <w:color w:val="auto"/>
        </w:rPr>
      </w:pPr>
    </w:p>
    <w:p>
      <w:pPr>
        <w:jc w:val="both"/>
        <w:ind w:firstLine="720"/>
        <w:spacing w:after="0" w:line="281" w:lineRule="auto"/>
        <w:rPr>
          <w:sz w:val="20"/>
          <w:szCs w:val="20"/>
          <w:color w:val="auto"/>
        </w:rPr>
      </w:pPr>
      <w:r>
        <w:rPr>
          <w:rFonts w:ascii="Times New Roman" w:cs="Times New Roman" w:eastAsia="Times New Roman" w:hAnsi="Times New Roman"/>
          <w:sz w:val="20"/>
          <w:szCs w:val="20"/>
          <w:color w:val="auto"/>
        </w:rPr>
        <w:t>The Company will remain an emerging growth company until the earliest of (i) the last day of its first fiscal year in which it has total annual gross revenues of $1.235 billion or more, (ii) the last day of its first fiscal year following the</w:t>
      </w:r>
    </w:p>
    <w:p>
      <w:pPr>
        <w:sectPr>
          <w:pgSz w:w="12240" w:h="15840" w:orient="portrait"/>
          <w:cols w:equalWidth="0" w:num="1">
            <w:col w:w="9900"/>
          </w:cols>
          <w:pgMar w:left="1180" w:top="208" w:right="1160" w:bottom="0" w:gutter="0" w:footer="0" w:header="0"/>
        </w:sect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131</w:t>
      </w:r>
    </w:p>
    <w:p>
      <w:pPr>
        <w:sectPr>
          <w:pgSz w:w="12240" w:h="15840" w:orient="portrait"/>
          <w:cols w:equalWidth="0" w:num="1">
            <w:col w:w="9900"/>
          </w:cols>
          <w:pgMar w:left="1180" w:top="208" w:right="1160" w:bottom="0" w:gutter="0" w:footer="0" w:header="0"/>
          <w:type w:val="continuous"/>
        </w:sectPr>
      </w:pPr>
    </w:p>
    <w:bookmarkStart w:id="131" w:name="page132"/>
    <w:bookmarkEnd w:id="131"/>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Centessa Pharmaceuticals plc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2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fifth anniversary of the closing of its initial public offering, (iii) the date on which it is deemed to be a “large accelerated filer,” under the rules of the SEC, or (iv) the date on which we have issued more than $1.0 billion in non-convertible debt securities during the prior three-year period.</w:t>
      </w:r>
    </w:p>
    <w:p>
      <w:pPr>
        <w:spacing w:after="0" w:line="75" w:lineRule="exact"/>
        <w:rPr>
          <w:sz w:val="20"/>
          <w:szCs w:val="20"/>
          <w:color w:val="auto"/>
        </w:rPr>
      </w:pPr>
    </w:p>
    <w:p>
      <w:pPr>
        <w:jc w:val="both"/>
        <w:ind w:firstLine="720"/>
        <w:spacing w:after="0" w:line="256" w:lineRule="auto"/>
        <w:rPr>
          <w:sz w:val="20"/>
          <w:szCs w:val="20"/>
          <w:color w:val="auto"/>
        </w:rPr>
      </w:pPr>
      <w:r>
        <w:rPr>
          <w:rFonts w:ascii="Times New Roman" w:cs="Times New Roman" w:eastAsia="Times New Roman" w:hAnsi="Times New Roman"/>
          <w:sz w:val="20"/>
          <w:szCs w:val="20"/>
          <w:color w:val="auto"/>
        </w:rPr>
        <w:t>The Company is also a “smaller reporting company” as defined in the Securities Exchange Act of 1934 (the “Exchange Act”). If it is a smaller reporting company at the time we cease to be an emerging growth company, the Company may continue to rely on exemptions from certain disclosure requirements that are available to smaller reporting companies. Specifically, as a smaller reporting company it may choose to present only the two most recent fiscal years of audited financial statements in its Annual Report on Form 10-K and, similar to emerging growth companies, smaller reporting companies have reduced disclosure obligations regarding executive compensation.</w:t>
      </w:r>
    </w:p>
    <w:p>
      <w:pPr>
        <w:spacing w:after="0" w:line="88" w:lineRule="exact"/>
        <w:rPr>
          <w:sz w:val="20"/>
          <w:szCs w:val="20"/>
          <w:color w:val="auto"/>
        </w:rPr>
      </w:pPr>
    </w:p>
    <w:p>
      <w:pPr>
        <w:jc w:val="both"/>
        <w:ind w:firstLine="720"/>
        <w:spacing w:after="0" w:line="256" w:lineRule="auto"/>
        <w:rPr>
          <w:sz w:val="20"/>
          <w:szCs w:val="20"/>
          <w:color w:val="auto"/>
        </w:rPr>
      </w:pPr>
      <w:r>
        <w:rPr>
          <w:rFonts w:ascii="Times New Roman" w:cs="Times New Roman" w:eastAsia="Times New Roman" w:hAnsi="Times New Roman"/>
          <w:sz w:val="20"/>
          <w:szCs w:val="20"/>
          <w:color w:val="auto"/>
        </w:rPr>
        <w:t>As of January 1, 2026, the Company ceased to be a “smaller reporting company” (“SRC”) as defined in the Exchange Act. For the first fiscal quarter of 2026, the Company will no longer be permitted to take advantage of scaled disclosure requirements for SRCs. The Company will retain its non-accelerated filer status for its filings due in the fiscal year 2026. The Company anticipates that it will have to comply with the auditor attestation requirements of Section 404(b) of the Sarbanes-Oxley Act for the year ended December 31, 2026, and its independent registered public accounting firm will have to evaluate and report on the effectiveness of internal control over financial reporting.</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Cash, Cash Equivalents, and Restricted Cash</w:t>
      </w:r>
    </w:p>
    <w:p>
      <w:pPr>
        <w:spacing w:after="0" w:line="134" w:lineRule="exact"/>
        <w:rPr>
          <w:sz w:val="20"/>
          <w:szCs w:val="20"/>
          <w:color w:val="auto"/>
        </w:rPr>
      </w:pPr>
    </w:p>
    <w:p>
      <w:pPr>
        <w:jc w:val="both"/>
        <w:ind w:firstLine="720"/>
        <w:spacing w:after="0" w:line="266" w:lineRule="auto"/>
        <w:rPr>
          <w:sz w:val="20"/>
          <w:szCs w:val="20"/>
          <w:color w:val="auto"/>
        </w:rPr>
      </w:pPr>
      <w:r>
        <w:rPr>
          <w:rFonts w:ascii="Times New Roman" w:cs="Times New Roman" w:eastAsia="Times New Roman" w:hAnsi="Times New Roman"/>
          <w:sz w:val="20"/>
          <w:szCs w:val="20"/>
          <w:color w:val="auto"/>
        </w:rPr>
        <w:t>The Company considers all highly liquid investments with original maturities of three months or less when purchased to be cash equivalents. Cash and cash equivalents include cash in readily available checking accounts, certificates of deposit, money market funds and U.S. Treasury securities.</w:t>
      </w:r>
    </w:p>
    <w:p>
      <w:pPr>
        <w:spacing w:after="0" w:line="75" w:lineRule="exact"/>
        <w:rPr>
          <w:sz w:val="20"/>
          <w:szCs w:val="20"/>
          <w:color w:val="auto"/>
        </w:rPr>
      </w:pPr>
    </w:p>
    <w:p>
      <w:pPr>
        <w:jc w:val="both"/>
        <w:ind w:firstLine="720"/>
        <w:spacing w:after="0" w:line="266" w:lineRule="auto"/>
        <w:rPr>
          <w:sz w:val="20"/>
          <w:szCs w:val="20"/>
          <w:color w:val="auto"/>
        </w:rPr>
      </w:pPr>
      <w:r>
        <w:rPr>
          <w:rFonts w:ascii="Times New Roman" w:cs="Times New Roman" w:eastAsia="Times New Roman" w:hAnsi="Times New Roman"/>
          <w:sz w:val="20"/>
          <w:szCs w:val="20"/>
          <w:color w:val="auto"/>
        </w:rPr>
        <w:t>Restricted cash represents cash held to secure a letter of credit associated with the Company’s facility lease for its corporate headquarters. The Company had $0.7 million, in restricted cash as of December 31, 2025 and 2024, which was classified as Other non-current assets on the Company’s consolidated balance sheets.</w:t>
      </w:r>
    </w:p>
    <w:p>
      <w:pPr>
        <w:spacing w:after="0" w:line="75" w:lineRule="exact"/>
        <w:rPr>
          <w:sz w:val="20"/>
          <w:szCs w:val="20"/>
          <w:color w:val="auto"/>
        </w:rPr>
      </w:pPr>
    </w:p>
    <w:p>
      <w:pPr>
        <w:jc w:val="both"/>
        <w:ind w:firstLine="720"/>
        <w:spacing w:after="0" w:line="266" w:lineRule="auto"/>
        <w:rPr>
          <w:sz w:val="20"/>
          <w:szCs w:val="20"/>
          <w:color w:val="auto"/>
        </w:rPr>
      </w:pPr>
      <w:r>
        <w:rPr>
          <w:rFonts w:ascii="Times New Roman" w:cs="Times New Roman" w:eastAsia="Times New Roman" w:hAnsi="Times New Roman"/>
          <w:sz w:val="20"/>
          <w:szCs w:val="20"/>
          <w:color w:val="auto"/>
        </w:rPr>
        <w:t>The following table provides a reconciliation of cash, cash equivalents, and restricted cash reported within the Company’s consolidated balance sheets that sum to the total of the amounts shown in the consolidated statement of cash flows as of December 31, 2025 and 2024 (in thousands):</w:t>
      </w:r>
    </w:p>
    <w:p>
      <w:pPr>
        <w:spacing w:after="0" w:line="259" w:lineRule="exact"/>
        <w:rPr>
          <w:sz w:val="20"/>
          <w:szCs w:val="20"/>
          <w:color w:val="auto"/>
        </w:rPr>
      </w:pPr>
    </w:p>
    <w:tbl>
      <w:tblPr>
        <w:tblLayout w:type="fixed"/>
        <w:tblInd w:w="520" w:type="dxa"/>
        <w:tblCellMar>
          <w:top w:w="0" w:type="dxa"/>
          <w:left w:w="0" w:type="dxa"/>
          <w:bottom w:w="0" w:type="dxa"/>
          <w:right w:w="0" w:type="dxa"/>
        </w:tblCellMar>
      </w:tblPr>
      <w:tr>
        <w:trPr>
          <w:trHeight w:val="243"/>
        </w:trPr>
        <w:tc>
          <w:tcPr>
            <w:tcW w:w="5580" w:type="dxa"/>
            <w:vAlign w:val="bottom"/>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60" w:type="dxa"/>
            <w:vAlign w:val="bottom"/>
            <w:tcBorders>
              <w:bottom w:val="single" w:sz="8" w:color="auto"/>
            </w:tcBorders>
          </w:tcPr>
          <w:p>
            <w:pPr>
              <w:spacing w:after="0"/>
              <w:rPr>
                <w:sz w:val="21"/>
                <w:szCs w:val="21"/>
                <w:color w:val="auto"/>
              </w:rPr>
            </w:pPr>
          </w:p>
        </w:tc>
      </w:tr>
      <w:tr>
        <w:trPr>
          <w:trHeight w:val="235"/>
        </w:trPr>
        <w:tc>
          <w:tcPr>
            <w:tcW w:w="5580" w:type="dxa"/>
            <w:vAlign w:val="bottom"/>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6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603"/>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62"/>
        </w:trPr>
        <w:tc>
          <w:tcPr>
            <w:tcW w:w="5580" w:type="dxa"/>
            <w:vAlign w:val="bottom"/>
          </w:tcPr>
          <w:p>
            <w:pPr>
              <w:spacing w:after="0"/>
              <w:rPr>
                <w:sz w:val="20"/>
                <w:szCs w:val="20"/>
                <w:color w:val="auto"/>
              </w:rPr>
            </w:pPr>
            <w:r>
              <w:rPr>
                <w:rFonts w:ascii="Times New Roman" w:cs="Times New Roman" w:eastAsia="Times New Roman" w:hAnsi="Times New Roman"/>
                <w:sz w:val="20"/>
                <w:szCs w:val="20"/>
                <w:color w:val="auto"/>
              </w:rPr>
              <w:t>Cash and cash equivalents</w:t>
            </w:r>
          </w:p>
        </w:tc>
        <w:tc>
          <w:tcPr>
            <w:tcW w:w="1100" w:type="dxa"/>
            <w:vAlign w:val="bottom"/>
          </w:tcPr>
          <w:p>
            <w:pPr>
              <w:jc w:val="right"/>
              <w:ind w:right="843"/>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61,299</w:t>
            </w:r>
          </w:p>
        </w:tc>
        <w:tc>
          <w:tcPr>
            <w:tcW w:w="640" w:type="dxa"/>
            <w:vAlign w:val="bottom"/>
            <w:gridSpan w:val="2"/>
          </w:tcPr>
          <w:p>
            <w:pPr>
              <w:jc w:val="right"/>
              <w:ind w:right="42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383,221</w:t>
            </w:r>
          </w:p>
        </w:tc>
      </w:tr>
      <w:tr>
        <w:trPr>
          <w:trHeight w:val="285"/>
        </w:trPr>
        <w:tc>
          <w:tcPr>
            <w:tcW w:w="5580" w:type="dxa"/>
            <w:vAlign w:val="bottom"/>
          </w:tcPr>
          <w:p>
            <w:pPr>
              <w:spacing w:after="0"/>
              <w:rPr>
                <w:sz w:val="20"/>
                <w:szCs w:val="20"/>
                <w:color w:val="auto"/>
              </w:rPr>
            </w:pPr>
            <w:r>
              <w:rPr>
                <w:rFonts w:ascii="Times New Roman" w:cs="Times New Roman" w:eastAsia="Times New Roman" w:hAnsi="Times New Roman"/>
                <w:sz w:val="20"/>
                <w:szCs w:val="20"/>
                <w:color w:val="auto"/>
              </w:rPr>
              <w:t>Restricted cash</w:t>
            </w:r>
          </w:p>
        </w:tc>
        <w:tc>
          <w:tcPr>
            <w:tcW w:w="11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654</w:t>
            </w: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654</w:t>
            </w:r>
          </w:p>
        </w:tc>
      </w:tr>
      <w:tr>
        <w:trPr>
          <w:trHeight w:val="268"/>
        </w:trPr>
        <w:tc>
          <w:tcPr>
            <w:tcW w:w="55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Total</w:t>
            </w:r>
          </w:p>
        </w:tc>
        <w:tc>
          <w:tcPr>
            <w:tcW w:w="1100" w:type="dxa"/>
            <w:vAlign w:val="bottom"/>
          </w:tcPr>
          <w:p>
            <w:pPr>
              <w:jc w:val="right"/>
              <w:ind w:right="843"/>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61,953</w:t>
            </w:r>
          </w:p>
        </w:tc>
        <w:tc>
          <w:tcPr>
            <w:tcW w:w="640" w:type="dxa"/>
            <w:vAlign w:val="bottom"/>
            <w:gridSpan w:val="2"/>
          </w:tcPr>
          <w:p>
            <w:pPr>
              <w:jc w:val="right"/>
              <w:ind w:right="42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383,875</w:t>
            </w:r>
          </w:p>
        </w:tc>
      </w:tr>
      <w:tr>
        <w:trPr>
          <w:trHeight w:val="20"/>
        </w:trPr>
        <w:tc>
          <w:tcPr>
            <w:tcW w:w="55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wp:posOffset>
            </wp:positionH>
            <wp:positionV relativeFrom="paragraph">
              <wp:posOffset>-574040</wp:posOffset>
            </wp:positionV>
            <wp:extent cx="6029325" cy="7493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2">
                      <a:extLst>
                        <a:ext uri="{28A0092B-C50C-407E-A947-70E740481C1C}"/>
                      </a:extLst>
                    </a:blip>
                    <a:srcRect/>
                    <a:stretch>
                      <a:fillRect/>
                    </a:stretch>
                  </pic:blipFill>
                  <pic:spPr bwMode="auto">
                    <a:xfrm>
                      <a:off x="0" y="0"/>
                      <a:ext cx="6029325" cy="749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Investments in Marketable Securities</w:t>
      </w:r>
    </w:p>
    <w:p>
      <w:pPr>
        <w:spacing w:after="0" w:line="134" w:lineRule="exact"/>
        <w:rPr>
          <w:sz w:val="20"/>
          <w:szCs w:val="20"/>
          <w:color w:val="auto"/>
        </w:rPr>
      </w:pPr>
    </w:p>
    <w:p>
      <w:pPr>
        <w:jc w:val="both"/>
        <w:ind w:firstLine="720"/>
        <w:spacing w:after="0" w:line="239" w:lineRule="auto"/>
        <w:rPr>
          <w:sz w:val="20"/>
          <w:szCs w:val="20"/>
          <w:color w:val="auto"/>
        </w:rPr>
      </w:pPr>
      <w:r>
        <w:rPr>
          <w:rFonts w:ascii="Times New Roman" w:cs="Times New Roman" w:eastAsia="Times New Roman" w:hAnsi="Times New Roman"/>
          <w:sz w:val="20"/>
          <w:szCs w:val="20"/>
          <w:color w:val="auto"/>
        </w:rPr>
        <w:t>The Company invests its excess cash in money market funds, U.S. Treasury securities, U.S. government agency securities, corporate debt securities and commercial paper. The Company’s investment policy limits investments to money market funds, certain types of debt securities issued by the U.S. Government and its agencies, corporate notes and commercial paper, and places restrictions on the credit ratings, maturities and concentration by type and issuer. Securities with original maturities of three months or less when purchased are included in cash and cash equivalents. We consider investments with original maturities greater than three months and remaining maturities less than one year to be short-term investments, while remaining maturities greater than one year are classified as long-term investments.</w:t>
      </w:r>
    </w:p>
    <w:p>
      <w:pPr>
        <w:spacing w:after="0" w:line="179" w:lineRule="exact"/>
        <w:rPr>
          <w:sz w:val="20"/>
          <w:szCs w:val="20"/>
          <w:color w:val="auto"/>
        </w:rPr>
      </w:pPr>
    </w:p>
    <w:p>
      <w:pPr>
        <w:jc w:val="both"/>
        <w:ind w:firstLine="720"/>
        <w:spacing w:after="0" w:line="235" w:lineRule="auto"/>
        <w:rPr>
          <w:sz w:val="20"/>
          <w:szCs w:val="20"/>
          <w:color w:val="auto"/>
        </w:rPr>
      </w:pPr>
      <w:r>
        <w:rPr>
          <w:rFonts w:ascii="Times New Roman" w:cs="Times New Roman" w:eastAsia="Times New Roman" w:hAnsi="Times New Roman"/>
          <w:sz w:val="20"/>
          <w:szCs w:val="20"/>
          <w:color w:val="auto"/>
        </w:rPr>
        <w:t>As of December 31, 2025, all investments in U.S. Treasury securities were classified as available-for-sale securities, which are recorded at fair value. Unrealized holding gains and losses on available-for-sale securities are reported net of related income taxes in accumulated other comprehensive income until realized. Purchase premiums and discounts are amortized to interest income over the terms of the related securities.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Concentrations of Credit Risk</w:t>
      </w:r>
    </w:p>
    <w:p>
      <w:pPr>
        <w:spacing w:after="0" w:line="134" w:lineRule="exact"/>
        <w:rPr>
          <w:sz w:val="20"/>
          <w:szCs w:val="20"/>
          <w:color w:val="auto"/>
        </w:rPr>
      </w:pPr>
    </w:p>
    <w:p>
      <w:pPr>
        <w:jc w:val="both"/>
        <w:ind w:firstLine="720"/>
        <w:spacing w:after="0" w:line="281" w:lineRule="auto"/>
        <w:rPr>
          <w:sz w:val="20"/>
          <w:szCs w:val="20"/>
          <w:color w:val="auto"/>
        </w:rPr>
      </w:pPr>
      <w:r>
        <w:rPr>
          <w:rFonts w:ascii="Times New Roman" w:cs="Times New Roman" w:eastAsia="Times New Roman" w:hAnsi="Times New Roman"/>
          <w:sz w:val="20"/>
          <w:szCs w:val="20"/>
          <w:color w:val="auto"/>
        </w:rPr>
        <w:t>Financial instruments that potentially subject the Company to a concentration of credit risk consist of cash, cash equivalents, and investments. The Company’s cash, cash equivalents, and investments are held by financial institutions</w:t>
      </w:r>
    </w:p>
    <w:p>
      <w:pPr>
        <w:sectPr>
          <w:pgSz w:w="12240" w:h="15840" w:orient="portrait"/>
          <w:cols w:equalWidth="0" w:num="1">
            <w:col w:w="9880"/>
          </w:cols>
          <w:pgMar w:left="1180" w:top="208" w:right="1180" w:bottom="0" w:gutter="0" w:footer="0" w:header="0"/>
        </w:sect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132</w:t>
      </w:r>
    </w:p>
    <w:p>
      <w:pPr>
        <w:sectPr>
          <w:pgSz w:w="12240" w:h="15840" w:orient="portrait"/>
          <w:cols w:equalWidth="0" w:num="1">
            <w:col w:w="9880"/>
          </w:cols>
          <w:pgMar w:left="1180" w:top="208" w:right="1180" w:bottom="0" w:gutter="0" w:footer="0" w:header="0"/>
          <w:type w:val="continuous"/>
        </w:sectPr>
      </w:pPr>
    </w:p>
    <w:bookmarkStart w:id="132" w:name="page133"/>
    <w:bookmarkEnd w:id="132"/>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Centessa Pharmaceuticals plc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24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primarily in the United States and the United Kingdom. Amounts on deposit may at times exceed federally insured limits. Management believes that the financial institutions are financially sound, and accordingly, the Company does not believe that it is subject to unusual credit risk beyond the normal credit risk associated with commercial banking relationships.</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Segments</w:t>
      </w:r>
    </w:p>
    <w:p>
      <w:pPr>
        <w:spacing w:after="0" w:line="134" w:lineRule="exact"/>
        <w:rPr>
          <w:sz w:val="20"/>
          <w:szCs w:val="20"/>
          <w:color w:val="auto"/>
        </w:rPr>
      </w:pPr>
    </w:p>
    <w:p>
      <w:pPr>
        <w:jc w:val="both"/>
        <w:ind w:firstLine="720"/>
        <w:spacing w:after="0" w:line="266" w:lineRule="auto"/>
        <w:rPr>
          <w:sz w:val="20"/>
          <w:szCs w:val="20"/>
          <w:color w:val="auto"/>
        </w:rPr>
      </w:pPr>
      <w:r>
        <w:rPr>
          <w:rFonts w:ascii="Times New Roman" w:cs="Times New Roman" w:eastAsia="Times New Roman" w:hAnsi="Times New Roman"/>
          <w:sz w:val="20"/>
          <w:szCs w:val="20"/>
          <w:color w:val="auto"/>
        </w:rPr>
        <w:t>Operating segments are defined as components of an enterprise with separate discrete information available for evaluation by the chief operating decision maker, or decision-making group, in deciding how to allocate resources and in assessing performance. We view our operations and manage our business as one segment.</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Reclassifications</w:t>
      </w:r>
    </w:p>
    <w:p>
      <w:pPr>
        <w:spacing w:after="0" w:line="134" w:lineRule="exact"/>
        <w:rPr>
          <w:sz w:val="20"/>
          <w:szCs w:val="20"/>
          <w:color w:val="auto"/>
        </w:rPr>
      </w:pPr>
    </w:p>
    <w:p>
      <w:pPr>
        <w:jc w:val="both"/>
        <w:ind w:right="20" w:firstLine="720"/>
        <w:spacing w:after="0" w:line="266" w:lineRule="auto"/>
        <w:rPr>
          <w:sz w:val="20"/>
          <w:szCs w:val="20"/>
          <w:color w:val="auto"/>
        </w:rPr>
      </w:pPr>
      <w:r>
        <w:rPr>
          <w:rFonts w:ascii="Times New Roman" w:cs="Times New Roman" w:eastAsia="Times New Roman" w:hAnsi="Times New Roman"/>
          <w:sz w:val="20"/>
          <w:szCs w:val="20"/>
          <w:color w:val="auto"/>
        </w:rPr>
        <w:t>Certain amounts in the prior period financial statements have been reclassified to conform to the presentation of the current period financial statements. These reclassifications had no effect on previously reported net loss or comprehensive loss.</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Foreign Currency Translation</w:t>
      </w:r>
    </w:p>
    <w:p>
      <w:pPr>
        <w:spacing w:after="0" w:line="134" w:lineRule="exact"/>
        <w:rPr>
          <w:sz w:val="20"/>
          <w:szCs w:val="20"/>
          <w:color w:val="auto"/>
        </w:rPr>
      </w:pPr>
    </w:p>
    <w:p>
      <w:pPr>
        <w:jc w:val="both"/>
        <w:ind w:firstLine="720"/>
        <w:spacing w:after="0" w:line="256" w:lineRule="auto"/>
        <w:rPr>
          <w:sz w:val="20"/>
          <w:szCs w:val="20"/>
          <w:color w:val="auto"/>
        </w:rPr>
      </w:pPr>
      <w:r>
        <w:rPr>
          <w:rFonts w:ascii="Times New Roman" w:cs="Times New Roman" w:eastAsia="Times New Roman" w:hAnsi="Times New Roman"/>
          <w:sz w:val="20"/>
          <w:szCs w:val="20"/>
          <w:color w:val="auto"/>
        </w:rPr>
        <w:t>The Company’s financial statements are presented in U.S. dollars (“USD”), the reporting currency of the Company. The functional currency of Centessa Pharmaceuticals plc is USD and the functional currency of the Centessa Subsidiaries is their respective local currency. Income and expenses have been translated into USD at average monthly exchange rates prevailing during the period. Assets and liabilities have been translated at the rates of exchange on the balance sheets dates and equity accounts at their respective historical rates. The resulting translation gain and loss adjustments are recorded directly as a separate component of shareholders’ equity as other comprehensive (loss) income.</w:t>
      </w:r>
    </w:p>
    <w:p>
      <w:pPr>
        <w:spacing w:after="0" w:line="208" w:lineRule="exact"/>
        <w:rPr>
          <w:sz w:val="20"/>
          <w:szCs w:val="20"/>
          <w:color w:val="auto"/>
        </w:rPr>
      </w:pPr>
    </w:p>
    <w:p>
      <w:pPr>
        <w:jc w:val="both"/>
        <w:ind w:firstLine="720"/>
        <w:spacing w:after="0" w:line="256" w:lineRule="auto"/>
        <w:rPr>
          <w:sz w:val="20"/>
          <w:szCs w:val="20"/>
          <w:color w:val="auto"/>
        </w:rPr>
      </w:pPr>
      <w:r>
        <w:rPr>
          <w:rFonts w:ascii="Times New Roman" w:cs="Times New Roman" w:eastAsia="Times New Roman" w:hAnsi="Times New Roman"/>
          <w:sz w:val="20"/>
          <w:szCs w:val="20"/>
          <w:color w:val="auto"/>
        </w:rPr>
        <w:t>Transactions denominated in a currency other than the functional currency are remeasured based upon the exchange rate at the date of remeasurement with the resulting gain or loss included in the accompanying consolidated statements of operations and comprehensive loss within Other non-operating income (expense), net. The aggregate foreign currency transaction gain or loss is included in the results of operations. For the year ended December 31, 2025, the Company recorded a net foreign currency exchange transaction gain of $2.9 million, while for the year ended December 31, 2024, it recorded a net foreign currency transaction loss of $1.8 million.</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Use of Estimates</w:t>
      </w:r>
    </w:p>
    <w:p>
      <w:pPr>
        <w:spacing w:after="0" w:line="134"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The preparation of financial statements in conformity with U.S. GAAP requires management to make estimates and assumptions that affect the reported amounts of assets and liabilities, the disclosure of contingent assets and liabilities at the date of the consolidated financial statements and the reported amounts of revenues and expenses during the reporting periods. Significant areas that require management’s estimates include accrued research and development expenses, the note purchase agreement, research and development tax incentives and the recoverability of the Company’s net deferred tax assets and related valuation allowances. Estimates and assumptions are periodically reviewed in light of changes in circumstances, facts and experience. Changes in estimates are recorded in the period in which they become known. Actual results could differ materially from those estimates.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Property and Equipment, net</w:t>
      </w:r>
    </w:p>
    <w:p>
      <w:pPr>
        <w:spacing w:after="0" w:line="134" w:lineRule="exact"/>
        <w:rPr>
          <w:sz w:val="20"/>
          <w:szCs w:val="20"/>
          <w:color w:val="auto"/>
        </w:rPr>
      </w:pPr>
    </w:p>
    <w:p>
      <w:pPr>
        <w:jc w:val="both"/>
        <w:ind w:right="20" w:firstLine="720"/>
        <w:spacing w:after="0" w:line="258" w:lineRule="auto"/>
        <w:rPr>
          <w:sz w:val="20"/>
          <w:szCs w:val="20"/>
          <w:color w:val="auto"/>
        </w:rPr>
      </w:pPr>
      <w:r>
        <w:rPr>
          <w:rFonts w:ascii="Times New Roman" w:cs="Times New Roman" w:eastAsia="Times New Roman" w:hAnsi="Times New Roman"/>
          <w:sz w:val="20"/>
          <w:szCs w:val="20"/>
          <w:color w:val="auto"/>
        </w:rPr>
        <w:t>Property and equipment are recorded at cost and are depreciated using the straight-line method over the estimated useful lives of the respective assets. Property and equipment includes computer equipment, furniture and office equipment, which have a useful life of three to seven years. The costs of maintenance and repairs are expensed as incurred. Improvements and betterment that add new functionality or extend the useful life of the asset are capitalized. Depreciation expense for the years ended December 31, 2025 and December 31, 2024 was $0.3 million in each year.</w:t>
      </w:r>
    </w:p>
    <w:p>
      <w:pPr>
        <w:spacing w:after="0" w:line="204" w:lineRule="exact"/>
        <w:rPr>
          <w:sz w:val="20"/>
          <w:szCs w:val="20"/>
          <w:color w:val="auto"/>
        </w:rPr>
      </w:pPr>
    </w:p>
    <w:p>
      <w:pPr>
        <w:jc w:val="both"/>
        <w:ind w:firstLine="720"/>
        <w:spacing w:after="0" w:line="260" w:lineRule="auto"/>
        <w:rPr>
          <w:sz w:val="20"/>
          <w:szCs w:val="20"/>
          <w:color w:val="auto"/>
        </w:rPr>
      </w:pPr>
      <w:r>
        <w:rPr>
          <w:rFonts w:ascii="Times New Roman" w:cs="Times New Roman" w:eastAsia="Times New Roman" w:hAnsi="Times New Roman"/>
          <w:sz w:val="20"/>
          <w:szCs w:val="20"/>
          <w:color w:val="auto"/>
        </w:rPr>
        <w:t>Capitalized software as a service costs representing costs incurred during the application development stage are included in “Other non-current assets” and the corresponding current portion, in “Prepaid expenses and other current assets” and is amortized using the straight line method over 5 years. Costs incurred during the preliminary project stage and the post-implementation-operation stage are expensed as incurred. Hosting fees associated with the hosting as a service</w:t>
      </w:r>
    </w:p>
    <w:p>
      <w:pPr>
        <w:sectPr>
          <w:pgSz w:w="12240" w:h="15840" w:orient="portrait"/>
          <w:cols w:equalWidth="0" w:num="1">
            <w:col w:w="9900"/>
          </w:cols>
          <w:pgMar w:left="1180" w:top="20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133</w:t>
      </w:r>
    </w:p>
    <w:p>
      <w:pPr>
        <w:sectPr>
          <w:pgSz w:w="12240" w:h="15840" w:orient="portrait"/>
          <w:cols w:equalWidth="0" w:num="1">
            <w:col w:w="9900"/>
          </w:cols>
          <w:pgMar w:left="1180" w:top="208" w:right="1160" w:bottom="0" w:gutter="0" w:footer="0" w:header="0"/>
          <w:type w:val="continuous"/>
        </w:sectPr>
      </w:pPr>
    </w:p>
    <w:bookmarkStart w:id="133" w:name="page134"/>
    <w:bookmarkEnd w:id="133"/>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Centessa Pharmaceuticals plc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24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arrangement are expensed on a straight line basis over the term of the hosting arrangement. Amortization expense for the years ended December 31, 2025 and December 31, 2024 was $0.6 million, in each year.</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Leases</w:t>
      </w:r>
    </w:p>
    <w:p>
      <w:pPr>
        <w:spacing w:after="0" w:line="130" w:lineRule="exact"/>
        <w:rPr>
          <w:sz w:val="20"/>
          <w:szCs w:val="20"/>
          <w:color w:val="auto"/>
        </w:rPr>
      </w:pPr>
    </w:p>
    <w:p>
      <w:pPr>
        <w:jc w:val="both"/>
        <w:ind w:firstLine="720"/>
        <w:spacing w:after="0" w:line="259" w:lineRule="auto"/>
        <w:rPr>
          <w:sz w:val="20"/>
          <w:szCs w:val="20"/>
          <w:color w:val="auto"/>
        </w:rPr>
      </w:pPr>
      <w:r>
        <w:rPr>
          <w:rFonts w:ascii="Times New Roman" w:cs="Times New Roman" w:eastAsia="Times New Roman" w:hAnsi="Times New Roman"/>
          <w:sz w:val="20"/>
          <w:szCs w:val="20"/>
          <w:color w:val="auto"/>
        </w:rPr>
        <w:t xml:space="preserve">In accordance with ASU No. 2016-02, </w:t>
      </w:r>
      <w:r>
        <w:rPr>
          <w:rFonts w:ascii="Times New Roman" w:cs="Times New Roman" w:eastAsia="Times New Roman" w:hAnsi="Times New Roman"/>
          <w:sz w:val="20"/>
          <w:szCs w:val="20"/>
          <w:b w:val="1"/>
          <w:bCs w:val="1"/>
          <w:i w:val="1"/>
          <w:iCs w:val="1"/>
          <w:color w:val="auto"/>
        </w:rPr>
        <w:t>Leases (“ASC 842”)</w:t>
      </w:r>
      <w:r>
        <w:rPr>
          <w:rFonts w:ascii="Times New Roman" w:cs="Times New Roman" w:eastAsia="Times New Roman" w:hAnsi="Times New Roman"/>
          <w:sz w:val="20"/>
          <w:szCs w:val="20"/>
          <w:color w:val="auto"/>
        </w:rPr>
        <w:t>, the Company assesses whether an arrangement is a lease, or contains a lease at the inception of the arrangement. When an arrangement contains a lease, the Company categorizes leases with contractual terms longer than twelve months as either operating or finance. Finance leases are generally those leases that allow us to substantially utilize or pay for the entire asset over its estimated life. Assets acquired under finance leases are recorded in “Property and equipment, net.” All other leases are categorized as operating leases.</w:t>
      </w:r>
    </w:p>
    <w:p>
      <w:pPr>
        <w:spacing w:after="0" w:line="203" w:lineRule="exact"/>
        <w:rPr>
          <w:sz w:val="20"/>
          <w:szCs w:val="20"/>
          <w:color w:val="auto"/>
        </w:rPr>
      </w:pPr>
    </w:p>
    <w:p>
      <w:pPr>
        <w:jc w:val="both"/>
        <w:ind w:firstLine="720"/>
        <w:spacing w:after="0" w:line="253" w:lineRule="auto"/>
        <w:rPr>
          <w:sz w:val="20"/>
          <w:szCs w:val="20"/>
          <w:color w:val="auto"/>
        </w:rPr>
      </w:pPr>
      <w:r>
        <w:rPr>
          <w:rFonts w:ascii="Times New Roman" w:cs="Times New Roman" w:eastAsia="Times New Roman" w:hAnsi="Times New Roman"/>
          <w:sz w:val="20"/>
          <w:szCs w:val="20"/>
          <w:color w:val="auto"/>
        </w:rPr>
        <w:t>The Company records right-of use ("ROU") assets and lease obligations for its finance and operating leases, which are initially recognized based on the discounted future lease payments over the term of the lease. As the rate implicit in the Company's leases may not be easily determinable, the Company uses its incremental borrowing rate to calculate the present value of the sum of the lease payments. Lease terms may include options to extend or terminate the lease. The Company will include such options in determining the lease term when it is reasonably certain that the Company will exercise such options. Operating and finance lease ROU assets are recognized net of any lease prepayments and incentives. The Company elected the practical expedient to not separate lease and non-lease components and, accordingly, accounts for them as a single lease component. Operating lease expense is recognized on a straight-line basis over the lease term. Finance lease expense is recognized based on the effective-interest method over the lease term. The Company elected not to recognize ROU assets and lease obligations for any short-term leases, which are defined as leases with an initial term of 12 months or less.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Long-Lived Assets</w:t>
      </w:r>
    </w:p>
    <w:p>
      <w:pPr>
        <w:spacing w:after="0" w:line="134"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Long-lived assets are reviewed for impairment whenever events or changes in circumstances indicate that the carrying amount of an asset may not be recoverable. Recoverability of assets to be held and used is measured by a comparison of the carrying amount of an asset to estimated undiscounted future cash flows expected to be generated by the asset. If the carrying amount of an asset exceeds its estimated undiscounted future cash flows, then an impairment charge is recognized for the amount by which the carrying value of the asset exceeds the estimated fair value of the asset. As of December 31, 2025, the Company believes that no revision of the remaining useful lives or write-down of long-lived assets is required.</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Fair Value Measurement</w:t>
      </w:r>
    </w:p>
    <w:p>
      <w:pPr>
        <w:spacing w:after="0" w:line="134" w:lineRule="exact"/>
        <w:rPr>
          <w:sz w:val="20"/>
          <w:szCs w:val="20"/>
          <w:color w:val="auto"/>
        </w:rPr>
      </w:pPr>
    </w:p>
    <w:p>
      <w:pPr>
        <w:jc w:val="both"/>
        <w:ind w:firstLine="720"/>
        <w:spacing w:after="0" w:line="253" w:lineRule="auto"/>
        <w:rPr>
          <w:sz w:val="20"/>
          <w:szCs w:val="20"/>
          <w:color w:val="auto"/>
        </w:rPr>
      </w:pPr>
      <w:r>
        <w:rPr>
          <w:rFonts w:ascii="Times New Roman" w:cs="Times New Roman" w:eastAsia="Times New Roman" w:hAnsi="Times New Roman"/>
          <w:sz w:val="20"/>
          <w:szCs w:val="20"/>
          <w:color w:val="auto"/>
        </w:rPr>
        <w:t xml:space="preserve">Fair value is the price that could be received to sell an asset or paid to transfer a liability in an orderly transaction between market participants. Fair value determination in accordance with applicable accounting guidance requires that a number of significant judgments be made. Additionally, fair value is used on a nonrecurring basis to evaluate assets for impairment or as required for disclosure purposes by applicable accounting guidance on disclosures about fair value of financial instruments. Depending on the nature of the assets and liabilities, various valuation techniques and assumptions are used when estimating fair value. The carrying amounts of certain of the Company’s financial instruments, including cash and cash equivalents, prepaid expense and accounts payable, are shown at cost, which approximates fair value due to the short-term nature of these instruments. The Company follows the provisions of FASB ASC Topic 820, </w:t>
      </w:r>
      <w:r>
        <w:rPr>
          <w:rFonts w:ascii="Times New Roman" w:cs="Times New Roman" w:eastAsia="Times New Roman" w:hAnsi="Times New Roman"/>
          <w:sz w:val="20"/>
          <w:szCs w:val="20"/>
          <w:b w:val="1"/>
          <w:bCs w:val="1"/>
          <w:i w:val="1"/>
          <w:iCs w:val="1"/>
          <w:color w:val="auto"/>
        </w:rPr>
        <w:t>Fair Value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Measurement</w:t>
      </w:r>
      <w:r>
        <w:rPr>
          <w:rFonts w:ascii="Times New Roman" w:cs="Times New Roman" w:eastAsia="Times New Roman" w:hAnsi="Times New Roman"/>
          <w:sz w:val="20"/>
          <w:szCs w:val="20"/>
          <w:color w:val="auto"/>
        </w:rPr>
        <w:t>, for financial assets and liabilities measured on a recurring basis. The guidance requires fair value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measurements be classified and disclosed in one of the following three categories:</w:t>
      </w:r>
    </w:p>
    <w:p>
      <w:pPr>
        <w:spacing w:after="0" w:line="92" w:lineRule="exact"/>
        <w:rPr>
          <w:sz w:val="20"/>
          <w:szCs w:val="20"/>
          <w:color w:val="auto"/>
        </w:rPr>
      </w:pPr>
    </w:p>
    <w:p>
      <w:pPr>
        <w:ind w:left="1800" w:hanging="1079"/>
        <w:spacing w:after="0" w:line="281" w:lineRule="auto"/>
        <w:tabs>
          <w:tab w:leader="none" w:pos="1780" w:val="left"/>
        </w:tabs>
        <w:rPr>
          <w:sz w:val="20"/>
          <w:szCs w:val="20"/>
          <w:color w:val="auto"/>
        </w:rPr>
      </w:pPr>
      <w:r>
        <w:rPr>
          <w:rFonts w:ascii="Times New Roman" w:cs="Times New Roman" w:eastAsia="Times New Roman" w:hAnsi="Times New Roman"/>
          <w:sz w:val="20"/>
          <w:szCs w:val="20"/>
          <w:b w:val="1"/>
          <w:bCs w:val="1"/>
          <w:i w:val="1"/>
          <w:iCs w:val="1"/>
          <w:color w:val="auto"/>
        </w:rPr>
        <w:t>Level 1:</w:t>
      </w:r>
      <w:r>
        <w:rPr>
          <w:sz w:val="20"/>
          <w:szCs w:val="20"/>
          <w:color w:val="auto"/>
        </w:rPr>
        <w:tab/>
      </w:r>
      <w:r>
        <w:rPr>
          <w:rFonts w:ascii="Times New Roman" w:cs="Times New Roman" w:eastAsia="Times New Roman" w:hAnsi="Times New Roman"/>
          <w:sz w:val="20"/>
          <w:szCs w:val="20"/>
          <w:color w:val="auto"/>
        </w:rPr>
        <w:t>Unadjusted quoted prices in active markets that are accessible at the measurement date for identical, unrestricted assets or liabilities.</w:t>
      </w:r>
    </w:p>
    <w:p>
      <w:pPr>
        <w:spacing w:after="0" w:line="61" w:lineRule="exact"/>
        <w:rPr>
          <w:sz w:val="20"/>
          <w:szCs w:val="20"/>
          <w:color w:val="auto"/>
        </w:rPr>
      </w:pPr>
    </w:p>
    <w:p>
      <w:pPr>
        <w:ind w:left="1800" w:hanging="1079"/>
        <w:spacing w:after="0" w:line="281" w:lineRule="auto"/>
        <w:tabs>
          <w:tab w:leader="none" w:pos="1780" w:val="left"/>
        </w:tabs>
        <w:rPr>
          <w:sz w:val="20"/>
          <w:szCs w:val="20"/>
          <w:color w:val="auto"/>
        </w:rPr>
      </w:pPr>
      <w:r>
        <w:rPr>
          <w:rFonts w:ascii="Times New Roman" w:cs="Times New Roman" w:eastAsia="Times New Roman" w:hAnsi="Times New Roman"/>
          <w:sz w:val="20"/>
          <w:szCs w:val="20"/>
          <w:b w:val="1"/>
          <w:bCs w:val="1"/>
          <w:i w:val="1"/>
          <w:iCs w:val="1"/>
          <w:color w:val="auto"/>
        </w:rPr>
        <w:t>Level 2:</w:t>
      </w:r>
      <w:r>
        <w:rPr>
          <w:sz w:val="20"/>
          <w:szCs w:val="20"/>
          <w:color w:val="auto"/>
        </w:rPr>
        <w:tab/>
      </w:r>
      <w:r>
        <w:rPr>
          <w:rFonts w:ascii="Times New Roman" w:cs="Times New Roman" w:eastAsia="Times New Roman" w:hAnsi="Times New Roman"/>
          <w:sz w:val="20"/>
          <w:szCs w:val="20"/>
          <w:color w:val="auto"/>
        </w:rPr>
        <w:t>Quoted prices in markets that are not active, or inputs which are observable, either directly or indirectly, for substantially the full term of the asset or liabilities.</w:t>
      </w:r>
    </w:p>
    <w:p>
      <w:pPr>
        <w:spacing w:after="0" w:line="61" w:lineRule="exact"/>
        <w:rPr>
          <w:sz w:val="20"/>
          <w:szCs w:val="20"/>
          <w:color w:val="auto"/>
        </w:rPr>
      </w:pPr>
    </w:p>
    <w:p>
      <w:pPr>
        <w:ind w:left="1800" w:hanging="1079"/>
        <w:spacing w:after="0" w:line="281" w:lineRule="auto"/>
        <w:tabs>
          <w:tab w:leader="none" w:pos="1780" w:val="left"/>
        </w:tabs>
        <w:rPr>
          <w:sz w:val="20"/>
          <w:szCs w:val="20"/>
          <w:color w:val="auto"/>
        </w:rPr>
      </w:pPr>
      <w:r>
        <w:rPr>
          <w:rFonts w:ascii="Times New Roman" w:cs="Times New Roman" w:eastAsia="Times New Roman" w:hAnsi="Times New Roman"/>
          <w:sz w:val="20"/>
          <w:szCs w:val="20"/>
          <w:b w:val="1"/>
          <w:bCs w:val="1"/>
          <w:i w:val="1"/>
          <w:iCs w:val="1"/>
          <w:color w:val="auto"/>
        </w:rPr>
        <w:t>Level 3:</w:t>
      </w:r>
      <w:r>
        <w:rPr>
          <w:sz w:val="20"/>
          <w:szCs w:val="20"/>
          <w:color w:val="auto"/>
        </w:rPr>
        <w:tab/>
      </w:r>
      <w:r>
        <w:rPr>
          <w:rFonts w:ascii="Times New Roman" w:cs="Times New Roman" w:eastAsia="Times New Roman" w:hAnsi="Times New Roman"/>
          <w:sz w:val="20"/>
          <w:szCs w:val="20"/>
          <w:color w:val="auto"/>
        </w:rPr>
        <w:t>Prices or valuation techniques that require inputs that are both significant to the fair value measurement and unobservable (i.e., supported by little or no market activity).</w:t>
      </w:r>
    </w:p>
    <w:p>
      <w:pPr>
        <w:sectPr>
          <w:pgSz w:w="12240" w:h="15840" w:orient="portrait"/>
          <w:cols w:equalWidth="0" w:num="1">
            <w:col w:w="9880"/>
          </w:cols>
          <w:pgMar w:left="1180" w:top="20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134</w:t>
      </w:r>
    </w:p>
    <w:p>
      <w:pPr>
        <w:sectPr>
          <w:pgSz w:w="12240" w:h="15840" w:orient="portrait"/>
          <w:cols w:equalWidth="0" w:num="1">
            <w:col w:w="9880"/>
          </w:cols>
          <w:pgMar w:left="1180" w:top="208" w:right="1180" w:bottom="0" w:gutter="0" w:footer="0" w:header="0"/>
          <w:type w:val="continuous"/>
        </w:sectPr>
      </w:pPr>
    </w:p>
    <w:bookmarkStart w:id="134" w:name="page135"/>
    <w:bookmarkEnd w:id="134"/>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Centessa Pharmaceuticals plc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Debt Issuance Costs</w:t>
      </w:r>
    </w:p>
    <w:p>
      <w:pPr>
        <w:spacing w:after="0" w:line="134" w:lineRule="exact"/>
        <w:rPr>
          <w:sz w:val="20"/>
          <w:szCs w:val="20"/>
          <w:color w:val="auto"/>
        </w:rPr>
      </w:pPr>
    </w:p>
    <w:p>
      <w:pPr>
        <w:jc w:val="both"/>
        <w:ind w:firstLine="720"/>
        <w:spacing w:after="0" w:line="256" w:lineRule="auto"/>
        <w:rPr>
          <w:sz w:val="20"/>
          <w:szCs w:val="20"/>
          <w:color w:val="auto"/>
        </w:rPr>
      </w:pPr>
      <w:r>
        <w:rPr>
          <w:rFonts w:ascii="Times New Roman" w:cs="Times New Roman" w:eastAsia="Times New Roman" w:hAnsi="Times New Roman"/>
          <w:sz w:val="20"/>
          <w:szCs w:val="20"/>
          <w:color w:val="auto"/>
        </w:rPr>
        <w:t>For debt issuances that are not accounted for under the fair value option, such as the Loan and Security Agreement, any debt issuance costs are capitalized, recorded as an offset to the Company’s debt balances and amortized as interest expense over the term of the associated debt instrument using the effective interest method. If the maturity of the debt is accelerated as a result of default or early debt repayment, the amortization would then be accelerated. Amounts paid related to debt financing activities are presented on the consolidated balance sheet as a direct deduction from the debt liability.</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License and other revenue</w:t>
      </w:r>
    </w:p>
    <w:p>
      <w:pPr>
        <w:spacing w:after="0" w:line="134" w:lineRule="exact"/>
        <w:rPr>
          <w:sz w:val="20"/>
          <w:szCs w:val="20"/>
          <w:color w:val="auto"/>
        </w:rPr>
      </w:pPr>
    </w:p>
    <w:p>
      <w:pPr>
        <w:jc w:val="both"/>
        <w:ind w:firstLine="720"/>
        <w:spacing w:after="0" w:line="253" w:lineRule="auto"/>
        <w:rPr>
          <w:sz w:val="20"/>
          <w:szCs w:val="20"/>
          <w:color w:val="auto"/>
        </w:rPr>
      </w:pPr>
      <w:r>
        <w:rPr>
          <w:rFonts w:ascii="Times New Roman" w:cs="Times New Roman" w:eastAsia="Times New Roman" w:hAnsi="Times New Roman"/>
          <w:sz w:val="20"/>
          <w:szCs w:val="20"/>
          <w:color w:val="auto"/>
        </w:rPr>
        <w:t xml:space="preserve">The Company recognizes revenues from collaboration, license or other research or sale arrangements when or as performance obligations are satisfied. For milestone payments, the Company assesses, at contract inception, whether the milestones are considered probable of being achieved. If it is probable that a significant revenue reversal will occur, the Company will not record revenue until the uncertainty has been resolved. Milestone payments that are contingent upon regulatory approval are not considered probable until the approvals are obtained as it is outside of the control of the Company. If it is probable that significant revenue reversal will not occur, the Company will estimate the milestone payments using the most likely amount method. The Company reassesses the milestones each reporting period to determine the probability of achievement. Any potential consideration received in the form of royalty or sales-based milestones will be recorded when the customer’s subsequent sales or usages occur. For accounting treatment related to the Genmab agreement, see </w:t>
      </w:r>
      <w:r>
        <w:rPr>
          <w:rFonts w:ascii="Times New Roman" w:cs="Times New Roman" w:eastAsia="Times New Roman" w:hAnsi="Times New Roman"/>
          <w:sz w:val="20"/>
          <w:szCs w:val="20"/>
          <w:b w:val="1"/>
          <w:bCs w:val="1"/>
          <w:i w:val="1"/>
          <w:iCs w:val="1"/>
          <w:color w:val="auto"/>
        </w:rPr>
        <w:t>Note 3</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b w:val="1"/>
          <w:bCs w:val="1"/>
          <w:i w:val="1"/>
          <w:iCs w:val="1"/>
          <w:color w:val="auto"/>
        </w:rPr>
        <w:t>Revenue Recognition”.</w:t>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Collaborative Arrangements</w:t>
      </w:r>
    </w:p>
    <w:p>
      <w:pPr>
        <w:spacing w:after="0" w:line="134" w:lineRule="exact"/>
        <w:rPr>
          <w:sz w:val="20"/>
          <w:szCs w:val="20"/>
          <w:color w:val="auto"/>
        </w:rPr>
      </w:pPr>
    </w:p>
    <w:p>
      <w:pPr>
        <w:jc w:val="both"/>
        <w:ind w:right="20" w:firstLine="720"/>
        <w:spacing w:after="0" w:line="255" w:lineRule="auto"/>
        <w:rPr>
          <w:sz w:val="20"/>
          <w:szCs w:val="20"/>
          <w:color w:val="auto"/>
        </w:rPr>
      </w:pPr>
      <w:r>
        <w:rPr>
          <w:rFonts w:ascii="Times New Roman" w:cs="Times New Roman" w:eastAsia="Times New Roman" w:hAnsi="Times New Roman"/>
          <w:sz w:val="20"/>
          <w:szCs w:val="20"/>
          <w:color w:val="auto"/>
        </w:rPr>
        <w:t>The Company enters into collaborative arrangements to develop and commercialize intellectual property. These arrangements typically involve two (or more) parties who are active participants in the collaboration and are exposed to significant risks and rewards dependent on the commercial success of the activities. These collaborations usually involve various activities by one or more parties, including research and development, marketing and selling and distribution. Often, these collaborations require upfront, milestone and royalty or profit share payments, contingent upon the occurrence of certain future events linked to the success of the asset in development. Amounts due to collaborative partners related to development activities are generally reflected as research and development expense.</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Research and Development Expenses and Accruals</w:t>
      </w:r>
    </w:p>
    <w:p>
      <w:pPr>
        <w:spacing w:after="0" w:line="134"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All research and development costs are expensed in the period incurred and consist primarily of salaries, payroll taxes, employee benefits, stock-based compensation charges for those individuals involved in research and development efforts, third-party license fees, external research and development costs incurred under agreements with contract research organizations and consultants to conduct and support the Company’s ongoing clinical trials as well as external costs of outside vendors engaged to manufacture research and development materials.</w:t>
      </w:r>
    </w:p>
    <w:p>
      <w:pPr>
        <w:spacing w:after="0" w:line="204" w:lineRule="exact"/>
        <w:rPr>
          <w:sz w:val="20"/>
          <w:szCs w:val="20"/>
          <w:color w:val="auto"/>
        </w:rPr>
      </w:pPr>
    </w:p>
    <w:p>
      <w:pPr>
        <w:jc w:val="both"/>
        <w:ind w:right="20" w:firstLine="720"/>
        <w:spacing w:after="0" w:line="268" w:lineRule="auto"/>
        <w:rPr>
          <w:sz w:val="20"/>
          <w:szCs w:val="20"/>
          <w:color w:val="auto"/>
        </w:rPr>
      </w:pPr>
      <w:r>
        <w:rPr>
          <w:rFonts w:ascii="Times New Roman" w:cs="Times New Roman" w:eastAsia="Times New Roman" w:hAnsi="Times New Roman"/>
          <w:sz w:val="19"/>
          <w:szCs w:val="19"/>
          <w:color w:val="auto"/>
        </w:rPr>
        <w:t>The Company has entered into various research and development contracts with clinical research organizations, clinical development and manufacturing organizations and other companies. Payments for these activities are based on the terms of the individual agreements, which may differ from the pattern of costs incurred. Payments made in advance of performance are reflected in the accompanying balance sheets as prepaid expenses, while payments made after performance are reflected as accrued liabilities in the accompanying balance sheets. The Company records accruals for estimated costs incurred for ongoing research and development activities. When recording accruals for ongoing research and development activities, the Company analyzes progress of the services, including the phase or completion of events, invoices received and contracted costs. Nonrefundable advance payments for goods and services, including fees for process development or manufacturing and distribution of clinical supplies that will be used in future research and development activities, are recognized as expense in the period that the related goods are consumed or services are performed.</w:t>
      </w:r>
    </w:p>
    <w:p>
      <w:pPr>
        <w:spacing w:after="0" w:line="200"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Milestone payments within the Company’s licensing arrangements are recognized when achievement of the milestone is deemed probable to occur. To the extent products are commercialized and future economic benefit has been established, commercial milestones that become probable are capitalized and amortized over the estimated remaining useful life of the intellectual property. Significant judgments and estimates may be made in determining the prepaid or accrued balances at the end of any reporting period. Actual results could differ from the Company’s estimates.</w:t>
      </w:r>
    </w:p>
    <w:p>
      <w:pPr>
        <w:sectPr>
          <w:pgSz w:w="12240" w:h="15840" w:orient="portrait"/>
          <w:cols w:equalWidth="0" w:num="1">
            <w:col w:w="9900"/>
          </w:cols>
          <w:pgMar w:left="1180" w:top="208" w:right="1160" w:bottom="0" w:gutter="0" w:footer="0" w:header="0"/>
        </w:sect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135</w:t>
      </w:r>
    </w:p>
    <w:p>
      <w:pPr>
        <w:sectPr>
          <w:pgSz w:w="12240" w:h="15840" w:orient="portrait"/>
          <w:cols w:equalWidth="0" w:num="1">
            <w:col w:w="9900"/>
          </w:cols>
          <w:pgMar w:left="1180" w:top="208" w:right="1160" w:bottom="0" w:gutter="0" w:footer="0" w:header="0"/>
          <w:type w:val="continuous"/>
        </w:sectPr>
      </w:pPr>
    </w:p>
    <w:bookmarkStart w:id="135" w:name="page136"/>
    <w:bookmarkEnd w:id="135"/>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Centessa Pharmaceuticals plc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Research and Development Tax Incentives</w:t>
      </w:r>
    </w:p>
    <w:p>
      <w:pPr>
        <w:spacing w:after="0" w:line="134" w:lineRule="exact"/>
        <w:rPr>
          <w:sz w:val="20"/>
          <w:szCs w:val="20"/>
          <w:color w:val="auto"/>
        </w:rPr>
      </w:pPr>
    </w:p>
    <w:p>
      <w:pPr>
        <w:jc w:val="both"/>
        <w:ind w:right="20" w:firstLine="720"/>
        <w:spacing w:after="0" w:line="256" w:lineRule="auto"/>
        <w:rPr>
          <w:sz w:val="20"/>
          <w:szCs w:val="20"/>
          <w:color w:val="auto"/>
        </w:rPr>
      </w:pPr>
      <w:r>
        <w:rPr>
          <w:rFonts w:ascii="Times New Roman" w:cs="Times New Roman" w:eastAsia="Times New Roman" w:hAnsi="Times New Roman"/>
          <w:sz w:val="20"/>
          <w:szCs w:val="20"/>
          <w:color w:val="auto"/>
        </w:rPr>
        <w:t>The Company participates in research tax incentive programs that are granted to companies by the United Kingdom tax authorities in order to encourage them to conduct technical and scientific research. Expenditures that meet the required criteria are eligible to receive a tax credit that is reimbursed in cash, upon surrender of loss carryforwards. Estimates of the amount of the cash refund expected to be received are determined at each reporting period and recorded as reductions to research and development expenses. The Company recorded research and development tax incentives of $22.7 million and $30.9 million during the years ended December 31, 2025 and December 31, 2024, respectively.</w:t>
      </w:r>
    </w:p>
    <w:p>
      <w:pPr>
        <w:spacing w:after="0" w:line="208"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Through December 31, 2024, the Company claimed relief under the Small and Medium Enterprise (“SME”) scheme. Beginning January 1, 2025, changes to the program in the UK have aligned the tax incentives earned for SME and large entities. The merged scheme provides relief for qualifying R&amp;D expenditure. If the company is loss-making, a cash credit can be obtained. If the company continues to meet the SME thresholds and is loss making, then a higher rate of credit may be available under the new Enhanced R&amp;D Intensive Support (ERIS). The Company expects eligible R&amp;D expenditures qualifying for the credit outside of the UK will be more limited as a result of these legislative changes and it expects to recognize less tax incentives in the United Kingdom.</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Share-Based Compensation</w:t>
      </w:r>
    </w:p>
    <w:p>
      <w:pPr>
        <w:spacing w:after="0" w:line="134" w:lineRule="exact"/>
        <w:rPr>
          <w:sz w:val="20"/>
          <w:szCs w:val="20"/>
          <w:color w:val="auto"/>
        </w:rPr>
      </w:pPr>
    </w:p>
    <w:p>
      <w:pPr>
        <w:jc w:val="both"/>
        <w:ind w:right="20" w:firstLine="720"/>
        <w:spacing w:after="0" w:line="260" w:lineRule="auto"/>
        <w:rPr>
          <w:sz w:val="20"/>
          <w:szCs w:val="20"/>
          <w:color w:val="auto"/>
        </w:rPr>
      </w:pPr>
      <w:r>
        <w:rPr>
          <w:rFonts w:ascii="Times New Roman" w:cs="Times New Roman" w:eastAsia="Times New Roman" w:hAnsi="Times New Roman"/>
          <w:sz w:val="20"/>
          <w:szCs w:val="20"/>
          <w:color w:val="auto"/>
        </w:rPr>
        <w:t>The Company measures share-based awards, including restricted shares, restricted stock units and stock options, at their grant-date fair value and records compensation expense on a straight-line basis over the vesting period of the awards. The Company determines the fair value of share-based compensation awards using the market closing price of the Company’s ADSs on the date of grant. Forfeitures of stock options are recognized in the period the forfeiture occurs.</w:t>
      </w:r>
    </w:p>
    <w:p>
      <w:pPr>
        <w:spacing w:after="0" w:line="203" w:lineRule="exact"/>
        <w:rPr>
          <w:sz w:val="20"/>
          <w:szCs w:val="20"/>
          <w:color w:val="auto"/>
        </w:rPr>
      </w:pPr>
    </w:p>
    <w:p>
      <w:pPr>
        <w:jc w:val="both"/>
        <w:ind w:right="20" w:firstLine="720"/>
        <w:spacing w:after="0" w:line="281" w:lineRule="auto"/>
        <w:rPr>
          <w:sz w:val="20"/>
          <w:szCs w:val="20"/>
          <w:color w:val="auto"/>
        </w:rPr>
      </w:pPr>
      <w:r>
        <w:rPr>
          <w:rFonts w:ascii="Times New Roman" w:cs="Times New Roman" w:eastAsia="Times New Roman" w:hAnsi="Times New Roman"/>
          <w:sz w:val="20"/>
          <w:szCs w:val="20"/>
          <w:color w:val="auto"/>
        </w:rPr>
        <w:t>The Company classifies stock-based compensation expense in its consolidated financial statement of operations in the same manner in which the award recipient’s salary or service payments are classified.</w:t>
      </w:r>
    </w:p>
    <w:p>
      <w:pPr>
        <w:spacing w:after="0" w:line="181"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The fair value of each stock option awards is estimated on the date of grant using the Black-Scholes option pricing model, which requires inputs of subjective assumptions, including: (i) the expected volatility of the Company’s stock; (ii) the expected term of the award; (iii) the risk-free interest rate; and (iv) expected dividends. Due to the lack of Company-specific historical and implied volatility data, the Company determines the volatility for awards granted based on an analysis of reported data for a group of guideline publicly-traded companies that issued options with substantially similar terms. For this analysis, the Company selects companies with comparable characteristics including enterprise value, risk profiles, and with historical share price information sufficient to meet the expected life of the stock-based awards. The Company determines expected volatility using a weighted average of the historical volatilities of the guideline group of companies. The Company expects to continue to apply this process until such time as it has adequate historical data regarding the volatility of its own traded stock price. As permitted under ASC 718, the Company has elected to use the contractual term as the expected term for certain non-employee awards, on an award-by-award basis. For all other awards, the expected term of the Company’s stock options has been determined utilizing the “simplified” method whereby the expected term equals the average of the vesting term and the original contractual term of the option, on a weighted basis based on the vesting of each tranche. The Company utilizes this method as it has insufficient historical exercise data to provide a reasonable basis upon which to estimate the expected term. The risk-free interest rate is determined by reference to the U.S. Treasury yield curve in effect at the time of grant of the award for instruments with a term commensurate with the expected term assumption. The expected dividend yield is assumed to be zero as the Company has never paid dividends, and does not have current plans to pay any dividends on its common stock.</w:t>
      </w:r>
    </w:p>
    <w:p>
      <w:pPr>
        <w:spacing w:after="0" w:line="213" w:lineRule="exact"/>
        <w:rPr>
          <w:sz w:val="20"/>
          <w:szCs w:val="20"/>
          <w:color w:val="auto"/>
        </w:rPr>
      </w:pPr>
    </w:p>
    <w:p>
      <w:pPr>
        <w:jc w:val="both"/>
        <w:ind w:right="20" w:firstLine="720"/>
        <w:spacing w:after="0" w:line="281" w:lineRule="auto"/>
        <w:rPr>
          <w:sz w:val="20"/>
          <w:szCs w:val="20"/>
          <w:color w:val="auto"/>
        </w:rPr>
      </w:pPr>
      <w:r>
        <w:rPr>
          <w:rFonts w:ascii="Times New Roman" w:cs="Times New Roman" w:eastAsia="Times New Roman" w:hAnsi="Times New Roman"/>
          <w:sz w:val="20"/>
          <w:szCs w:val="20"/>
          <w:color w:val="auto"/>
        </w:rPr>
        <w:t>The grant date fair value of restricted stock awards and restricted stock units is estimated based on the fair value of the Company's underlying common stock on the date of grant.</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Retirement Plans</w:t>
      </w:r>
    </w:p>
    <w:p>
      <w:pPr>
        <w:spacing w:after="0" w:line="134" w:lineRule="exact"/>
        <w:rPr>
          <w:sz w:val="20"/>
          <w:szCs w:val="20"/>
          <w:color w:val="auto"/>
        </w:rPr>
      </w:pPr>
    </w:p>
    <w:p>
      <w:pPr>
        <w:jc w:val="both"/>
        <w:ind w:right="20" w:firstLine="720"/>
        <w:spacing w:after="0" w:line="260" w:lineRule="auto"/>
        <w:rPr>
          <w:sz w:val="20"/>
          <w:szCs w:val="20"/>
          <w:color w:val="auto"/>
        </w:rPr>
      </w:pPr>
      <w:r>
        <w:rPr>
          <w:rFonts w:ascii="Times New Roman" w:cs="Times New Roman" w:eastAsia="Times New Roman" w:hAnsi="Times New Roman"/>
          <w:sz w:val="20"/>
          <w:szCs w:val="20"/>
          <w:color w:val="auto"/>
        </w:rPr>
        <w:t>The Company provided defined contribution plans to its employees beginning in 2021. In the U.S., the primary plan sponsored by the Company is a safe harbor, 401k plan with a 4% employer match, no waiting period and immediate vesting on the match. In the UK, the primary plan sponsored by the Company is a money purchase plan, which requires a minimum 8% contribution, including a minimum employer contribution of 4% and employee contribution of 4%. The</w:t>
      </w:r>
    </w:p>
    <w:p>
      <w:pPr>
        <w:sectPr>
          <w:pgSz w:w="12240" w:h="15840" w:orient="portrait"/>
          <w:cols w:equalWidth="0" w:num="1">
            <w:col w:w="9900"/>
          </w:cols>
          <w:pgMar w:left="1180" w:top="20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136</w:t>
      </w:r>
    </w:p>
    <w:p>
      <w:pPr>
        <w:sectPr>
          <w:pgSz w:w="12240" w:h="15840" w:orient="portrait"/>
          <w:cols w:equalWidth="0" w:num="1">
            <w:col w:w="9900"/>
          </w:cols>
          <w:pgMar w:left="1180" w:top="208" w:right="1160" w:bottom="0" w:gutter="0" w:footer="0" w:header="0"/>
          <w:type w:val="continuous"/>
        </w:sectPr>
      </w:pPr>
    </w:p>
    <w:bookmarkStart w:id="136" w:name="page137"/>
    <w:bookmarkEnd w:id="136"/>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Centessa Pharmaceuticals plc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24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Company recorded charges of $1.0 million under these plans during the year ended December 31, 2025 and $0.7 million during the year ended December 31, 2024.</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Income Taxes</w:t>
      </w:r>
    </w:p>
    <w:p>
      <w:pPr>
        <w:spacing w:after="0" w:line="130" w:lineRule="exact"/>
        <w:rPr>
          <w:sz w:val="20"/>
          <w:szCs w:val="20"/>
          <w:color w:val="auto"/>
        </w:rPr>
      </w:pPr>
    </w:p>
    <w:p>
      <w:pPr>
        <w:jc w:val="both"/>
        <w:ind w:right="20" w:firstLine="720"/>
        <w:spacing w:after="0" w:line="256" w:lineRule="auto"/>
        <w:rPr>
          <w:sz w:val="20"/>
          <w:szCs w:val="20"/>
          <w:color w:val="auto"/>
        </w:rPr>
      </w:pPr>
      <w:r>
        <w:rPr>
          <w:rFonts w:ascii="Times New Roman" w:cs="Times New Roman" w:eastAsia="Times New Roman" w:hAnsi="Times New Roman"/>
          <w:sz w:val="20"/>
          <w:szCs w:val="20"/>
          <w:color w:val="auto"/>
        </w:rPr>
        <w:t xml:space="preserve">The Company follows the asset and liability method of accounting for income taxes under ASC 740, </w:t>
      </w:r>
      <w:r>
        <w:rPr>
          <w:rFonts w:ascii="Times New Roman" w:cs="Times New Roman" w:eastAsia="Times New Roman" w:hAnsi="Times New Roman"/>
          <w:sz w:val="20"/>
          <w:szCs w:val="20"/>
          <w:b w:val="1"/>
          <w:bCs w:val="1"/>
          <w:i w:val="1"/>
          <w:iCs w:val="1"/>
          <w:color w:val="auto"/>
        </w:rPr>
        <w:t>Income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Taxes</w:t>
      </w:r>
      <w:r>
        <w:rPr>
          <w:rFonts w:ascii="Times New Roman" w:cs="Times New Roman" w:eastAsia="Times New Roman" w:hAnsi="Times New Roman"/>
          <w:sz w:val="20"/>
          <w:szCs w:val="20"/>
          <w:color w:val="auto"/>
        </w:rPr>
        <w:t>. Deferred tax assets and liabilities are recognized for the estimated future tax consequences attributable to</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differences between the financial statements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included the enactment date. Valuation allowances are established, when necessary, to reduce deferred tax assets to the amount expected to be realized.</w:t>
      </w:r>
    </w:p>
    <w:p>
      <w:pPr>
        <w:spacing w:after="0" w:line="207" w:lineRule="exact"/>
        <w:rPr>
          <w:sz w:val="20"/>
          <w:szCs w:val="20"/>
          <w:color w:val="auto"/>
        </w:rPr>
      </w:pPr>
    </w:p>
    <w:p>
      <w:pPr>
        <w:jc w:val="both"/>
        <w:ind w:right="20" w:firstLine="720"/>
        <w:spacing w:after="0" w:line="255" w:lineRule="auto"/>
        <w:rPr>
          <w:sz w:val="20"/>
          <w:szCs w:val="20"/>
          <w:color w:val="auto"/>
        </w:rPr>
      </w:pPr>
      <w:r>
        <w:rPr>
          <w:rFonts w:ascii="Times New Roman" w:cs="Times New Roman" w:eastAsia="Times New Roman" w:hAnsi="Times New Roman"/>
          <w:sz w:val="20"/>
          <w:szCs w:val="20"/>
          <w:color w:val="auto"/>
        </w:rPr>
        <w:t>The Company regularly assesses its ability to realize its deferred tax assets. Assessing the realization of deferred tax assets requires significant judgment. In determining whether its deferred tax assets are more likely than not realizable, the Company evaluated all available positive and negative evidence, and weighed the evidence based on its objectivity. After consideration of the evidence, the Company believes it would more likely than not be able to utilize existing loss carryforwards and research and development tax credits to offset future income in the United States. The operating entity in the United States has a history of cumulative net profits as it carries out services for other entities in the group and recognizes most of the interest income earned from cash, cash equivalents, and investments.</w:t>
      </w:r>
    </w:p>
    <w:p>
      <w:pPr>
        <w:spacing w:after="0" w:line="210" w:lineRule="exact"/>
        <w:rPr>
          <w:sz w:val="20"/>
          <w:szCs w:val="20"/>
          <w:color w:val="auto"/>
        </w:rPr>
      </w:pPr>
    </w:p>
    <w:p>
      <w:pPr>
        <w:jc w:val="both"/>
        <w:ind w:firstLine="720"/>
        <w:spacing w:after="0" w:line="256" w:lineRule="auto"/>
        <w:rPr>
          <w:sz w:val="20"/>
          <w:szCs w:val="20"/>
          <w:color w:val="auto"/>
        </w:rPr>
      </w:pPr>
      <w:r>
        <w:rPr>
          <w:rFonts w:ascii="Times New Roman" w:cs="Times New Roman" w:eastAsia="Times New Roman" w:hAnsi="Times New Roman"/>
          <w:sz w:val="20"/>
          <w:szCs w:val="20"/>
          <w:color w:val="auto"/>
        </w:rPr>
        <w:t>ASC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 Company recognizes accrued interest and penalties related to unrecognized tax benefits as income tax expense. The Company is currently not aware of any issues under review that could result in significant payments, accruals or material deviation from its position. The Company is subject to income tax examinations by major taxing authorities since inception.</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Net Loss Per Ordinary Share</w:t>
      </w:r>
    </w:p>
    <w:p>
      <w:pPr>
        <w:spacing w:after="0" w:line="134" w:lineRule="exact"/>
        <w:rPr>
          <w:sz w:val="20"/>
          <w:szCs w:val="20"/>
          <w:color w:val="auto"/>
        </w:rPr>
      </w:pPr>
    </w:p>
    <w:p>
      <w:pPr>
        <w:jc w:val="both"/>
        <w:ind w:right="20" w:firstLine="720"/>
        <w:spacing w:after="0" w:line="256" w:lineRule="auto"/>
        <w:rPr>
          <w:sz w:val="20"/>
          <w:szCs w:val="20"/>
          <w:color w:val="auto"/>
        </w:rPr>
      </w:pPr>
      <w:r>
        <w:rPr>
          <w:rFonts w:ascii="Times New Roman" w:cs="Times New Roman" w:eastAsia="Times New Roman" w:hAnsi="Times New Roman"/>
          <w:sz w:val="20"/>
          <w:szCs w:val="20"/>
          <w:color w:val="auto"/>
        </w:rPr>
        <w:t>Basic loss per ordinary share is computed by dividing net loss by the aggregate weighted-average number of ordinary shares outstanding. Diluted loss per ordinary share includes the effect, if any, from the potential exercise or conversion of securities, such as stock options, unvested restricted ordinary shares and restricted stock units which would result in the issuance of incremental ordinary shares. For diluted net loss per ordinary share, the weighted-average number of ordinary shares is the same for basic net loss per ordinary share due to the fact that when a net loss exists, dilutive securities are not included in the calculation as the impact is anti-dilutive.</w:t>
      </w:r>
    </w:p>
    <w:p>
      <w:pPr>
        <w:spacing w:after="0" w:line="208" w:lineRule="exact"/>
        <w:rPr>
          <w:sz w:val="20"/>
          <w:szCs w:val="20"/>
          <w:color w:val="auto"/>
        </w:rPr>
      </w:pPr>
    </w:p>
    <w:p>
      <w:pPr>
        <w:jc w:val="both"/>
        <w:ind w:right="20" w:firstLine="720"/>
        <w:spacing w:after="0" w:line="281" w:lineRule="auto"/>
        <w:rPr>
          <w:sz w:val="20"/>
          <w:szCs w:val="20"/>
          <w:color w:val="auto"/>
        </w:rPr>
      </w:pPr>
      <w:r>
        <w:rPr>
          <w:rFonts w:ascii="Times New Roman" w:cs="Times New Roman" w:eastAsia="Times New Roman" w:hAnsi="Times New Roman"/>
          <w:sz w:val="20"/>
          <w:szCs w:val="20"/>
          <w:color w:val="auto"/>
        </w:rPr>
        <w:t>The following potentially dilutive securities have been excluded from the computation of diluted weighted-average ordinary shares outstanding, as they would be anti-dilutive.</w:t>
      </w:r>
    </w:p>
    <w:p>
      <w:pPr>
        <w:spacing w:after="0" w:line="245" w:lineRule="exact"/>
        <w:rPr>
          <w:sz w:val="20"/>
          <w:szCs w:val="20"/>
          <w:color w:val="auto"/>
        </w:rPr>
      </w:pPr>
    </w:p>
    <w:tbl>
      <w:tblPr>
        <w:tblLayout w:type="fixed"/>
        <w:tblInd w:w="520" w:type="dxa"/>
        <w:tblCellMar>
          <w:top w:w="0" w:type="dxa"/>
          <w:left w:w="0" w:type="dxa"/>
          <w:bottom w:w="0" w:type="dxa"/>
          <w:right w:w="0" w:type="dxa"/>
        </w:tblCellMar>
      </w:tblPr>
      <w:tr>
        <w:trPr>
          <w:trHeight w:val="243"/>
        </w:trPr>
        <w:tc>
          <w:tcPr>
            <w:tcW w:w="5580" w:type="dxa"/>
            <w:vAlign w:val="bottom"/>
          </w:tcPr>
          <w:p>
            <w:pPr>
              <w:spacing w:after="0"/>
              <w:rPr>
                <w:sz w:val="21"/>
                <w:szCs w:val="21"/>
                <w:color w:val="auto"/>
              </w:rPr>
            </w:pPr>
          </w:p>
        </w:tc>
        <w:tc>
          <w:tcPr>
            <w:tcW w:w="3560" w:type="dxa"/>
            <w:vAlign w:val="bottom"/>
            <w:tcBorders>
              <w:bottom w:val="single" w:sz="8" w:color="auto"/>
            </w:tcBorders>
            <w:gridSpan w:val="3"/>
          </w:tcPr>
          <w:p>
            <w:pPr>
              <w:jc w:val="right"/>
              <w:ind w:right="645"/>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r>
      <w:tr>
        <w:trPr>
          <w:trHeight w:val="235"/>
        </w:trPr>
        <w:tc>
          <w:tcPr>
            <w:tcW w:w="5580" w:type="dxa"/>
            <w:vAlign w:val="bottom"/>
          </w:tcPr>
          <w:p>
            <w:pPr>
              <w:spacing w:after="0"/>
              <w:rPr>
                <w:sz w:val="20"/>
                <w:szCs w:val="20"/>
                <w:color w:val="auto"/>
              </w:rPr>
            </w:pPr>
          </w:p>
        </w:tc>
        <w:tc>
          <w:tcPr>
            <w:tcW w:w="1760" w:type="dxa"/>
            <w:vAlign w:val="bottom"/>
            <w:tcBorders>
              <w:bottom w:val="single" w:sz="8" w:color="auto"/>
            </w:tcBorders>
          </w:tcPr>
          <w:p>
            <w:pPr>
              <w:jc w:val="right"/>
              <w:ind w:right="603"/>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 w:type="dxa"/>
            <w:vAlign w:val="bottom"/>
          </w:tcPr>
          <w:p>
            <w:pPr>
              <w:spacing w:after="0"/>
              <w:rPr>
                <w:sz w:val="20"/>
                <w:szCs w:val="20"/>
                <w:color w:val="auto"/>
              </w:rPr>
            </w:pPr>
          </w:p>
        </w:tc>
        <w:tc>
          <w:tcPr>
            <w:tcW w:w="1740" w:type="dxa"/>
            <w:vAlign w:val="bottom"/>
            <w:tcBorders>
              <w:bottom w:val="single" w:sz="8" w:color="auto"/>
            </w:tcBorders>
          </w:tcPr>
          <w:p>
            <w:pPr>
              <w:jc w:val="right"/>
              <w:ind w:right="605"/>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62"/>
        </w:trPr>
        <w:tc>
          <w:tcPr>
            <w:tcW w:w="5580" w:type="dxa"/>
            <w:vAlign w:val="bottom"/>
          </w:tcPr>
          <w:p>
            <w:pPr>
              <w:spacing w:after="0"/>
              <w:rPr>
                <w:sz w:val="20"/>
                <w:szCs w:val="20"/>
                <w:color w:val="auto"/>
              </w:rPr>
            </w:pPr>
            <w:r>
              <w:rPr>
                <w:rFonts w:ascii="Times New Roman" w:cs="Times New Roman" w:eastAsia="Times New Roman" w:hAnsi="Times New Roman"/>
                <w:sz w:val="20"/>
                <w:szCs w:val="20"/>
                <w:color w:val="auto"/>
              </w:rPr>
              <w:t>Restricted stock awards</w:t>
            </w:r>
          </w:p>
        </w:tc>
        <w:tc>
          <w:tcPr>
            <w:tcW w:w="1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86,864</w:t>
            </w:r>
          </w:p>
        </w:tc>
      </w:tr>
      <w:tr>
        <w:trPr>
          <w:trHeight w:val="285"/>
        </w:trPr>
        <w:tc>
          <w:tcPr>
            <w:tcW w:w="5580" w:type="dxa"/>
            <w:vAlign w:val="bottom"/>
          </w:tcPr>
          <w:p>
            <w:pPr>
              <w:spacing w:after="0"/>
              <w:rPr>
                <w:sz w:val="20"/>
                <w:szCs w:val="20"/>
                <w:color w:val="auto"/>
              </w:rPr>
            </w:pPr>
            <w:r>
              <w:rPr>
                <w:rFonts w:ascii="Times New Roman" w:cs="Times New Roman" w:eastAsia="Times New Roman" w:hAnsi="Times New Roman"/>
                <w:sz w:val="20"/>
                <w:szCs w:val="20"/>
                <w:color w:val="auto"/>
              </w:rPr>
              <w:t>Restricted stock units</w:t>
            </w:r>
          </w:p>
        </w:tc>
        <w:tc>
          <w:tcPr>
            <w:tcW w:w="1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984,059</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1,510,077</w:t>
            </w:r>
          </w:p>
        </w:tc>
      </w:tr>
      <w:tr>
        <w:trPr>
          <w:trHeight w:val="288"/>
        </w:trPr>
        <w:tc>
          <w:tcPr>
            <w:tcW w:w="5580" w:type="dxa"/>
            <w:vAlign w:val="bottom"/>
          </w:tcPr>
          <w:p>
            <w:pPr>
              <w:spacing w:after="0"/>
              <w:rPr>
                <w:sz w:val="20"/>
                <w:szCs w:val="20"/>
                <w:color w:val="auto"/>
              </w:rPr>
            </w:pPr>
            <w:r>
              <w:rPr>
                <w:rFonts w:ascii="Times New Roman" w:cs="Times New Roman" w:eastAsia="Times New Roman" w:hAnsi="Times New Roman"/>
                <w:sz w:val="20"/>
                <w:szCs w:val="20"/>
                <w:color w:val="auto"/>
              </w:rPr>
              <w:t>Stock options</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19,683,162</w:t>
            </w:r>
          </w:p>
        </w:tc>
        <w:tc>
          <w:tcPr>
            <w:tcW w:w="60" w:type="dxa"/>
            <w:vAlign w:val="bottom"/>
          </w:tcPr>
          <w:p>
            <w:pPr>
              <w:spacing w:after="0"/>
              <w:rPr>
                <w:sz w:val="24"/>
                <w:szCs w:val="24"/>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17,434,119</w:t>
            </w:r>
          </w:p>
        </w:tc>
      </w:tr>
      <w:tr>
        <w:trPr>
          <w:trHeight w:val="245"/>
        </w:trPr>
        <w:tc>
          <w:tcPr>
            <w:tcW w:w="558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20,667,221</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19,031,060</w:t>
            </w:r>
          </w:p>
        </w:tc>
      </w:tr>
      <w:tr>
        <w:trPr>
          <w:trHeight w:val="20"/>
        </w:trPr>
        <w:tc>
          <w:tcPr>
            <w:tcW w:w="5580" w:type="dxa"/>
            <w:vAlign w:val="bottom"/>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wp:posOffset>
            </wp:positionH>
            <wp:positionV relativeFrom="paragraph">
              <wp:posOffset>-755015</wp:posOffset>
            </wp:positionV>
            <wp:extent cx="6029325" cy="7747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3">
                      <a:extLst>
                        <a:ext uri="{28A0092B-C50C-407E-A947-70E740481C1C}"/>
                      </a:extLst>
                    </a:blip>
                    <a:srcRect/>
                    <a:stretch>
                      <a:fillRect/>
                    </a:stretch>
                  </pic:blipFill>
                  <pic:spPr bwMode="auto">
                    <a:xfrm>
                      <a:off x="0" y="0"/>
                      <a:ext cx="6029325" cy="774700"/>
                    </a:xfrm>
                    <a:prstGeom prst="rect">
                      <a:avLst/>
                    </a:prstGeom>
                    <a:noFill/>
                  </pic:spPr>
                </pic:pic>
              </a:graphicData>
            </a:graphic>
          </wp:anchor>
        </w:drawing>
      </w: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Recently Issued Accounting Pronouncements</w:t>
      </w:r>
    </w:p>
    <w:p>
      <w:pPr>
        <w:spacing w:after="0" w:line="134" w:lineRule="exact"/>
        <w:rPr>
          <w:sz w:val="20"/>
          <w:szCs w:val="20"/>
          <w:color w:val="auto"/>
        </w:rPr>
      </w:pPr>
    </w:p>
    <w:p>
      <w:pPr>
        <w:jc w:val="both"/>
        <w:ind w:firstLine="720"/>
        <w:spacing w:after="0" w:line="256" w:lineRule="auto"/>
        <w:rPr>
          <w:sz w:val="20"/>
          <w:szCs w:val="20"/>
          <w:color w:val="auto"/>
        </w:rPr>
      </w:pPr>
      <w:r>
        <w:rPr>
          <w:rFonts w:ascii="Times New Roman" w:cs="Times New Roman" w:eastAsia="Times New Roman" w:hAnsi="Times New Roman"/>
          <w:sz w:val="20"/>
          <w:szCs w:val="20"/>
          <w:color w:val="auto"/>
        </w:rPr>
        <w:t>In November 2024, the FASB issued ASU No. 2024-03, Income Statement - Reporting Comprehensive Income - Expense Recognition Disclosures. This ASU will require entities to provide enhanced disclosures related to certain expense categories included in income statement captions. The ASU aims to increase transparency and provide investors with more detailed information about the nature of expenses reported on the face of the income statement. The new standard does not change the requirements for the presentation of expenses on the face of the income statement. Under this ASU, entities are required to disaggregate, in a tabular format, expense captions presented on the face of the income statement - excluding</w:t>
      </w:r>
    </w:p>
    <w:p>
      <w:pPr>
        <w:sectPr>
          <w:pgSz w:w="12240" w:h="15840" w:orient="portrait"/>
          <w:cols w:equalWidth="0" w:num="1">
            <w:col w:w="9900"/>
          </w:cols>
          <w:pgMar w:left="1180" w:top="208" w:right="1160" w:bottom="0" w:gutter="0" w:footer="0" w:header="0"/>
        </w:sect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137</w:t>
      </w:r>
    </w:p>
    <w:p>
      <w:pPr>
        <w:sectPr>
          <w:pgSz w:w="12240" w:h="15840" w:orient="portrait"/>
          <w:cols w:equalWidth="0" w:num="1">
            <w:col w:w="9900"/>
          </w:cols>
          <w:pgMar w:left="1180" w:top="208" w:right="1160" w:bottom="0" w:gutter="0" w:footer="0" w:header="0"/>
          <w:type w:val="continuous"/>
        </w:sectPr>
      </w:pPr>
    </w:p>
    <w:bookmarkStart w:id="137" w:name="page138"/>
    <w:bookmarkEnd w:id="137"/>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Centessa Pharmaceuticals plc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243"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earnings or losses from equity method investments - if they include any of the following expense categories: purchases of inventory, employee compensation, depreciation, intangible asset amortization, and depreciation or depletion. For any remaining items within each relevant expense caption, entities must provide a qualitative description of the nature of those expenses. The new ASU is effective for annual reporting periods beginning after December 15, 2026 and interim reporting periods beginning after December 15, 2027. Early adoption is permitted. The Company is currently evaluating the impact of the adoption of this standard on the related disclosures.</w:t>
      </w:r>
    </w:p>
    <w:p>
      <w:pPr>
        <w:spacing w:after="0" w:line="208" w:lineRule="exact"/>
        <w:rPr>
          <w:sz w:val="20"/>
          <w:szCs w:val="20"/>
          <w:color w:val="auto"/>
        </w:rPr>
      </w:pPr>
    </w:p>
    <w:p>
      <w:pPr>
        <w:jc w:val="both"/>
        <w:ind w:right="20" w:firstLine="720"/>
        <w:spacing w:after="0" w:line="258" w:lineRule="auto"/>
        <w:rPr>
          <w:sz w:val="20"/>
          <w:szCs w:val="20"/>
          <w:color w:val="auto"/>
        </w:rPr>
      </w:pPr>
      <w:r>
        <w:rPr>
          <w:rFonts w:ascii="Times New Roman" w:cs="Times New Roman" w:eastAsia="Times New Roman" w:hAnsi="Times New Roman"/>
          <w:sz w:val="20"/>
          <w:szCs w:val="20"/>
          <w:color w:val="auto"/>
        </w:rPr>
        <w:t>In December 2023, the FASB issued ASU No. 2023-09, Improvements to Income Tax Disclosures. This ASU does not change accounting for income taxes but requires new disclosures focusing on two areas, the effective rate reconciliation and taxes paid. This new standard is effective for the Company for annual periods beginning after December 15, 2025. Early adoption is permitted. The Company is currently evaluating the impact of the adoption of this standard on the related disclosures.</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3. Revenue Recognition</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Genmab License Agreement in 2025</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Background</w:t>
      </w:r>
    </w:p>
    <w:p>
      <w:pPr>
        <w:spacing w:after="0" w:line="134"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On February 14, 2025, the Company entered into a license agreement (the “License Agreement”) with Genmab pursuant to which the Company granted to Genmab an exclusive worldwide license to leverage its proprietary LockBody technology platform to perform research on up to three undisclosed targets selected during a multi-year research period. Additionally, the License Agreement provides Genmab with the option to obtain an exclusive commercial license for worldwide development and commercialization of products against each of the selected three targets. Genmab will conduct all research and development activities under the License Agreement, which may combine the Company’s LockBody technology with Genmab’s proprietary antibody technologies. The LockBody technology platform is designed to improve the therapeutic index of therapies by allowing the conditional activation of potent cell killing mechanisms in diseased tissue, but not in non-diseased tissue.</w:t>
      </w:r>
    </w:p>
    <w:p>
      <w:pPr>
        <w:spacing w:after="0" w:line="209" w:lineRule="exact"/>
        <w:rPr>
          <w:sz w:val="20"/>
          <w:szCs w:val="20"/>
          <w:color w:val="auto"/>
        </w:rPr>
      </w:pPr>
    </w:p>
    <w:p>
      <w:pPr>
        <w:jc w:val="both"/>
        <w:ind w:right="20" w:firstLine="720"/>
        <w:spacing w:after="0" w:line="256" w:lineRule="auto"/>
        <w:rPr>
          <w:sz w:val="20"/>
          <w:szCs w:val="20"/>
          <w:color w:val="auto"/>
        </w:rPr>
      </w:pPr>
      <w:r>
        <w:rPr>
          <w:rFonts w:ascii="Times New Roman" w:cs="Times New Roman" w:eastAsia="Times New Roman" w:hAnsi="Times New Roman"/>
          <w:sz w:val="20"/>
          <w:szCs w:val="20"/>
          <w:color w:val="auto"/>
        </w:rPr>
        <w:t>Under the terms of the License Agreement, the Company received a non-refundable upfront payment of $15.0 million related to the license of the LockBody technology platform. Additionally, the Company may receive, in the future, an aggregate of up to $15.0 million when (and if) Genmab exercises the options to acquire the exclusive commercial licenses as discussed above. Further, the Company is eligible to receive potential payouts of up to $234.0 million in development, regulatory and sales milestones per product, as well as tiered royalties ranging in the mid single-digits on annual global net licensed product sales.</w:t>
      </w:r>
    </w:p>
    <w:p>
      <w:pPr>
        <w:spacing w:after="0" w:line="208"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The License Agreement includes various representations, warranties, covenants, indemnities, and other customary provisions. Unless earlier terminated in accordance with its terms, the License Agreement will expire upon expiration of the last royalty term for the last licensed product. Genmab may terminate the License Agreement or on a target-by-target basis for convenience upon specified time periods. On a target-by-target basis, if Genmab elects not to exercise its option for an exclusive commercial license for worldwide development and commercialization of products against the applicable target (a “Reserved Target”), then the License Agreement will automatically terminate with respect to such Reserved Target. Subject to the terms and specified exceptions set forth in the License Agreement, either party may terminate the License Agreement for the other party’s uncured material breach or insolvency upon a specified notice period.</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Accounting Treatment</w:t>
      </w:r>
    </w:p>
    <w:p>
      <w:pPr>
        <w:spacing w:after="0" w:line="130"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 xml:space="preserve">The Company assessed the License Agreement in accordance with ASC 606, </w:t>
      </w:r>
      <w:r>
        <w:rPr>
          <w:rFonts w:ascii="Times New Roman" w:cs="Times New Roman" w:eastAsia="Times New Roman" w:hAnsi="Times New Roman"/>
          <w:sz w:val="20"/>
          <w:szCs w:val="20"/>
          <w:b w:val="1"/>
          <w:bCs w:val="1"/>
          <w:i w:val="1"/>
          <w:iCs w:val="1"/>
          <w:color w:val="auto"/>
        </w:rPr>
        <w:t>Revenue with Contracts from</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Customers</w:t>
      </w:r>
      <w:r>
        <w:rPr>
          <w:rFonts w:ascii="Times New Roman" w:cs="Times New Roman" w:eastAsia="Times New Roman" w:hAnsi="Times New Roman"/>
          <w:sz w:val="20"/>
          <w:szCs w:val="20"/>
          <w:color w:val="auto"/>
        </w:rPr>
        <w:t>, and concluded that the promises in the License Agreement represent a transaction with a customer.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following promises within the License Agreement were identified: (i) the exclusive license of the Lockbody technology platform and the ability to perform research on up to three targets, (ii) initial and continuing know-how transfer for the Lockbody technology platform, and (iii) participation in a joint steering committee (“JSC”). The promises related to the know-how transfer and JSC participation were determined to be immaterial in the context of the contract as the time commitment and related cost is expected to be inconsequential to the total contract consideration. Accordingly, they were not assessed as performance obligations.</w:t>
      </w:r>
    </w:p>
    <w:p>
      <w:pPr>
        <w:sectPr>
          <w:pgSz w:w="12240" w:h="15840" w:orient="portrait"/>
          <w:cols w:equalWidth="0" w:num="1">
            <w:col w:w="9900"/>
          </w:cols>
          <w:pgMar w:left="1180" w:top="20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138</w:t>
      </w:r>
    </w:p>
    <w:p>
      <w:pPr>
        <w:sectPr>
          <w:pgSz w:w="12240" w:h="15840" w:orient="portrait"/>
          <w:cols w:equalWidth="0" w:num="1">
            <w:col w:w="9900"/>
          </w:cols>
          <w:pgMar w:left="1180" w:top="208" w:right="1160" w:bottom="0" w:gutter="0" w:footer="0" w:header="0"/>
          <w:type w:val="continuous"/>
        </w:sectPr>
      </w:pPr>
    </w:p>
    <w:bookmarkStart w:id="138" w:name="page139"/>
    <w:bookmarkEnd w:id="138"/>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Centessa Pharmaceuticals plc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243" w:lineRule="exact"/>
        <w:rPr>
          <w:sz w:val="20"/>
          <w:szCs w:val="20"/>
          <w:color w:val="auto"/>
        </w:rPr>
      </w:pPr>
    </w:p>
    <w:p>
      <w:pPr>
        <w:jc w:val="both"/>
        <w:ind w:right="20" w:firstLine="720"/>
        <w:spacing w:after="0" w:line="258" w:lineRule="auto"/>
        <w:rPr>
          <w:sz w:val="20"/>
          <w:szCs w:val="20"/>
          <w:color w:val="auto"/>
        </w:rPr>
      </w:pPr>
      <w:r>
        <w:rPr>
          <w:rFonts w:ascii="Times New Roman" w:cs="Times New Roman" w:eastAsia="Times New Roman" w:hAnsi="Times New Roman"/>
          <w:sz w:val="20"/>
          <w:szCs w:val="20"/>
          <w:color w:val="auto"/>
        </w:rPr>
        <w:t>Additionally, the Company also evaluated the options to acquire exclusive commercial licenses contained within the License Agreement to determine if they provide Genmab with any material rights. The Company concluded that the options were not issued at a significant and incremental discount and therefore do not provide Genmab with a material right. As such, these options were excluded as performance obligations and will be accounted for when (and if) they are exercised.</w:t>
      </w:r>
    </w:p>
    <w:p>
      <w:pPr>
        <w:spacing w:after="0" w:line="204" w:lineRule="exact"/>
        <w:rPr>
          <w:sz w:val="20"/>
          <w:szCs w:val="20"/>
          <w:color w:val="auto"/>
        </w:rPr>
      </w:pPr>
    </w:p>
    <w:p>
      <w:pPr>
        <w:jc w:val="both"/>
        <w:ind w:right="20" w:firstLine="720"/>
        <w:spacing w:after="0" w:line="283" w:lineRule="auto"/>
        <w:rPr>
          <w:sz w:val="20"/>
          <w:szCs w:val="20"/>
          <w:color w:val="auto"/>
        </w:rPr>
      </w:pPr>
      <w:r>
        <w:rPr>
          <w:rFonts w:ascii="Times New Roman" w:cs="Times New Roman" w:eastAsia="Times New Roman" w:hAnsi="Times New Roman"/>
          <w:sz w:val="20"/>
          <w:szCs w:val="20"/>
          <w:color w:val="auto"/>
        </w:rPr>
        <w:t>As a result, the Company determined that the promise to provide the exclusive license constitutes a single performance obligation within the License Agreement. Further, the exclusive license represents functional intellectual property given the Company will not be providing any additional services to Genmab outside of the right to use the licensed intellectual property. Accordingly, the $15.0 million up front payment was recognized as revenue at a point in time during the first quarter of 2025, upon delivery of the exclusive license to Genmab at contract inception.</w:t>
      </w:r>
    </w:p>
    <w:p>
      <w:pPr>
        <w:spacing w:after="0" w:line="180" w:lineRule="exact"/>
        <w:rPr>
          <w:sz w:val="20"/>
          <w:szCs w:val="20"/>
          <w:color w:val="auto"/>
        </w:rPr>
      </w:pPr>
    </w:p>
    <w:p>
      <w:pPr>
        <w:jc w:val="both"/>
        <w:ind w:right="20" w:firstLine="720"/>
        <w:spacing w:after="0" w:line="266" w:lineRule="auto"/>
        <w:rPr>
          <w:sz w:val="20"/>
          <w:szCs w:val="20"/>
          <w:color w:val="auto"/>
        </w:rPr>
      </w:pPr>
      <w:r>
        <w:rPr>
          <w:rFonts w:ascii="Times New Roman" w:cs="Times New Roman" w:eastAsia="Times New Roman" w:hAnsi="Times New Roman"/>
          <w:sz w:val="20"/>
          <w:szCs w:val="20"/>
          <w:color w:val="auto"/>
        </w:rPr>
        <w:t>As of December 31, 2025, the Company has constrained all variable consideration related to potential milestone payments associated with the License Agreement given the level of uncertainty associated with their achievement. Accordingly, no revenue relating to these milestones has been recognized.</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4. Fair Value of Financial Instruments</w:t>
      </w:r>
    </w:p>
    <w:p>
      <w:pPr>
        <w:spacing w:after="0" w:line="257" w:lineRule="exact"/>
        <w:rPr>
          <w:sz w:val="20"/>
          <w:szCs w:val="20"/>
          <w:color w:val="auto"/>
        </w:rPr>
      </w:pPr>
    </w:p>
    <w:p>
      <w:pPr>
        <w:jc w:val="both"/>
        <w:ind w:firstLine="720"/>
        <w:spacing w:after="0" w:line="281" w:lineRule="auto"/>
        <w:rPr>
          <w:sz w:val="20"/>
          <w:szCs w:val="20"/>
          <w:color w:val="auto"/>
        </w:rPr>
      </w:pPr>
      <w:r>
        <w:rPr>
          <w:rFonts w:ascii="Times New Roman" w:cs="Times New Roman" w:eastAsia="Times New Roman" w:hAnsi="Times New Roman"/>
          <w:sz w:val="20"/>
          <w:szCs w:val="20"/>
          <w:color w:val="auto"/>
        </w:rPr>
        <w:t>The following fair value hierarchy table presents fair value information about the Company’s assets and liabilities (amounts in thousands):</w:t>
      </w:r>
    </w:p>
    <w:p>
      <w:pPr>
        <w:spacing w:after="0" w:line="233" w:lineRule="exact"/>
        <w:rPr>
          <w:sz w:val="20"/>
          <w:szCs w:val="20"/>
          <w:color w:val="auto"/>
        </w:rPr>
      </w:pPr>
    </w:p>
    <w:tbl>
      <w:tblPr>
        <w:tblLayout w:type="fixed"/>
        <w:tblInd w:w="40" w:type="dxa"/>
        <w:tblCellMar>
          <w:top w:w="0" w:type="dxa"/>
          <w:left w:w="0" w:type="dxa"/>
          <w:bottom w:w="0" w:type="dxa"/>
          <w:right w:w="0" w:type="dxa"/>
        </w:tblCellMar>
      </w:tblPr>
      <w:tr>
        <w:trPr>
          <w:trHeight w:val="240"/>
        </w:trPr>
        <w:tc>
          <w:tcPr>
            <w:tcW w:w="44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360" w:type="dxa"/>
            <w:vAlign w:val="bottom"/>
            <w:tcBorders>
              <w:bottom w:val="single" w:sz="8" w:color="auto"/>
            </w:tcBorders>
            <w:gridSpan w:val="9"/>
          </w:tcPr>
          <w:p>
            <w:pPr>
              <w:jc w:val="right"/>
              <w:spacing w:after="0"/>
              <w:rPr>
                <w:sz w:val="20"/>
                <w:szCs w:val="20"/>
                <w:color w:val="auto"/>
              </w:rPr>
            </w:pPr>
            <w:r>
              <w:rPr>
                <w:rFonts w:ascii="Times New Roman" w:cs="Times New Roman" w:eastAsia="Times New Roman" w:hAnsi="Times New Roman"/>
                <w:sz w:val="18"/>
                <w:szCs w:val="18"/>
                <w:b w:val="1"/>
                <w:bCs w:val="1"/>
                <w:color w:val="auto"/>
              </w:rPr>
              <w:t>Fair value measurement at reporting date using</w:t>
            </w:r>
          </w:p>
        </w:tc>
        <w:tc>
          <w:tcPr>
            <w:tcW w:w="8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81"/>
        </w:trPr>
        <w:tc>
          <w:tcPr>
            <w:tcW w:w="4440" w:type="dxa"/>
            <w:vAlign w:val="bottom"/>
          </w:tcPr>
          <w:p>
            <w:pPr>
              <w:spacing w:after="0"/>
              <w:rPr>
                <w:sz w:val="24"/>
                <w:szCs w:val="24"/>
                <w:color w:val="auto"/>
              </w:rPr>
            </w:pP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Quoted prices</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vMerge w:val="restart"/>
          </w:tcPr>
          <w:p>
            <w:pPr>
              <w:jc w:val="center"/>
              <w:ind w:right="104"/>
              <w:spacing w:after="0"/>
              <w:rPr>
                <w:sz w:val="20"/>
                <w:szCs w:val="20"/>
                <w:color w:val="auto"/>
              </w:rPr>
            </w:pPr>
            <w:r>
              <w:rPr>
                <w:rFonts w:ascii="Times New Roman" w:cs="Times New Roman" w:eastAsia="Times New Roman" w:hAnsi="Times New Roman"/>
                <w:sz w:val="18"/>
                <w:szCs w:val="18"/>
                <w:b w:val="1"/>
                <w:bCs w:val="1"/>
                <w:color w:val="auto"/>
                <w:w w:val="98"/>
              </w:rPr>
              <w:t>Significant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vMerge w:val="restart"/>
          </w:tcPr>
          <w:p>
            <w:pPr>
              <w:jc w:val="center"/>
              <w:ind w:right="104"/>
              <w:spacing w:after="0"/>
              <w:rPr>
                <w:sz w:val="20"/>
                <w:szCs w:val="20"/>
                <w:color w:val="auto"/>
              </w:rPr>
            </w:pPr>
            <w:r>
              <w:rPr>
                <w:rFonts w:ascii="Times New Roman" w:cs="Times New Roman" w:eastAsia="Times New Roman" w:hAnsi="Times New Roman"/>
                <w:sz w:val="18"/>
                <w:szCs w:val="18"/>
                <w:b w:val="1"/>
                <w:bCs w:val="1"/>
                <w:color w:val="auto"/>
              </w:rPr>
              <w:t>Significant</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4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center"/>
              <w:ind w:right="84"/>
              <w:spacing w:after="0" w:line="180" w:lineRule="exact"/>
              <w:rPr>
                <w:sz w:val="20"/>
                <w:szCs w:val="20"/>
                <w:color w:val="auto"/>
              </w:rPr>
            </w:pPr>
            <w:r>
              <w:rPr>
                <w:rFonts w:ascii="Times New Roman" w:cs="Times New Roman" w:eastAsia="Times New Roman" w:hAnsi="Times New Roman"/>
                <w:sz w:val="18"/>
                <w:szCs w:val="18"/>
                <w:b w:val="1"/>
                <w:bCs w:val="1"/>
                <w:color w:val="auto"/>
              </w:rPr>
              <w:t>in active</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center"/>
              <w:ind w:right="84"/>
              <w:spacing w:after="0" w:line="180" w:lineRule="exact"/>
              <w:rPr>
                <w:sz w:val="20"/>
                <w:szCs w:val="20"/>
                <w:color w:val="auto"/>
              </w:rPr>
            </w:pPr>
            <w:r>
              <w:rPr>
                <w:rFonts w:ascii="Times New Roman" w:cs="Times New Roman" w:eastAsia="Times New Roman" w:hAnsi="Times New Roman"/>
                <w:sz w:val="18"/>
                <w:szCs w:val="18"/>
                <w:b w:val="1"/>
                <w:bCs w:val="1"/>
                <w:color w:val="auto"/>
                <w:w w:val="99"/>
              </w:rPr>
              <w:t>markets for</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center"/>
              <w:ind w:right="104"/>
              <w:spacing w:after="0" w:line="180" w:lineRule="exact"/>
              <w:rPr>
                <w:sz w:val="20"/>
                <w:szCs w:val="20"/>
                <w:color w:val="auto"/>
              </w:rPr>
            </w:pPr>
            <w:r>
              <w:rPr>
                <w:rFonts w:ascii="Times New Roman" w:cs="Times New Roman" w:eastAsia="Times New Roman" w:hAnsi="Times New Roman"/>
                <w:sz w:val="18"/>
                <w:szCs w:val="18"/>
                <w:b w:val="1"/>
                <w:bCs w:val="1"/>
                <w:color w:val="auto"/>
              </w:rPr>
              <w:t>other</w:t>
            </w:r>
          </w:p>
        </w:tc>
        <w:tc>
          <w:tcPr>
            <w:tcW w:w="60" w:type="dxa"/>
            <w:vAlign w:val="bottom"/>
          </w:tcPr>
          <w:p>
            <w:pPr>
              <w:spacing w:after="0"/>
              <w:rPr>
                <w:sz w:val="15"/>
                <w:szCs w:val="15"/>
                <w:color w:val="auto"/>
              </w:rPr>
            </w:pPr>
          </w:p>
        </w:tc>
        <w:tc>
          <w:tcPr>
            <w:tcW w:w="132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rPr>
              <w:t>unobservable</w:t>
            </w: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440" w:type="dxa"/>
            <w:vAlign w:val="bottom"/>
          </w:tcPr>
          <w:p>
            <w:pPr>
              <w:spacing w:after="0"/>
              <w:rPr>
                <w:sz w:val="15"/>
                <w:szCs w:val="15"/>
                <w:color w:val="auto"/>
              </w:rPr>
            </w:pPr>
          </w:p>
        </w:tc>
        <w:tc>
          <w:tcPr>
            <w:tcW w:w="130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9"/>
              </w:rPr>
              <w:t>identical assets</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center"/>
              <w:ind w:right="104"/>
              <w:spacing w:after="0" w:line="180" w:lineRule="exact"/>
              <w:rPr>
                <w:sz w:val="20"/>
                <w:szCs w:val="20"/>
                <w:color w:val="auto"/>
              </w:rPr>
            </w:pPr>
            <w:r>
              <w:rPr>
                <w:rFonts w:ascii="Times New Roman" w:cs="Times New Roman" w:eastAsia="Times New Roman" w:hAnsi="Times New Roman"/>
                <w:sz w:val="18"/>
                <w:szCs w:val="18"/>
                <w:b w:val="1"/>
                <w:bCs w:val="1"/>
                <w:color w:val="auto"/>
                <w:w w:val="98"/>
              </w:rPr>
              <w:t>observable</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jc w:val="center"/>
              <w:ind w:right="104"/>
              <w:spacing w:after="0" w:line="180" w:lineRule="exact"/>
              <w:rPr>
                <w:sz w:val="20"/>
                <w:szCs w:val="20"/>
                <w:color w:val="auto"/>
              </w:rPr>
            </w:pPr>
            <w:r>
              <w:rPr>
                <w:rFonts w:ascii="Times New Roman" w:cs="Times New Roman" w:eastAsia="Times New Roman" w:hAnsi="Times New Roman"/>
                <w:sz w:val="18"/>
                <w:szCs w:val="18"/>
                <w:b w:val="1"/>
                <w:bCs w:val="1"/>
                <w:color w:val="auto"/>
                <w:w w:val="99"/>
              </w:rPr>
              <w:t>inputs</w:t>
            </w: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vMerge w:val="restart"/>
          </w:tcPr>
          <w:p>
            <w:pPr>
              <w:jc w:val="right"/>
              <w:ind w:right="362"/>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39"/>
        </w:trPr>
        <w:tc>
          <w:tcPr>
            <w:tcW w:w="44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84"/>
              <w:spacing w:after="0"/>
              <w:rPr>
                <w:sz w:val="20"/>
                <w:szCs w:val="20"/>
                <w:color w:val="auto"/>
              </w:rPr>
            </w:pPr>
            <w:r>
              <w:rPr>
                <w:rFonts w:ascii="Times New Roman" w:cs="Times New Roman" w:eastAsia="Times New Roman" w:hAnsi="Times New Roman"/>
                <w:sz w:val="18"/>
                <w:szCs w:val="18"/>
                <w:b w:val="1"/>
                <w:bCs w:val="1"/>
                <w:color w:val="auto"/>
                <w:w w:val="97"/>
              </w:rPr>
              <w:t>(Level 1)</w:t>
            </w:r>
          </w:p>
        </w:tc>
        <w:tc>
          <w:tcPr>
            <w:tcW w:w="60" w:type="dxa"/>
            <w:vAlign w:val="bottom"/>
          </w:tcPr>
          <w:p>
            <w:pPr>
              <w:spacing w:after="0"/>
              <w:rPr>
                <w:sz w:val="20"/>
                <w:szCs w:val="20"/>
                <w:color w:val="auto"/>
              </w:rPr>
            </w:pPr>
          </w:p>
        </w:tc>
        <w:tc>
          <w:tcPr>
            <w:tcW w:w="13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inputs (Level 2)</w:t>
            </w: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04"/>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6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2"/>
        </w:trPr>
        <w:tc>
          <w:tcPr>
            <w:tcW w:w="44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December 31, 2025</w:t>
            </w: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44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Assets</w:t>
            </w: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4440" w:type="dxa"/>
            <w:vAlign w:val="bottom"/>
          </w:tcPr>
          <w:p>
            <w:pPr>
              <w:spacing w:after="0"/>
              <w:rPr>
                <w:sz w:val="20"/>
                <w:szCs w:val="20"/>
                <w:color w:val="auto"/>
              </w:rPr>
            </w:pPr>
            <w:r>
              <w:rPr>
                <w:rFonts w:ascii="Times New Roman" w:cs="Times New Roman" w:eastAsia="Times New Roman" w:hAnsi="Times New Roman"/>
                <w:sz w:val="20"/>
                <w:szCs w:val="20"/>
                <w:color w:val="auto"/>
              </w:rPr>
              <w:t>Money Market fund</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23,970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ind w:left="820"/>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23,970</w:t>
            </w:r>
          </w:p>
        </w:tc>
        <w:tc>
          <w:tcPr>
            <w:tcW w:w="0" w:type="dxa"/>
            <w:vAlign w:val="bottom"/>
          </w:tcPr>
          <w:p>
            <w:pPr>
              <w:spacing w:after="0"/>
              <w:rPr>
                <w:sz w:val="1"/>
                <w:szCs w:val="1"/>
                <w:color w:val="auto"/>
              </w:rPr>
            </w:pPr>
          </w:p>
        </w:tc>
      </w:tr>
      <w:tr>
        <w:trPr>
          <w:trHeight w:val="285"/>
        </w:trPr>
        <w:tc>
          <w:tcPr>
            <w:tcW w:w="4440" w:type="dxa"/>
            <w:vAlign w:val="bottom"/>
          </w:tcPr>
          <w:p>
            <w:pPr>
              <w:spacing w:after="0"/>
              <w:rPr>
                <w:sz w:val="20"/>
                <w:szCs w:val="20"/>
                <w:color w:val="auto"/>
              </w:rPr>
            </w:pPr>
            <w:r>
              <w:rPr>
                <w:rFonts w:ascii="Times New Roman" w:cs="Times New Roman" w:eastAsia="Times New Roman" w:hAnsi="Times New Roman"/>
                <w:sz w:val="20"/>
                <w:szCs w:val="20"/>
                <w:color w:val="auto"/>
              </w:rPr>
              <w:t>U.S. Treasury and government agency securities</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59,842</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247,890</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ind w:left="8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307,732</w:t>
            </w:r>
          </w:p>
        </w:tc>
        <w:tc>
          <w:tcPr>
            <w:tcW w:w="0" w:type="dxa"/>
            <w:vAlign w:val="bottom"/>
          </w:tcPr>
          <w:p>
            <w:pPr>
              <w:spacing w:after="0"/>
              <w:rPr>
                <w:sz w:val="1"/>
                <w:szCs w:val="1"/>
                <w:color w:val="auto"/>
              </w:rPr>
            </w:pPr>
          </w:p>
        </w:tc>
      </w:tr>
      <w:tr>
        <w:trPr>
          <w:trHeight w:val="285"/>
        </w:trPr>
        <w:tc>
          <w:tcPr>
            <w:tcW w:w="4440" w:type="dxa"/>
            <w:vAlign w:val="bottom"/>
          </w:tcPr>
          <w:p>
            <w:pPr>
              <w:spacing w:after="0"/>
              <w:rPr>
                <w:sz w:val="20"/>
                <w:szCs w:val="20"/>
                <w:color w:val="auto"/>
              </w:rPr>
            </w:pPr>
            <w:r>
              <w:rPr>
                <w:rFonts w:ascii="Times New Roman" w:cs="Times New Roman" w:eastAsia="Times New Roman" w:hAnsi="Times New Roman"/>
                <w:sz w:val="20"/>
                <w:szCs w:val="20"/>
                <w:color w:val="auto"/>
              </w:rPr>
              <w:t>Corporate debt securities</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183,456</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ind w:left="8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183,456</w:t>
            </w:r>
          </w:p>
        </w:tc>
        <w:tc>
          <w:tcPr>
            <w:tcW w:w="0" w:type="dxa"/>
            <w:vAlign w:val="bottom"/>
          </w:tcPr>
          <w:p>
            <w:pPr>
              <w:spacing w:after="0"/>
              <w:rPr>
                <w:sz w:val="1"/>
                <w:szCs w:val="1"/>
                <w:color w:val="auto"/>
              </w:rPr>
            </w:pPr>
          </w:p>
        </w:tc>
      </w:tr>
      <w:tr>
        <w:trPr>
          <w:trHeight w:val="288"/>
        </w:trPr>
        <w:tc>
          <w:tcPr>
            <w:tcW w:w="4440" w:type="dxa"/>
            <w:vAlign w:val="bottom"/>
          </w:tcPr>
          <w:p>
            <w:pPr>
              <w:spacing w:after="0"/>
              <w:rPr>
                <w:sz w:val="20"/>
                <w:szCs w:val="20"/>
                <w:color w:val="auto"/>
              </w:rPr>
            </w:pPr>
            <w:r>
              <w:rPr>
                <w:rFonts w:ascii="Times New Roman" w:cs="Times New Roman" w:eastAsia="Times New Roman" w:hAnsi="Times New Roman"/>
                <w:sz w:val="20"/>
                <w:szCs w:val="20"/>
                <w:color w:val="auto"/>
              </w:rPr>
              <w:t>Commercial Paper</w:t>
            </w: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34,616</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34,616</w:t>
            </w:r>
          </w:p>
        </w:tc>
        <w:tc>
          <w:tcPr>
            <w:tcW w:w="0" w:type="dxa"/>
            <w:vAlign w:val="bottom"/>
          </w:tcPr>
          <w:p>
            <w:pPr>
              <w:spacing w:after="0"/>
              <w:rPr>
                <w:sz w:val="1"/>
                <w:szCs w:val="1"/>
                <w:color w:val="auto"/>
              </w:rPr>
            </w:pPr>
          </w:p>
        </w:tc>
      </w:tr>
      <w:tr>
        <w:trPr>
          <w:trHeight w:val="245"/>
        </w:trPr>
        <w:tc>
          <w:tcPr>
            <w:tcW w:w="44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Total</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83,812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465,962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ind w:left="820"/>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549,774</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-1297940</wp:posOffset>
            </wp:positionV>
            <wp:extent cx="6324600" cy="13176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4">
                      <a:extLst>
                        <a:ext uri="{28A0092B-C50C-407E-A947-70E740481C1C}"/>
                      </a:extLst>
                    </a:blip>
                    <a:srcRect/>
                    <a:stretch>
                      <a:fillRect/>
                    </a:stretch>
                  </pic:blipFill>
                  <pic:spPr bwMode="auto">
                    <a:xfrm>
                      <a:off x="0" y="0"/>
                      <a:ext cx="6324600" cy="131762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tbl>
      <w:tblPr>
        <w:tblLayout w:type="fixed"/>
        <w:tblInd w:w="40" w:type="dxa"/>
        <w:tblCellMar>
          <w:top w:w="0" w:type="dxa"/>
          <w:left w:w="0" w:type="dxa"/>
          <w:bottom w:w="0" w:type="dxa"/>
          <w:right w:w="0" w:type="dxa"/>
        </w:tblCellMar>
      </w:tblPr>
      <w:tr>
        <w:trPr>
          <w:trHeight w:val="240"/>
        </w:trPr>
        <w:tc>
          <w:tcPr>
            <w:tcW w:w="43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420" w:type="dxa"/>
            <w:vAlign w:val="bottom"/>
            <w:tcBorders>
              <w:bottom w:val="single" w:sz="8" w:color="auto"/>
            </w:tcBorders>
            <w:gridSpan w:val="9"/>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Fair value measurement at reporting date using</w:t>
            </w:r>
          </w:p>
        </w:tc>
        <w:tc>
          <w:tcPr>
            <w:tcW w:w="8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26"/>
        </w:trPr>
        <w:tc>
          <w:tcPr>
            <w:tcW w:w="4380" w:type="dxa"/>
            <w:vAlign w:val="bottom"/>
          </w:tcPr>
          <w:p>
            <w:pPr>
              <w:spacing w:after="0"/>
              <w:rPr>
                <w:sz w:val="24"/>
                <w:szCs w:val="24"/>
                <w:color w:val="auto"/>
              </w:rPr>
            </w:pP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Quoted prices</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vMerge w:val="restart"/>
          </w:tcPr>
          <w:p>
            <w:pPr>
              <w:jc w:val="center"/>
              <w:ind w:right="105"/>
              <w:spacing w:after="0"/>
              <w:rPr>
                <w:sz w:val="20"/>
                <w:szCs w:val="20"/>
                <w:color w:val="auto"/>
              </w:rPr>
            </w:pPr>
            <w:r>
              <w:rPr>
                <w:rFonts w:ascii="Times New Roman" w:cs="Times New Roman" w:eastAsia="Times New Roman" w:hAnsi="Times New Roman"/>
                <w:sz w:val="18"/>
                <w:szCs w:val="18"/>
                <w:b w:val="1"/>
                <w:bCs w:val="1"/>
                <w:color w:val="auto"/>
                <w:w w:val="98"/>
              </w:rPr>
              <w:t>Significant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vMerge w:val="restart"/>
          </w:tcPr>
          <w:p>
            <w:pPr>
              <w:jc w:val="center"/>
              <w:ind w:right="105"/>
              <w:spacing w:after="0"/>
              <w:rPr>
                <w:sz w:val="20"/>
                <w:szCs w:val="20"/>
                <w:color w:val="auto"/>
              </w:rPr>
            </w:pPr>
            <w:r>
              <w:rPr>
                <w:rFonts w:ascii="Times New Roman" w:cs="Times New Roman" w:eastAsia="Times New Roman" w:hAnsi="Times New Roman"/>
                <w:sz w:val="18"/>
                <w:szCs w:val="18"/>
                <w:b w:val="1"/>
                <w:bCs w:val="1"/>
                <w:color w:val="auto"/>
              </w:rPr>
              <w:t>Significant</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4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center"/>
              <w:ind w:right="86"/>
              <w:spacing w:after="0" w:line="180" w:lineRule="exact"/>
              <w:rPr>
                <w:sz w:val="20"/>
                <w:szCs w:val="20"/>
                <w:color w:val="auto"/>
              </w:rPr>
            </w:pPr>
            <w:r>
              <w:rPr>
                <w:rFonts w:ascii="Times New Roman" w:cs="Times New Roman" w:eastAsia="Times New Roman" w:hAnsi="Times New Roman"/>
                <w:sz w:val="18"/>
                <w:szCs w:val="18"/>
                <w:b w:val="1"/>
                <w:bCs w:val="1"/>
                <w:color w:val="auto"/>
              </w:rPr>
              <w:t>in active</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center"/>
              <w:ind w:right="86"/>
              <w:spacing w:after="0" w:line="180" w:lineRule="exact"/>
              <w:rPr>
                <w:sz w:val="20"/>
                <w:szCs w:val="20"/>
                <w:color w:val="auto"/>
              </w:rPr>
            </w:pPr>
            <w:r>
              <w:rPr>
                <w:rFonts w:ascii="Times New Roman" w:cs="Times New Roman" w:eastAsia="Times New Roman" w:hAnsi="Times New Roman"/>
                <w:sz w:val="18"/>
                <w:szCs w:val="18"/>
                <w:b w:val="1"/>
                <w:bCs w:val="1"/>
                <w:color w:val="auto"/>
                <w:w w:val="99"/>
              </w:rPr>
              <w:t>markets for</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center"/>
              <w:ind w:right="105"/>
              <w:spacing w:after="0" w:line="180" w:lineRule="exact"/>
              <w:rPr>
                <w:sz w:val="20"/>
                <w:szCs w:val="20"/>
                <w:color w:val="auto"/>
              </w:rPr>
            </w:pPr>
            <w:r>
              <w:rPr>
                <w:rFonts w:ascii="Times New Roman" w:cs="Times New Roman" w:eastAsia="Times New Roman" w:hAnsi="Times New Roman"/>
                <w:sz w:val="18"/>
                <w:szCs w:val="18"/>
                <w:b w:val="1"/>
                <w:bCs w:val="1"/>
                <w:color w:val="auto"/>
              </w:rPr>
              <w:t>other</w:t>
            </w:r>
          </w:p>
        </w:tc>
        <w:tc>
          <w:tcPr>
            <w:tcW w:w="60" w:type="dxa"/>
            <w:vAlign w:val="bottom"/>
          </w:tcPr>
          <w:p>
            <w:pPr>
              <w:spacing w:after="0"/>
              <w:rPr>
                <w:sz w:val="15"/>
                <w:szCs w:val="15"/>
                <w:color w:val="auto"/>
              </w:rPr>
            </w:pPr>
          </w:p>
        </w:tc>
        <w:tc>
          <w:tcPr>
            <w:tcW w:w="132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rPr>
              <w:t>unobservable</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380" w:type="dxa"/>
            <w:vAlign w:val="bottom"/>
          </w:tcPr>
          <w:p>
            <w:pPr>
              <w:spacing w:after="0"/>
              <w:rPr>
                <w:sz w:val="15"/>
                <w:szCs w:val="15"/>
                <w:color w:val="auto"/>
              </w:rPr>
            </w:pPr>
          </w:p>
        </w:tc>
        <w:tc>
          <w:tcPr>
            <w:tcW w:w="130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9"/>
              </w:rPr>
              <w:t>identical assets</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center"/>
              <w:ind w:right="105"/>
              <w:spacing w:after="0" w:line="180" w:lineRule="exact"/>
              <w:rPr>
                <w:sz w:val="20"/>
                <w:szCs w:val="20"/>
                <w:color w:val="auto"/>
              </w:rPr>
            </w:pPr>
            <w:r>
              <w:rPr>
                <w:rFonts w:ascii="Times New Roman" w:cs="Times New Roman" w:eastAsia="Times New Roman" w:hAnsi="Times New Roman"/>
                <w:sz w:val="18"/>
                <w:szCs w:val="18"/>
                <w:b w:val="1"/>
                <w:bCs w:val="1"/>
                <w:color w:val="auto"/>
                <w:w w:val="98"/>
              </w:rPr>
              <w:t>observable</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jc w:val="center"/>
              <w:ind w:right="105"/>
              <w:spacing w:after="0" w:line="180" w:lineRule="exact"/>
              <w:rPr>
                <w:sz w:val="20"/>
                <w:szCs w:val="20"/>
                <w:color w:val="auto"/>
              </w:rPr>
            </w:pPr>
            <w:r>
              <w:rPr>
                <w:rFonts w:ascii="Times New Roman" w:cs="Times New Roman" w:eastAsia="Times New Roman" w:hAnsi="Times New Roman"/>
                <w:sz w:val="18"/>
                <w:szCs w:val="18"/>
                <w:b w:val="1"/>
                <w:bCs w:val="1"/>
                <w:color w:val="auto"/>
                <w:w w:val="99"/>
              </w:rPr>
              <w:t>inputs</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vMerge w:val="restart"/>
          </w:tcPr>
          <w:p>
            <w:pPr>
              <w:jc w:val="right"/>
              <w:ind w:right="363"/>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39"/>
        </w:trPr>
        <w:tc>
          <w:tcPr>
            <w:tcW w:w="43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86"/>
              <w:spacing w:after="0"/>
              <w:rPr>
                <w:sz w:val="20"/>
                <w:szCs w:val="20"/>
                <w:color w:val="auto"/>
              </w:rPr>
            </w:pPr>
            <w:r>
              <w:rPr>
                <w:rFonts w:ascii="Times New Roman" w:cs="Times New Roman" w:eastAsia="Times New Roman" w:hAnsi="Times New Roman"/>
                <w:sz w:val="18"/>
                <w:szCs w:val="18"/>
                <w:b w:val="1"/>
                <w:bCs w:val="1"/>
                <w:color w:val="auto"/>
                <w:w w:val="97"/>
              </w:rPr>
              <w:t>(Level 1)</w:t>
            </w:r>
          </w:p>
        </w:tc>
        <w:tc>
          <w:tcPr>
            <w:tcW w:w="60" w:type="dxa"/>
            <w:vAlign w:val="bottom"/>
          </w:tcPr>
          <w:p>
            <w:pPr>
              <w:spacing w:after="0"/>
              <w:rPr>
                <w:sz w:val="20"/>
                <w:szCs w:val="20"/>
                <w:color w:val="auto"/>
              </w:rPr>
            </w:pPr>
          </w:p>
        </w:tc>
        <w:tc>
          <w:tcPr>
            <w:tcW w:w="13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inputs (Level 2)</w:t>
            </w: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05"/>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2"/>
        </w:trPr>
        <w:tc>
          <w:tcPr>
            <w:tcW w:w="43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December 31, 2024</w:t>
            </w: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438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Assets</w:t>
            </w: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4380" w:type="dxa"/>
            <w:vAlign w:val="bottom"/>
          </w:tcPr>
          <w:p>
            <w:pPr>
              <w:spacing w:after="0"/>
              <w:rPr>
                <w:sz w:val="20"/>
                <w:szCs w:val="20"/>
                <w:color w:val="auto"/>
              </w:rPr>
            </w:pPr>
            <w:r>
              <w:rPr>
                <w:rFonts w:ascii="Times New Roman" w:cs="Times New Roman" w:eastAsia="Times New Roman" w:hAnsi="Times New Roman"/>
                <w:sz w:val="20"/>
                <w:szCs w:val="20"/>
                <w:color w:val="auto"/>
              </w:rPr>
              <w:t>Money Market fund</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217,515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ind w:left="820"/>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ind w:left="820"/>
              <w:spacing w:after="0"/>
              <w:rPr>
                <w:sz w:val="20"/>
                <w:szCs w:val="20"/>
                <w:color w:val="auto"/>
              </w:rPr>
            </w:pPr>
            <w:r>
              <w:rPr>
                <w:rFonts w:ascii="Times New Roman" w:cs="Times New Roman" w:eastAsia="Times New Roman" w:hAnsi="Times New Roman"/>
                <w:sz w:val="20"/>
                <w:szCs w:val="20"/>
                <w:color w:val="auto"/>
              </w:rPr>
              <w:t>—</w:t>
            </w:r>
          </w:p>
        </w:tc>
        <w:tc>
          <w:tcPr>
            <w:tcW w:w="56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217,515</w:t>
            </w:r>
          </w:p>
        </w:tc>
        <w:tc>
          <w:tcPr>
            <w:tcW w:w="0" w:type="dxa"/>
            <w:vAlign w:val="bottom"/>
          </w:tcPr>
          <w:p>
            <w:pPr>
              <w:spacing w:after="0"/>
              <w:rPr>
                <w:sz w:val="1"/>
                <w:szCs w:val="1"/>
                <w:color w:val="auto"/>
              </w:rPr>
            </w:pPr>
          </w:p>
        </w:tc>
      </w:tr>
      <w:tr>
        <w:trPr>
          <w:trHeight w:val="288"/>
        </w:trPr>
        <w:tc>
          <w:tcPr>
            <w:tcW w:w="4380" w:type="dxa"/>
            <w:vAlign w:val="bottom"/>
          </w:tcPr>
          <w:p>
            <w:pPr>
              <w:spacing w:after="0"/>
              <w:rPr>
                <w:sz w:val="20"/>
                <w:szCs w:val="20"/>
                <w:color w:val="auto"/>
              </w:rPr>
            </w:pPr>
            <w:r>
              <w:rPr>
                <w:rFonts w:ascii="Times New Roman" w:cs="Times New Roman" w:eastAsia="Times New Roman" w:hAnsi="Times New Roman"/>
                <w:sz w:val="20"/>
                <w:szCs w:val="20"/>
                <w:color w:val="auto"/>
              </w:rPr>
              <w:t>U.S. Treasury securities</w:t>
            </w: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171,885</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171,885</w:t>
            </w:r>
          </w:p>
        </w:tc>
        <w:tc>
          <w:tcPr>
            <w:tcW w:w="0" w:type="dxa"/>
            <w:vAlign w:val="bottom"/>
          </w:tcPr>
          <w:p>
            <w:pPr>
              <w:spacing w:after="0"/>
              <w:rPr>
                <w:sz w:val="1"/>
                <w:szCs w:val="1"/>
                <w:color w:val="auto"/>
              </w:rPr>
            </w:pPr>
          </w:p>
        </w:tc>
      </w:tr>
      <w:tr>
        <w:trPr>
          <w:trHeight w:val="245"/>
        </w:trPr>
        <w:tc>
          <w:tcPr>
            <w:tcW w:w="438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Total</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389,400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ind w:left="820"/>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ind w:left="820"/>
              <w:spacing w:after="0"/>
              <w:rPr>
                <w:sz w:val="20"/>
                <w:szCs w:val="20"/>
                <w:color w:val="auto"/>
              </w:rPr>
            </w:pPr>
            <w:r>
              <w:rPr>
                <w:rFonts w:ascii="Times New Roman" w:cs="Times New Roman" w:eastAsia="Times New Roman" w:hAnsi="Times New Roman"/>
                <w:sz w:val="20"/>
                <w:szCs w:val="20"/>
                <w:color w:val="auto"/>
              </w:rPr>
              <w:t>—</w:t>
            </w:r>
          </w:p>
        </w:tc>
        <w:tc>
          <w:tcPr>
            <w:tcW w:w="56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389,400</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-935990</wp:posOffset>
            </wp:positionV>
            <wp:extent cx="6324600" cy="9556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5">
                      <a:extLst>
                        <a:ext uri="{28A0092B-C50C-407E-A947-70E740481C1C}"/>
                      </a:extLst>
                    </a:blip>
                    <a:srcRect/>
                    <a:stretch>
                      <a:fillRect/>
                    </a:stretch>
                  </pic:blipFill>
                  <pic:spPr bwMode="auto">
                    <a:xfrm>
                      <a:off x="0" y="0"/>
                      <a:ext cx="6324600" cy="955675"/>
                    </a:xfrm>
                    <a:prstGeom prst="rect">
                      <a:avLst/>
                    </a:prstGeom>
                    <a:noFill/>
                  </pic:spPr>
                </pic:pic>
              </a:graphicData>
            </a:graphic>
          </wp:anchor>
        </w:drawing>
      </w:r>
    </w:p>
    <w:p>
      <w:pPr>
        <w:spacing w:after="0" w:line="228" w:lineRule="exact"/>
        <w:rPr>
          <w:sz w:val="20"/>
          <w:szCs w:val="20"/>
          <w:color w:val="auto"/>
        </w:rPr>
      </w:pPr>
    </w:p>
    <w:p>
      <w:pPr>
        <w:jc w:val="both"/>
        <w:ind w:right="20" w:firstLine="720"/>
        <w:spacing w:after="0" w:line="258" w:lineRule="auto"/>
        <w:rPr>
          <w:sz w:val="20"/>
          <w:szCs w:val="20"/>
          <w:color w:val="auto"/>
        </w:rPr>
      </w:pPr>
      <w:r>
        <w:rPr>
          <w:rFonts w:ascii="Times New Roman" w:cs="Times New Roman" w:eastAsia="Times New Roman" w:hAnsi="Times New Roman"/>
          <w:sz w:val="20"/>
          <w:szCs w:val="20"/>
          <w:color w:val="auto"/>
        </w:rPr>
        <w:t>We classify our investments in available-for-sale U.S. Treasury securities and the money market fund into Level 1 of the ASC Topic 820 hierarchy because fair values represent quoted market prices for identical or comparable instruments. The Company estimates the fair value of its U.S. government agency securities, corporate debt securities and commercial paper that are considered Level 2 fair values by taking into consideration valuations obtained from third-party pricing services. The pricing services utilize industry standard valuation models, including both income and market-based</w:t>
      </w:r>
    </w:p>
    <w:p>
      <w:pPr>
        <w:sectPr>
          <w:pgSz w:w="12240" w:h="15840" w:orient="portrait"/>
          <w:cols w:equalWidth="0" w:num="1">
            <w:col w:w="9900"/>
          </w:cols>
          <w:pgMar w:left="1180" w:top="208" w:right="1160" w:bottom="0" w:gutter="0" w:footer="0" w:header="0"/>
        </w:sect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139</w:t>
      </w:r>
    </w:p>
    <w:p>
      <w:pPr>
        <w:sectPr>
          <w:pgSz w:w="12240" w:h="15840" w:orient="portrait"/>
          <w:cols w:equalWidth="0" w:num="1">
            <w:col w:w="9900"/>
          </w:cols>
          <w:pgMar w:left="1180" w:top="208" w:right="1160" w:bottom="0" w:gutter="0" w:footer="0" w:header="0"/>
          <w:type w:val="continuous"/>
        </w:sectPr>
      </w:pPr>
    </w:p>
    <w:bookmarkStart w:id="139" w:name="page140"/>
    <w:bookmarkEnd w:id="139"/>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Centessa Pharmaceuticals plc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24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approaches, for which all significant inputs are observable, either directly or indirectly, to estimate fair value. These inputs include reported trades of and broker/dealer quotes on the same or similar securities, issuer credit spreads; benchmark securities; prepayment/default projections based on historical data; and other observable inputs.</w:t>
      </w:r>
    </w:p>
    <w:p>
      <w:pPr>
        <w:spacing w:after="0" w:line="195" w:lineRule="exact"/>
        <w:rPr>
          <w:sz w:val="20"/>
          <w:szCs w:val="20"/>
          <w:color w:val="auto"/>
        </w:rPr>
      </w:pPr>
    </w:p>
    <w:p>
      <w:pPr>
        <w:jc w:val="both"/>
        <w:ind w:right="20" w:firstLine="720"/>
        <w:spacing w:after="0" w:line="281" w:lineRule="auto"/>
        <w:rPr>
          <w:sz w:val="20"/>
          <w:szCs w:val="20"/>
          <w:color w:val="auto"/>
        </w:rPr>
      </w:pPr>
      <w:r>
        <w:rPr>
          <w:rFonts w:ascii="Times New Roman" w:cs="Times New Roman" w:eastAsia="Times New Roman" w:hAnsi="Times New Roman"/>
          <w:sz w:val="20"/>
          <w:szCs w:val="20"/>
          <w:color w:val="auto"/>
        </w:rPr>
        <w:t>The following represents the amortized cost bases and fair values of the Company’s investments and money market fund as of December 31, 2025 (amounts in thousands):</w:t>
      </w:r>
    </w:p>
    <w:p>
      <w:pPr>
        <w:spacing w:after="0" w:line="120"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3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vMerge w:val="restart"/>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60" w:type="dxa"/>
            <w:vAlign w:val="bottom"/>
          </w:tcPr>
          <w:p>
            <w:pPr>
              <w:spacing w:after="0"/>
              <w:rPr>
                <w:sz w:val="16"/>
                <w:szCs w:val="16"/>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Gross Unrealized</w:t>
            </w:r>
          </w:p>
        </w:tc>
        <w:tc>
          <w:tcPr>
            <w:tcW w:w="60" w:type="dxa"/>
            <w:vAlign w:val="bottom"/>
          </w:tcPr>
          <w:p>
            <w:pPr>
              <w:spacing w:after="0"/>
              <w:rPr>
                <w:sz w:val="16"/>
                <w:szCs w:val="16"/>
                <w:color w:val="auto"/>
              </w:rPr>
            </w:pPr>
          </w:p>
        </w:tc>
        <w:tc>
          <w:tcPr>
            <w:tcW w:w="1380" w:type="dxa"/>
            <w:vAlign w:val="bottom"/>
            <w:gridSpan w:val="2"/>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Gross Unrealized</w:t>
            </w: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vMerge w:val="restart"/>
          </w:tcPr>
          <w:p>
            <w:pPr>
              <w:jc w:val="right"/>
              <w:ind w:right="361"/>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214"/>
        </w:trPr>
        <w:tc>
          <w:tcPr>
            <w:tcW w:w="38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6"/>
                <w:szCs w:val="16"/>
                <w:b w:val="1"/>
                <w:bCs w:val="1"/>
                <w:color w:val="auto"/>
              </w:rPr>
              <w:t>Gains</w:t>
            </w:r>
          </w:p>
        </w:tc>
        <w:tc>
          <w:tcPr>
            <w:tcW w:w="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02"/>
        </w:trPr>
        <w:tc>
          <w:tcPr>
            <w:tcW w:w="3880" w:type="dxa"/>
            <w:vAlign w:val="bottom"/>
          </w:tcPr>
          <w:p>
            <w:pPr>
              <w:spacing w:after="0"/>
              <w:rPr>
                <w:sz w:val="20"/>
                <w:szCs w:val="20"/>
                <w:color w:val="auto"/>
              </w:rPr>
            </w:pPr>
            <w:r>
              <w:rPr>
                <w:rFonts w:ascii="Times New Roman" w:cs="Times New Roman" w:eastAsia="Times New Roman" w:hAnsi="Times New Roman"/>
                <w:sz w:val="20"/>
                <w:szCs w:val="20"/>
                <w:color w:val="auto"/>
              </w:rPr>
              <w:t>Money Market fund, included in Cash and cash</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23,970</w:t>
            </w:r>
          </w:p>
        </w:tc>
        <w:tc>
          <w:tcPr>
            <w:tcW w:w="360" w:type="dxa"/>
            <w:vAlign w:val="bottom"/>
            <w:gridSpan w:val="2"/>
            <w:vMerge w:val="restart"/>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vMerge w:val="restart"/>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3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340" w:type="dxa"/>
            <w:vAlign w:val="bottom"/>
            <w:vMerge w:val="restart"/>
          </w:tcPr>
          <w:p>
            <w:pPr>
              <w:jc w:val="right"/>
              <w:ind w:right="1"/>
              <w:spacing w:after="0"/>
              <w:rPr>
                <w:sz w:val="20"/>
                <w:szCs w:val="20"/>
                <w:color w:val="auto"/>
              </w:rPr>
            </w:pPr>
            <w:r>
              <w:rPr>
                <w:rFonts w:ascii="Times New Roman" w:cs="Times New Roman" w:eastAsia="Times New Roman" w:hAnsi="Times New Roman"/>
                <w:sz w:val="20"/>
                <w:szCs w:val="20"/>
                <w:color w:val="auto"/>
              </w:rPr>
              <w:t>23,970</w:t>
            </w:r>
          </w:p>
        </w:tc>
        <w:tc>
          <w:tcPr>
            <w:tcW w:w="0" w:type="dxa"/>
            <w:vAlign w:val="bottom"/>
          </w:tcPr>
          <w:p>
            <w:pPr>
              <w:spacing w:after="0"/>
              <w:rPr>
                <w:sz w:val="1"/>
                <w:szCs w:val="1"/>
                <w:color w:val="auto"/>
              </w:rPr>
            </w:pPr>
          </w:p>
        </w:tc>
      </w:tr>
      <w:tr>
        <w:trPr>
          <w:trHeight w:val="248"/>
        </w:trPr>
        <w:tc>
          <w:tcPr>
            <w:tcW w:w="3880" w:type="dxa"/>
            <w:vAlign w:val="bottom"/>
          </w:tcPr>
          <w:p>
            <w:pPr>
              <w:spacing w:after="0"/>
              <w:rPr>
                <w:sz w:val="20"/>
                <w:szCs w:val="20"/>
                <w:color w:val="auto"/>
              </w:rPr>
            </w:pPr>
            <w:r>
              <w:rPr>
                <w:rFonts w:ascii="Times New Roman" w:cs="Times New Roman" w:eastAsia="Times New Roman" w:hAnsi="Times New Roman"/>
                <w:sz w:val="20"/>
                <w:szCs w:val="20"/>
                <w:color w:val="auto"/>
              </w:rPr>
              <w:t>equivalents</w:t>
            </w:r>
          </w:p>
        </w:tc>
        <w:tc>
          <w:tcPr>
            <w:tcW w:w="180" w:type="dxa"/>
            <w:vAlign w:val="bottom"/>
            <w:tcBorders>
              <w:bottom w:val="single" w:sz="8" w:color="auto"/>
            </w:tcBorders>
            <w:vMerge w:val="continue"/>
          </w:tcPr>
          <w:p>
            <w:pPr>
              <w:spacing w:after="0"/>
              <w:rPr>
                <w:sz w:val="21"/>
                <w:szCs w:val="21"/>
                <w:color w:val="auto"/>
              </w:rPr>
            </w:pPr>
          </w:p>
        </w:tc>
        <w:tc>
          <w:tcPr>
            <w:tcW w:w="1320" w:type="dxa"/>
            <w:vAlign w:val="bottom"/>
            <w:tcBorders>
              <w:bottom w:val="single" w:sz="8" w:color="auto"/>
            </w:tcBorders>
            <w:vMerge w:val="continue"/>
          </w:tcPr>
          <w:p>
            <w:pPr>
              <w:spacing w:after="0"/>
              <w:rPr>
                <w:sz w:val="21"/>
                <w:szCs w:val="21"/>
                <w:color w:val="auto"/>
              </w:rPr>
            </w:pPr>
          </w:p>
        </w:tc>
        <w:tc>
          <w:tcPr>
            <w:tcW w:w="360" w:type="dxa"/>
            <w:vAlign w:val="bottom"/>
            <w:tcBorders>
              <w:bottom w:val="single" w:sz="8" w:color="auto"/>
            </w:tcBorders>
            <w:gridSpan w:val="2"/>
            <w:vMerge w:val="continue"/>
          </w:tcPr>
          <w:p>
            <w:pPr>
              <w:spacing w:after="0"/>
              <w:rPr>
                <w:sz w:val="21"/>
                <w:szCs w:val="21"/>
                <w:color w:val="auto"/>
              </w:rPr>
            </w:pPr>
          </w:p>
        </w:tc>
        <w:tc>
          <w:tcPr>
            <w:tcW w:w="1000" w:type="dxa"/>
            <w:vAlign w:val="bottom"/>
            <w:tcBorders>
              <w:bottom w:val="single" w:sz="8" w:color="auto"/>
            </w:tcBorders>
            <w:vMerge w:val="continue"/>
          </w:tcPr>
          <w:p>
            <w:pPr>
              <w:spacing w:after="0"/>
              <w:rPr>
                <w:sz w:val="21"/>
                <w:szCs w:val="21"/>
                <w:color w:val="auto"/>
              </w:rPr>
            </w:pPr>
          </w:p>
        </w:tc>
        <w:tc>
          <w:tcPr>
            <w:tcW w:w="380" w:type="dxa"/>
            <w:vAlign w:val="bottom"/>
            <w:tcBorders>
              <w:bottom w:val="single" w:sz="8" w:color="auto"/>
            </w:tcBorders>
            <w:gridSpan w:val="2"/>
            <w:vMerge w:val="continue"/>
          </w:tcPr>
          <w:p>
            <w:pPr>
              <w:spacing w:after="0"/>
              <w:rPr>
                <w:sz w:val="21"/>
                <w:szCs w:val="21"/>
                <w:color w:val="auto"/>
              </w:rPr>
            </w:pPr>
          </w:p>
        </w:tc>
        <w:tc>
          <w:tcPr>
            <w:tcW w:w="1060" w:type="dxa"/>
            <w:vAlign w:val="bottom"/>
            <w:tcBorders>
              <w:bottom w:val="single" w:sz="8" w:color="auto"/>
            </w:tcBorders>
            <w:vMerge w:val="continue"/>
          </w:tcPr>
          <w:p>
            <w:pPr>
              <w:spacing w:after="0"/>
              <w:rPr>
                <w:sz w:val="21"/>
                <w:szCs w:val="21"/>
                <w:color w:val="auto"/>
              </w:rPr>
            </w:pPr>
          </w:p>
        </w:tc>
        <w:tc>
          <w:tcPr>
            <w:tcW w:w="340" w:type="dxa"/>
            <w:vAlign w:val="bottom"/>
            <w:tcBorders>
              <w:bottom w:val="single" w:sz="8" w:color="auto"/>
            </w:tcBorders>
            <w:gridSpan w:val="2"/>
            <w:vMerge w:val="continue"/>
          </w:tcPr>
          <w:p>
            <w:pPr>
              <w:spacing w:after="0"/>
              <w:rPr>
                <w:sz w:val="21"/>
                <w:szCs w:val="21"/>
                <w:color w:val="auto"/>
              </w:rPr>
            </w:pPr>
          </w:p>
        </w:tc>
        <w:tc>
          <w:tcPr>
            <w:tcW w:w="134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U.S. Treasury and government agency</w:t>
            </w: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7"/>
        </w:trPr>
        <w:tc>
          <w:tcPr>
            <w:tcW w:w="38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3880" w:type="dxa"/>
            <w:vAlign w:val="bottom"/>
          </w:tcPr>
          <w:p>
            <w:pPr>
              <w:spacing w:after="0"/>
              <w:rPr>
                <w:sz w:val="20"/>
                <w:szCs w:val="20"/>
                <w:color w:val="auto"/>
              </w:rPr>
            </w:pPr>
            <w:r>
              <w:rPr>
                <w:rFonts w:ascii="Times New Roman" w:cs="Times New Roman" w:eastAsia="Times New Roman" w:hAnsi="Times New Roman"/>
                <w:sz w:val="20"/>
                <w:szCs w:val="20"/>
                <w:color w:val="auto"/>
              </w:rPr>
              <w:t>securities, included in:</w:t>
            </w:r>
          </w:p>
        </w:tc>
        <w:tc>
          <w:tcPr>
            <w:tcW w:w="1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388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Cash and cash equivalents</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9,974</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3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9,975</w:t>
            </w:r>
          </w:p>
        </w:tc>
        <w:tc>
          <w:tcPr>
            <w:tcW w:w="0" w:type="dxa"/>
            <w:vAlign w:val="bottom"/>
          </w:tcPr>
          <w:p>
            <w:pPr>
              <w:spacing w:after="0"/>
              <w:rPr>
                <w:sz w:val="1"/>
                <w:szCs w:val="1"/>
                <w:color w:val="auto"/>
              </w:rPr>
            </w:pPr>
          </w:p>
        </w:tc>
      </w:tr>
      <w:tr>
        <w:trPr>
          <w:trHeight w:val="285"/>
        </w:trPr>
        <w:tc>
          <w:tcPr>
            <w:tcW w:w="388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Short-term investments</w:t>
            </w:r>
          </w:p>
        </w:tc>
        <w:tc>
          <w:tcPr>
            <w:tcW w:w="18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134,625</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134,677</w:t>
            </w:r>
          </w:p>
        </w:tc>
        <w:tc>
          <w:tcPr>
            <w:tcW w:w="0" w:type="dxa"/>
            <w:vAlign w:val="bottom"/>
          </w:tcPr>
          <w:p>
            <w:pPr>
              <w:spacing w:after="0"/>
              <w:rPr>
                <w:sz w:val="1"/>
                <w:szCs w:val="1"/>
                <w:color w:val="auto"/>
              </w:rPr>
            </w:pPr>
          </w:p>
        </w:tc>
      </w:tr>
      <w:tr>
        <w:trPr>
          <w:trHeight w:val="285"/>
        </w:trPr>
        <w:tc>
          <w:tcPr>
            <w:tcW w:w="388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Long-term investments</w:t>
            </w:r>
          </w:p>
        </w:tc>
        <w:tc>
          <w:tcPr>
            <w:tcW w:w="18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163,141</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163,080</w:t>
            </w:r>
          </w:p>
        </w:tc>
        <w:tc>
          <w:tcPr>
            <w:tcW w:w="0" w:type="dxa"/>
            <w:vAlign w:val="bottom"/>
          </w:tcPr>
          <w:p>
            <w:pPr>
              <w:spacing w:after="0"/>
              <w:rPr>
                <w:sz w:val="1"/>
                <w:szCs w:val="1"/>
                <w:color w:val="auto"/>
              </w:rPr>
            </w:pPr>
          </w:p>
        </w:tc>
      </w:tr>
      <w:tr>
        <w:trPr>
          <w:trHeight w:val="235"/>
        </w:trPr>
        <w:tc>
          <w:tcPr>
            <w:tcW w:w="3880" w:type="dxa"/>
            <w:vAlign w:val="bottom"/>
          </w:tcPr>
          <w:p>
            <w:pPr>
              <w:spacing w:after="0"/>
              <w:rPr>
                <w:sz w:val="20"/>
                <w:szCs w:val="20"/>
                <w:color w:val="auto"/>
              </w:rPr>
            </w:pPr>
            <w:r>
              <w:rPr>
                <w:rFonts w:ascii="Times New Roman" w:cs="Times New Roman" w:eastAsia="Times New Roman" w:hAnsi="Times New Roman"/>
                <w:sz w:val="20"/>
                <w:szCs w:val="20"/>
                <w:color w:val="auto"/>
              </w:rPr>
              <w:t>Total U.S. Treasury and government agency</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307,740</w:t>
            </w:r>
          </w:p>
        </w:tc>
        <w:tc>
          <w:tcPr>
            <w:tcW w:w="360" w:type="dxa"/>
            <w:vAlign w:val="bottom"/>
            <w:gridSpan w:val="2"/>
            <w:vMerge w:val="restart"/>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101</w:t>
            </w:r>
          </w:p>
        </w:tc>
        <w:tc>
          <w:tcPr>
            <w:tcW w:w="3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(109)</w:t>
            </w:r>
          </w:p>
        </w:tc>
        <w:tc>
          <w:tcPr>
            <w:tcW w:w="3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340" w:type="dxa"/>
            <w:vAlign w:val="bottom"/>
            <w:vMerge w:val="restart"/>
          </w:tcPr>
          <w:p>
            <w:pPr>
              <w:jc w:val="right"/>
              <w:ind w:right="1"/>
              <w:spacing w:after="0"/>
              <w:rPr>
                <w:sz w:val="20"/>
                <w:szCs w:val="20"/>
                <w:color w:val="auto"/>
              </w:rPr>
            </w:pPr>
            <w:r>
              <w:rPr>
                <w:rFonts w:ascii="Times New Roman" w:cs="Times New Roman" w:eastAsia="Times New Roman" w:hAnsi="Times New Roman"/>
                <w:sz w:val="20"/>
                <w:szCs w:val="20"/>
                <w:color w:val="auto"/>
              </w:rPr>
              <w:t>307,732</w:t>
            </w:r>
          </w:p>
        </w:tc>
        <w:tc>
          <w:tcPr>
            <w:tcW w:w="0" w:type="dxa"/>
            <w:vAlign w:val="bottom"/>
          </w:tcPr>
          <w:p>
            <w:pPr>
              <w:spacing w:after="0"/>
              <w:rPr>
                <w:sz w:val="1"/>
                <w:szCs w:val="1"/>
                <w:color w:val="auto"/>
              </w:rPr>
            </w:pPr>
          </w:p>
        </w:tc>
      </w:tr>
      <w:tr>
        <w:trPr>
          <w:trHeight w:val="243"/>
        </w:trPr>
        <w:tc>
          <w:tcPr>
            <w:tcW w:w="3880" w:type="dxa"/>
            <w:vAlign w:val="bottom"/>
          </w:tcPr>
          <w:p>
            <w:pPr>
              <w:spacing w:after="0"/>
              <w:rPr>
                <w:sz w:val="20"/>
                <w:szCs w:val="20"/>
                <w:color w:val="auto"/>
              </w:rPr>
            </w:pPr>
            <w:r>
              <w:rPr>
                <w:rFonts w:ascii="Times New Roman" w:cs="Times New Roman" w:eastAsia="Times New Roman" w:hAnsi="Times New Roman"/>
                <w:sz w:val="20"/>
                <w:szCs w:val="20"/>
                <w:color w:val="auto"/>
              </w:rPr>
              <w:t>securities</w:t>
            </w:r>
          </w:p>
        </w:tc>
        <w:tc>
          <w:tcPr>
            <w:tcW w:w="180" w:type="dxa"/>
            <w:vAlign w:val="bottom"/>
            <w:vMerge w:val="continue"/>
          </w:tcPr>
          <w:p>
            <w:pPr>
              <w:spacing w:after="0"/>
              <w:rPr>
                <w:sz w:val="21"/>
                <w:szCs w:val="21"/>
                <w:color w:val="auto"/>
              </w:rPr>
            </w:pPr>
          </w:p>
        </w:tc>
        <w:tc>
          <w:tcPr>
            <w:tcW w:w="1320" w:type="dxa"/>
            <w:vAlign w:val="bottom"/>
            <w:vMerge w:val="continue"/>
          </w:tcPr>
          <w:p>
            <w:pPr>
              <w:spacing w:after="0"/>
              <w:rPr>
                <w:sz w:val="21"/>
                <w:szCs w:val="21"/>
                <w:color w:val="auto"/>
              </w:rPr>
            </w:pPr>
          </w:p>
        </w:tc>
        <w:tc>
          <w:tcPr>
            <w:tcW w:w="360" w:type="dxa"/>
            <w:vAlign w:val="bottom"/>
            <w:gridSpan w:val="2"/>
            <w:vMerge w:val="continue"/>
          </w:tcPr>
          <w:p>
            <w:pPr>
              <w:spacing w:after="0"/>
              <w:rPr>
                <w:sz w:val="21"/>
                <w:szCs w:val="21"/>
                <w:color w:val="auto"/>
              </w:rPr>
            </w:pPr>
          </w:p>
        </w:tc>
        <w:tc>
          <w:tcPr>
            <w:tcW w:w="1000" w:type="dxa"/>
            <w:vAlign w:val="bottom"/>
            <w:vMerge w:val="continue"/>
          </w:tcPr>
          <w:p>
            <w:pPr>
              <w:spacing w:after="0"/>
              <w:rPr>
                <w:sz w:val="21"/>
                <w:szCs w:val="21"/>
                <w:color w:val="auto"/>
              </w:rPr>
            </w:pPr>
          </w:p>
        </w:tc>
        <w:tc>
          <w:tcPr>
            <w:tcW w:w="380" w:type="dxa"/>
            <w:vAlign w:val="bottom"/>
            <w:gridSpan w:val="2"/>
            <w:vMerge w:val="continue"/>
          </w:tcPr>
          <w:p>
            <w:pPr>
              <w:spacing w:after="0"/>
              <w:rPr>
                <w:sz w:val="21"/>
                <w:szCs w:val="21"/>
                <w:color w:val="auto"/>
              </w:rPr>
            </w:pPr>
          </w:p>
        </w:tc>
        <w:tc>
          <w:tcPr>
            <w:tcW w:w="1060" w:type="dxa"/>
            <w:vAlign w:val="bottom"/>
            <w:vMerge w:val="continue"/>
          </w:tcPr>
          <w:p>
            <w:pPr>
              <w:spacing w:after="0"/>
              <w:rPr>
                <w:sz w:val="21"/>
                <w:szCs w:val="21"/>
                <w:color w:val="auto"/>
              </w:rPr>
            </w:pPr>
          </w:p>
        </w:tc>
        <w:tc>
          <w:tcPr>
            <w:tcW w:w="340" w:type="dxa"/>
            <w:vAlign w:val="bottom"/>
            <w:gridSpan w:val="2"/>
            <w:vMerge w:val="continue"/>
          </w:tcPr>
          <w:p>
            <w:pPr>
              <w:spacing w:after="0"/>
              <w:rPr>
                <w:sz w:val="21"/>
                <w:szCs w:val="21"/>
                <w:color w:val="auto"/>
              </w:rPr>
            </w:pPr>
          </w:p>
        </w:tc>
        <w:tc>
          <w:tcPr>
            <w:tcW w:w="13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Corporate debt securities, included in:</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38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388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Short-term investments</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63,847</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141</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3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63,988</w:t>
            </w:r>
          </w:p>
        </w:tc>
        <w:tc>
          <w:tcPr>
            <w:tcW w:w="0" w:type="dxa"/>
            <w:vAlign w:val="bottom"/>
          </w:tcPr>
          <w:p>
            <w:pPr>
              <w:spacing w:after="0"/>
              <w:rPr>
                <w:sz w:val="1"/>
                <w:szCs w:val="1"/>
                <w:color w:val="auto"/>
              </w:rPr>
            </w:pPr>
          </w:p>
        </w:tc>
      </w:tr>
      <w:tr>
        <w:trPr>
          <w:trHeight w:val="285"/>
        </w:trPr>
        <w:tc>
          <w:tcPr>
            <w:tcW w:w="388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Long-term investments</w:t>
            </w:r>
          </w:p>
        </w:tc>
        <w:tc>
          <w:tcPr>
            <w:tcW w:w="18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119,279</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252</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119,468</w:t>
            </w:r>
          </w:p>
        </w:tc>
        <w:tc>
          <w:tcPr>
            <w:tcW w:w="0" w:type="dxa"/>
            <w:vAlign w:val="bottom"/>
          </w:tcPr>
          <w:p>
            <w:pPr>
              <w:spacing w:after="0"/>
              <w:rPr>
                <w:sz w:val="1"/>
                <w:szCs w:val="1"/>
                <w:color w:val="auto"/>
              </w:rPr>
            </w:pPr>
          </w:p>
        </w:tc>
      </w:tr>
      <w:tr>
        <w:trPr>
          <w:trHeight w:val="268"/>
        </w:trPr>
        <w:tc>
          <w:tcPr>
            <w:tcW w:w="3880" w:type="dxa"/>
            <w:vAlign w:val="bottom"/>
          </w:tcPr>
          <w:p>
            <w:pPr>
              <w:spacing w:after="0"/>
              <w:rPr>
                <w:sz w:val="20"/>
                <w:szCs w:val="20"/>
                <w:color w:val="auto"/>
              </w:rPr>
            </w:pPr>
            <w:r>
              <w:rPr>
                <w:rFonts w:ascii="Times New Roman" w:cs="Times New Roman" w:eastAsia="Times New Roman" w:hAnsi="Times New Roman"/>
                <w:sz w:val="20"/>
                <w:szCs w:val="20"/>
                <w:color w:val="auto"/>
              </w:rPr>
              <w:t>Total Corporate debt securities</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183,126</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393</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3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183,456</w:t>
            </w:r>
          </w:p>
        </w:tc>
        <w:tc>
          <w:tcPr>
            <w:tcW w:w="0" w:type="dxa"/>
            <w:vAlign w:val="bottom"/>
          </w:tcPr>
          <w:p>
            <w:pPr>
              <w:spacing w:after="0"/>
              <w:rPr>
                <w:sz w:val="1"/>
                <w:szCs w:val="1"/>
                <w:color w:val="auto"/>
              </w:rPr>
            </w:pPr>
          </w:p>
        </w:tc>
      </w:tr>
      <w:tr>
        <w:trPr>
          <w:trHeight w:val="20"/>
        </w:trPr>
        <w:tc>
          <w:tcPr>
            <w:tcW w:w="38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Commercial paper, included in:</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38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388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Short-term investments</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34,605</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3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34,616</w:t>
            </w:r>
          </w:p>
        </w:tc>
        <w:tc>
          <w:tcPr>
            <w:tcW w:w="0" w:type="dxa"/>
            <w:vAlign w:val="bottom"/>
          </w:tcPr>
          <w:p>
            <w:pPr>
              <w:spacing w:after="0"/>
              <w:rPr>
                <w:sz w:val="1"/>
                <w:szCs w:val="1"/>
                <w:color w:val="auto"/>
              </w:rPr>
            </w:pPr>
          </w:p>
        </w:tc>
      </w:tr>
      <w:tr>
        <w:trPr>
          <w:trHeight w:val="268"/>
        </w:trPr>
        <w:tc>
          <w:tcPr>
            <w:tcW w:w="3880" w:type="dxa"/>
            <w:vAlign w:val="bottom"/>
          </w:tcPr>
          <w:p>
            <w:pPr>
              <w:spacing w:after="0"/>
              <w:rPr>
                <w:sz w:val="20"/>
                <w:szCs w:val="20"/>
                <w:color w:val="auto"/>
              </w:rPr>
            </w:pPr>
            <w:r>
              <w:rPr>
                <w:rFonts w:ascii="Times New Roman" w:cs="Times New Roman" w:eastAsia="Times New Roman" w:hAnsi="Times New Roman"/>
                <w:sz w:val="20"/>
                <w:szCs w:val="20"/>
                <w:color w:val="auto"/>
              </w:rPr>
              <w:t>Total Commercial paper</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34,605</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3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34,616</w:t>
            </w:r>
          </w:p>
        </w:tc>
        <w:tc>
          <w:tcPr>
            <w:tcW w:w="0" w:type="dxa"/>
            <w:vAlign w:val="bottom"/>
          </w:tcPr>
          <w:p>
            <w:pPr>
              <w:spacing w:after="0"/>
              <w:rPr>
                <w:sz w:val="1"/>
                <w:szCs w:val="1"/>
                <w:color w:val="auto"/>
              </w:rPr>
            </w:pPr>
          </w:p>
        </w:tc>
      </w:tr>
      <w:tr>
        <w:trPr>
          <w:trHeight w:val="20"/>
        </w:trPr>
        <w:tc>
          <w:tcPr>
            <w:tcW w:w="38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In aggregate:</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38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3880" w:type="dxa"/>
            <w:vAlign w:val="bottom"/>
          </w:tcPr>
          <w:p>
            <w:pPr>
              <w:spacing w:after="0"/>
              <w:rPr>
                <w:sz w:val="20"/>
                <w:szCs w:val="20"/>
                <w:color w:val="auto"/>
              </w:rPr>
            </w:pPr>
            <w:r>
              <w:rPr>
                <w:rFonts w:ascii="Times New Roman" w:cs="Times New Roman" w:eastAsia="Times New Roman" w:hAnsi="Times New Roman"/>
                <w:sz w:val="20"/>
                <w:szCs w:val="20"/>
                <w:color w:val="auto"/>
              </w:rPr>
              <w:t>Investments above with no unrealized loss</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309,888</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505</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3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310,393</w:t>
            </w:r>
          </w:p>
        </w:tc>
        <w:tc>
          <w:tcPr>
            <w:tcW w:w="0" w:type="dxa"/>
            <w:vAlign w:val="bottom"/>
          </w:tcPr>
          <w:p>
            <w:pPr>
              <w:spacing w:after="0"/>
              <w:rPr>
                <w:sz w:val="1"/>
                <w:szCs w:val="1"/>
                <w:color w:val="auto"/>
              </w:rPr>
            </w:pPr>
          </w:p>
        </w:tc>
      </w:tr>
      <w:tr>
        <w:trPr>
          <w:trHeight w:val="285"/>
        </w:trPr>
        <w:tc>
          <w:tcPr>
            <w:tcW w:w="3880" w:type="dxa"/>
            <w:vAlign w:val="bottom"/>
          </w:tcPr>
          <w:p>
            <w:pPr>
              <w:spacing w:after="0"/>
              <w:rPr>
                <w:sz w:val="20"/>
                <w:szCs w:val="20"/>
                <w:color w:val="auto"/>
              </w:rPr>
            </w:pPr>
            <w:r>
              <w:rPr>
                <w:rFonts w:ascii="Times New Roman" w:cs="Times New Roman" w:eastAsia="Times New Roman" w:hAnsi="Times New Roman"/>
                <w:sz w:val="20"/>
                <w:szCs w:val="20"/>
                <w:color w:val="auto"/>
              </w:rPr>
              <w:t>Investments above with unrealized loss</w:t>
            </w:r>
          </w:p>
        </w:tc>
        <w:tc>
          <w:tcPr>
            <w:tcW w:w="18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239,553</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(172)</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239,381</w:t>
            </w:r>
          </w:p>
        </w:tc>
        <w:tc>
          <w:tcPr>
            <w:tcW w:w="0" w:type="dxa"/>
            <w:vAlign w:val="bottom"/>
          </w:tcPr>
          <w:p>
            <w:pPr>
              <w:spacing w:after="0"/>
              <w:rPr>
                <w:sz w:val="1"/>
                <w:szCs w:val="1"/>
                <w:color w:val="auto"/>
              </w:rPr>
            </w:pPr>
          </w:p>
        </w:tc>
      </w:tr>
      <w:tr>
        <w:trPr>
          <w:trHeight w:val="268"/>
        </w:trPr>
        <w:tc>
          <w:tcPr>
            <w:tcW w:w="3880" w:type="dxa"/>
            <w:vAlign w:val="bottom"/>
          </w:tcPr>
          <w:p>
            <w:pPr>
              <w:spacing w:after="0"/>
              <w:rPr>
                <w:sz w:val="20"/>
                <w:szCs w:val="20"/>
                <w:color w:val="auto"/>
              </w:rPr>
            </w:pPr>
            <w:r>
              <w:rPr>
                <w:rFonts w:ascii="Times New Roman" w:cs="Times New Roman" w:eastAsia="Times New Roman" w:hAnsi="Times New Roman"/>
                <w:sz w:val="20"/>
                <w:szCs w:val="20"/>
                <w:color w:val="auto"/>
              </w:rPr>
              <w:t>Total investments</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549,441</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505</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(172)</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3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549,774</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-4288790</wp:posOffset>
            </wp:positionV>
            <wp:extent cx="6324600" cy="43084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6">
                      <a:extLst>
                        <a:ext uri="{28A0092B-C50C-407E-A947-70E740481C1C}"/>
                      </a:extLst>
                    </a:blip>
                    <a:srcRect/>
                    <a:stretch>
                      <a:fillRect/>
                    </a:stretch>
                  </pic:blipFill>
                  <pic:spPr bwMode="auto">
                    <a:xfrm>
                      <a:off x="0" y="0"/>
                      <a:ext cx="6324600" cy="4308475"/>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jc w:val="both"/>
        <w:ind w:right="20" w:firstLine="720"/>
        <w:spacing w:after="0" w:line="256" w:lineRule="auto"/>
        <w:rPr>
          <w:sz w:val="20"/>
          <w:szCs w:val="20"/>
          <w:color w:val="auto"/>
        </w:rPr>
      </w:pPr>
      <w:r>
        <w:rPr>
          <w:rFonts w:ascii="Times New Roman" w:cs="Times New Roman" w:eastAsia="Times New Roman" w:hAnsi="Times New Roman"/>
          <w:sz w:val="20"/>
          <w:szCs w:val="20"/>
          <w:color w:val="auto"/>
        </w:rPr>
        <w:t>At the end of December 31, 2025, the Company held approximately 79 securities, of which 37 were in an unrealized loss position as of the end of the period, with an aggregate fair value of $239.4 million. The Company has not recorded any allowance for credit losses as of December 31, 2025 as it believes the decline in fair value below amortized cost is not related to credit losses. These investments in an unrealized loss position were in this position for less than 12 months and there has been no change in the credit risk of such securities during the period. The Company does not intend to sell its investments and it is not more likely than not that the Company will be required to sell the securities before</w:t>
      </w:r>
    </w:p>
    <w:p>
      <w:pPr>
        <w:sectPr>
          <w:pgSz w:w="12240" w:h="15840" w:orient="portrait"/>
          <w:cols w:equalWidth="0" w:num="1">
            <w:col w:w="9900"/>
          </w:cols>
          <w:pgMar w:left="1180" w:top="20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140</w:t>
      </w:r>
    </w:p>
    <w:p>
      <w:pPr>
        <w:sectPr>
          <w:pgSz w:w="12240" w:h="15840" w:orient="portrait"/>
          <w:cols w:equalWidth="0" w:num="1">
            <w:col w:w="9900"/>
          </w:cols>
          <w:pgMar w:left="1180" w:top="208" w:right="1160" w:bottom="0" w:gutter="0" w:footer="0" w:header="0"/>
          <w:type w:val="continuous"/>
        </w:sectPr>
      </w:pPr>
    </w:p>
    <w:bookmarkStart w:id="140" w:name="page141"/>
    <w:bookmarkEnd w:id="140"/>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Centessa Pharmaceuticals plc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243"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20"/>
          <w:szCs w:val="20"/>
          <w:color w:val="auto"/>
        </w:rPr>
        <w:t>recovery of the amortized cost basis of its debt securities. Securities are evaluated at the end of each reporting period for evidence of the credit-related impairment.</w:t>
      </w:r>
    </w:p>
    <w:p>
      <w:pPr>
        <w:spacing w:after="0" w:line="181" w:lineRule="exact"/>
        <w:rPr>
          <w:sz w:val="20"/>
          <w:szCs w:val="20"/>
          <w:color w:val="auto"/>
        </w:rPr>
      </w:pPr>
    </w:p>
    <w:p>
      <w:pPr>
        <w:ind w:right="20" w:firstLine="720"/>
        <w:spacing w:after="0" w:line="281" w:lineRule="auto"/>
        <w:rPr>
          <w:sz w:val="20"/>
          <w:szCs w:val="20"/>
          <w:color w:val="auto"/>
        </w:rPr>
      </w:pPr>
      <w:r>
        <w:rPr>
          <w:rFonts w:ascii="Times New Roman" w:cs="Times New Roman" w:eastAsia="Times New Roman" w:hAnsi="Times New Roman"/>
          <w:sz w:val="20"/>
          <w:szCs w:val="20"/>
          <w:color w:val="auto"/>
        </w:rPr>
        <w:t>The following represents the amortized cost bases and fair values of the Company’s investments and its money market fund as of December 31, 2024 (amounts in thousands):</w:t>
      </w:r>
    </w:p>
    <w:p>
      <w:pPr>
        <w:spacing w:after="0" w:line="120"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3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vMerge w:val="restart"/>
          </w:tcPr>
          <w:p>
            <w:pPr>
              <w:jc w:val="right"/>
              <w:ind w:right="184"/>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tcPr>
          <w:p>
            <w:pPr>
              <w:jc w:val="right"/>
              <w:ind w:right="127"/>
              <w:spacing w:after="0"/>
              <w:rPr>
                <w:sz w:val="20"/>
                <w:szCs w:val="20"/>
                <w:color w:val="auto"/>
              </w:rPr>
            </w:pPr>
            <w:r>
              <w:rPr>
                <w:rFonts w:ascii="Times New Roman" w:cs="Times New Roman" w:eastAsia="Times New Roman" w:hAnsi="Times New Roman"/>
                <w:sz w:val="16"/>
                <w:szCs w:val="16"/>
                <w:b w:val="1"/>
                <w:bCs w:val="1"/>
                <w:color w:val="auto"/>
              </w:rPr>
              <w:t>Gross Unrealized</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Gross Unrealized</w:t>
            </w: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vMerge w:val="restart"/>
          </w:tcPr>
          <w:p>
            <w:pPr>
              <w:jc w:val="right"/>
              <w:ind w:right="364"/>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214"/>
        </w:trPr>
        <w:tc>
          <w:tcPr>
            <w:tcW w:w="3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527"/>
              <w:spacing w:after="0"/>
              <w:rPr>
                <w:sz w:val="20"/>
                <w:szCs w:val="20"/>
                <w:color w:val="auto"/>
              </w:rPr>
            </w:pPr>
            <w:r>
              <w:rPr>
                <w:rFonts w:ascii="Times New Roman" w:cs="Times New Roman" w:eastAsia="Times New Roman" w:hAnsi="Times New Roman"/>
                <w:sz w:val="16"/>
                <w:szCs w:val="16"/>
                <w:b w:val="1"/>
                <w:bCs w:val="1"/>
                <w:color w:val="auto"/>
              </w:rPr>
              <w:t>Gains</w:t>
            </w: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02"/>
        </w:trPr>
        <w:tc>
          <w:tcPr>
            <w:tcW w:w="3200" w:type="dxa"/>
            <w:vAlign w:val="bottom"/>
          </w:tcPr>
          <w:p>
            <w:pPr>
              <w:spacing w:after="0"/>
              <w:rPr>
                <w:sz w:val="20"/>
                <w:szCs w:val="20"/>
                <w:color w:val="auto"/>
              </w:rPr>
            </w:pPr>
            <w:r>
              <w:rPr>
                <w:rFonts w:ascii="Times New Roman" w:cs="Times New Roman" w:eastAsia="Times New Roman" w:hAnsi="Times New Roman"/>
                <w:sz w:val="20"/>
                <w:szCs w:val="20"/>
                <w:color w:val="auto"/>
              </w:rPr>
              <w:t>Money Market fund, included in Cash</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20" w:type="dxa"/>
            <w:vAlign w:val="bottom"/>
            <w:vMerge w:val="restart"/>
          </w:tcPr>
          <w:p>
            <w:pPr>
              <w:jc w:val="right"/>
              <w:ind w:right="4"/>
              <w:spacing w:after="0"/>
              <w:rPr>
                <w:sz w:val="20"/>
                <w:szCs w:val="20"/>
                <w:color w:val="auto"/>
              </w:rPr>
            </w:pPr>
            <w:r>
              <w:rPr>
                <w:rFonts w:ascii="Times New Roman" w:cs="Times New Roman" w:eastAsia="Times New Roman" w:hAnsi="Times New Roman"/>
                <w:sz w:val="20"/>
                <w:szCs w:val="20"/>
                <w:color w:val="auto"/>
              </w:rPr>
              <w:t>217,515</w:t>
            </w:r>
          </w:p>
        </w:tc>
        <w:tc>
          <w:tcPr>
            <w:tcW w:w="2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440" w:type="dxa"/>
            <w:vAlign w:val="bottom"/>
            <w:vMerge w:val="restart"/>
          </w:tcPr>
          <w:p>
            <w:pPr>
              <w:jc w:val="right"/>
              <w:ind w:right="7"/>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440" w:type="dxa"/>
            <w:vAlign w:val="bottom"/>
            <w:vMerge w:val="restart"/>
          </w:tcPr>
          <w:p>
            <w:pPr>
              <w:ind w:left="1140"/>
              <w:spacing w:after="0"/>
              <w:rPr>
                <w:sz w:val="20"/>
                <w:szCs w:val="20"/>
                <w:color w:val="auto"/>
              </w:rPr>
            </w:pPr>
            <w:r>
              <w:rPr>
                <w:rFonts w:ascii="Times New Roman" w:cs="Times New Roman" w:eastAsia="Times New Roman" w:hAnsi="Times New Roman"/>
                <w:sz w:val="20"/>
                <w:szCs w:val="20"/>
                <w:color w:val="auto"/>
              </w:rPr>
              <w:t>—</w:t>
            </w:r>
          </w:p>
        </w:tc>
        <w:tc>
          <w:tcPr>
            <w:tcW w:w="3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340" w:type="dxa"/>
            <w:vAlign w:val="bottom"/>
            <w:vMerge w:val="restart"/>
          </w:tcPr>
          <w:p>
            <w:pPr>
              <w:jc w:val="right"/>
              <w:ind w:right="4"/>
              <w:spacing w:after="0"/>
              <w:rPr>
                <w:sz w:val="20"/>
                <w:szCs w:val="20"/>
                <w:color w:val="auto"/>
              </w:rPr>
            </w:pPr>
            <w:r>
              <w:rPr>
                <w:rFonts w:ascii="Times New Roman" w:cs="Times New Roman" w:eastAsia="Times New Roman" w:hAnsi="Times New Roman"/>
                <w:sz w:val="20"/>
                <w:szCs w:val="20"/>
                <w:color w:val="auto"/>
              </w:rPr>
              <w:t>217,515</w:t>
            </w:r>
          </w:p>
        </w:tc>
        <w:tc>
          <w:tcPr>
            <w:tcW w:w="0" w:type="dxa"/>
            <w:vAlign w:val="bottom"/>
          </w:tcPr>
          <w:p>
            <w:pPr>
              <w:spacing w:after="0"/>
              <w:rPr>
                <w:sz w:val="1"/>
                <w:szCs w:val="1"/>
                <w:color w:val="auto"/>
              </w:rPr>
            </w:pPr>
          </w:p>
        </w:tc>
      </w:tr>
      <w:tr>
        <w:trPr>
          <w:trHeight w:val="243"/>
        </w:trPr>
        <w:tc>
          <w:tcPr>
            <w:tcW w:w="3200" w:type="dxa"/>
            <w:vAlign w:val="bottom"/>
          </w:tcPr>
          <w:p>
            <w:pPr>
              <w:spacing w:after="0"/>
              <w:rPr>
                <w:sz w:val="20"/>
                <w:szCs w:val="20"/>
                <w:color w:val="auto"/>
              </w:rPr>
            </w:pPr>
            <w:r>
              <w:rPr>
                <w:rFonts w:ascii="Times New Roman" w:cs="Times New Roman" w:eastAsia="Times New Roman" w:hAnsi="Times New Roman"/>
                <w:sz w:val="20"/>
                <w:szCs w:val="20"/>
                <w:color w:val="auto"/>
              </w:rPr>
              <w:t>and cash equivalents</w:t>
            </w:r>
          </w:p>
        </w:tc>
        <w:tc>
          <w:tcPr>
            <w:tcW w:w="200" w:type="dxa"/>
            <w:vAlign w:val="bottom"/>
            <w:vMerge w:val="continue"/>
          </w:tcPr>
          <w:p>
            <w:pPr>
              <w:spacing w:after="0"/>
              <w:rPr>
                <w:sz w:val="21"/>
                <w:szCs w:val="21"/>
                <w:color w:val="auto"/>
              </w:rPr>
            </w:pPr>
          </w:p>
        </w:tc>
        <w:tc>
          <w:tcPr>
            <w:tcW w:w="1420" w:type="dxa"/>
            <w:vAlign w:val="bottom"/>
            <w:vMerge w:val="continue"/>
          </w:tcPr>
          <w:p>
            <w:pPr>
              <w:spacing w:after="0"/>
              <w:rPr>
                <w:sz w:val="21"/>
                <w:szCs w:val="21"/>
                <w:color w:val="auto"/>
              </w:rPr>
            </w:pPr>
          </w:p>
        </w:tc>
        <w:tc>
          <w:tcPr>
            <w:tcW w:w="240" w:type="dxa"/>
            <w:vAlign w:val="bottom"/>
            <w:gridSpan w:val="2"/>
            <w:vMerge w:val="continue"/>
          </w:tcPr>
          <w:p>
            <w:pPr>
              <w:spacing w:after="0"/>
              <w:rPr>
                <w:sz w:val="21"/>
                <w:szCs w:val="21"/>
                <w:color w:val="auto"/>
              </w:rPr>
            </w:pPr>
          </w:p>
        </w:tc>
        <w:tc>
          <w:tcPr>
            <w:tcW w:w="1440" w:type="dxa"/>
            <w:vAlign w:val="bottom"/>
            <w:vMerge w:val="continue"/>
          </w:tcPr>
          <w:p>
            <w:pPr>
              <w:spacing w:after="0"/>
              <w:rPr>
                <w:sz w:val="21"/>
                <w:szCs w:val="21"/>
                <w:color w:val="auto"/>
              </w:rPr>
            </w:pPr>
          </w:p>
        </w:tc>
        <w:tc>
          <w:tcPr>
            <w:tcW w:w="240" w:type="dxa"/>
            <w:vAlign w:val="bottom"/>
            <w:gridSpan w:val="2"/>
            <w:vMerge w:val="continue"/>
          </w:tcPr>
          <w:p>
            <w:pPr>
              <w:spacing w:after="0"/>
              <w:rPr>
                <w:sz w:val="21"/>
                <w:szCs w:val="21"/>
                <w:color w:val="auto"/>
              </w:rPr>
            </w:pPr>
          </w:p>
        </w:tc>
        <w:tc>
          <w:tcPr>
            <w:tcW w:w="1440" w:type="dxa"/>
            <w:vAlign w:val="bottom"/>
            <w:vMerge w:val="continue"/>
          </w:tcPr>
          <w:p>
            <w:pPr>
              <w:spacing w:after="0"/>
              <w:rPr>
                <w:sz w:val="21"/>
                <w:szCs w:val="21"/>
                <w:color w:val="auto"/>
              </w:rPr>
            </w:pPr>
          </w:p>
        </w:tc>
        <w:tc>
          <w:tcPr>
            <w:tcW w:w="340" w:type="dxa"/>
            <w:vAlign w:val="bottom"/>
            <w:gridSpan w:val="2"/>
            <w:vMerge w:val="continue"/>
          </w:tcPr>
          <w:p>
            <w:pPr>
              <w:spacing w:after="0"/>
              <w:rPr>
                <w:sz w:val="21"/>
                <w:szCs w:val="21"/>
                <w:color w:val="auto"/>
              </w:rPr>
            </w:pPr>
          </w:p>
        </w:tc>
        <w:tc>
          <w:tcPr>
            <w:tcW w:w="13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2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U.S. Treasury securities, included in:</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7"/>
        </w:trPr>
        <w:tc>
          <w:tcPr>
            <w:tcW w:w="32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32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Cash and cash equivalents</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2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72,762</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440" w:type="dxa"/>
            <w:vAlign w:val="bottom"/>
          </w:tcPr>
          <w:p>
            <w:pPr>
              <w:jc w:val="right"/>
              <w:ind w:right="7"/>
              <w:spacing w:after="0"/>
              <w:rPr>
                <w:sz w:val="20"/>
                <w:szCs w:val="20"/>
                <w:color w:val="auto"/>
              </w:rPr>
            </w:pPr>
            <w:r>
              <w:rPr>
                <w:rFonts w:ascii="Times New Roman" w:cs="Times New Roman" w:eastAsia="Times New Roman" w:hAnsi="Times New Roman"/>
                <w:sz w:val="20"/>
                <w:szCs w:val="20"/>
                <w:color w:val="auto"/>
              </w:rPr>
              <w:t>167</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440" w:type="dxa"/>
            <w:vAlign w:val="bottom"/>
          </w:tcPr>
          <w:p>
            <w:pPr>
              <w:ind w:left="1140"/>
              <w:spacing w:after="0"/>
              <w:rPr>
                <w:sz w:val="20"/>
                <w:szCs w:val="20"/>
                <w:color w:val="auto"/>
              </w:rPr>
            </w:pPr>
            <w:r>
              <w:rPr>
                <w:rFonts w:ascii="Times New Roman" w:cs="Times New Roman" w:eastAsia="Times New Roman" w:hAnsi="Times New Roman"/>
                <w:sz w:val="20"/>
                <w:szCs w:val="20"/>
                <w:color w:val="auto"/>
              </w:rPr>
              <w:t>—</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34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72,929</w:t>
            </w:r>
          </w:p>
        </w:tc>
        <w:tc>
          <w:tcPr>
            <w:tcW w:w="0" w:type="dxa"/>
            <w:vAlign w:val="bottom"/>
          </w:tcPr>
          <w:p>
            <w:pPr>
              <w:spacing w:after="0"/>
              <w:rPr>
                <w:sz w:val="1"/>
                <w:szCs w:val="1"/>
                <w:color w:val="auto"/>
              </w:rPr>
            </w:pPr>
          </w:p>
        </w:tc>
      </w:tr>
      <w:tr>
        <w:trPr>
          <w:trHeight w:val="288"/>
        </w:trPr>
        <w:tc>
          <w:tcPr>
            <w:tcW w:w="32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Short-term investments</w:t>
            </w:r>
          </w:p>
        </w:tc>
        <w:tc>
          <w:tcPr>
            <w:tcW w:w="2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20"/>
                <w:szCs w:val="20"/>
                <w:color w:val="auto"/>
              </w:rPr>
              <w:t>95,534</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20"/>
                <w:szCs w:val="20"/>
                <w:color w:val="auto"/>
              </w:rPr>
              <w:t>3,422</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ind w:left="114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20"/>
                <w:szCs w:val="20"/>
                <w:color w:val="auto"/>
              </w:rPr>
              <w:t>98,956</w:t>
            </w:r>
          </w:p>
        </w:tc>
        <w:tc>
          <w:tcPr>
            <w:tcW w:w="0" w:type="dxa"/>
            <w:vAlign w:val="bottom"/>
          </w:tcPr>
          <w:p>
            <w:pPr>
              <w:spacing w:after="0"/>
              <w:rPr>
                <w:sz w:val="1"/>
                <w:szCs w:val="1"/>
                <w:color w:val="auto"/>
              </w:rPr>
            </w:pPr>
          </w:p>
        </w:tc>
      </w:tr>
      <w:tr>
        <w:trPr>
          <w:trHeight w:val="245"/>
        </w:trPr>
        <w:tc>
          <w:tcPr>
            <w:tcW w:w="3200" w:type="dxa"/>
            <w:vAlign w:val="bottom"/>
          </w:tcPr>
          <w:p>
            <w:pPr>
              <w:spacing w:after="0"/>
              <w:rPr>
                <w:sz w:val="20"/>
                <w:szCs w:val="20"/>
                <w:color w:val="auto"/>
              </w:rPr>
            </w:pPr>
            <w:r>
              <w:rPr>
                <w:rFonts w:ascii="Times New Roman" w:cs="Times New Roman" w:eastAsia="Times New Roman" w:hAnsi="Times New Roman"/>
                <w:sz w:val="20"/>
                <w:szCs w:val="20"/>
                <w:color w:val="auto"/>
              </w:rPr>
              <w:t>Total U.S. Treasury securities</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2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168,296</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440" w:type="dxa"/>
            <w:vAlign w:val="bottom"/>
          </w:tcPr>
          <w:p>
            <w:pPr>
              <w:jc w:val="right"/>
              <w:ind w:right="7"/>
              <w:spacing w:after="0"/>
              <w:rPr>
                <w:sz w:val="20"/>
                <w:szCs w:val="20"/>
                <w:color w:val="auto"/>
              </w:rPr>
            </w:pPr>
            <w:r>
              <w:rPr>
                <w:rFonts w:ascii="Times New Roman" w:cs="Times New Roman" w:eastAsia="Times New Roman" w:hAnsi="Times New Roman"/>
                <w:sz w:val="20"/>
                <w:szCs w:val="20"/>
                <w:color w:val="auto"/>
              </w:rPr>
              <w:t>3,589</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440" w:type="dxa"/>
            <w:vAlign w:val="bottom"/>
          </w:tcPr>
          <w:p>
            <w:pPr>
              <w:ind w:left="1140"/>
              <w:spacing w:after="0"/>
              <w:rPr>
                <w:sz w:val="20"/>
                <w:szCs w:val="20"/>
                <w:color w:val="auto"/>
              </w:rPr>
            </w:pPr>
            <w:r>
              <w:rPr>
                <w:rFonts w:ascii="Times New Roman" w:cs="Times New Roman" w:eastAsia="Times New Roman" w:hAnsi="Times New Roman"/>
                <w:sz w:val="20"/>
                <w:szCs w:val="20"/>
                <w:color w:val="auto"/>
              </w:rPr>
              <w:t>—</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34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171,885</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-1440815</wp:posOffset>
            </wp:positionV>
            <wp:extent cx="6324600" cy="14605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7">
                      <a:extLst>
                        <a:ext uri="{28A0092B-C50C-407E-A947-70E740481C1C}"/>
                      </a:extLst>
                    </a:blip>
                    <a:srcRect/>
                    <a:stretch>
                      <a:fillRect/>
                    </a:stretch>
                  </pic:blipFill>
                  <pic:spPr bwMode="auto">
                    <a:xfrm>
                      <a:off x="0" y="0"/>
                      <a:ext cx="6324600" cy="1460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5. Balance Sheet Components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Prepaid expenses and other current assets consist of the following (amounts in thousands):</w:t>
      </w:r>
    </w:p>
    <w:p>
      <w:pPr>
        <w:spacing w:after="0" w:line="313" w:lineRule="exact"/>
        <w:rPr>
          <w:sz w:val="20"/>
          <w:szCs w:val="20"/>
          <w:color w:val="auto"/>
        </w:rPr>
      </w:pPr>
    </w:p>
    <w:tbl>
      <w:tblPr>
        <w:tblLayout w:type="fixed"/>
        <w:tblInd w:w="40" w:type="dxa"/>
        <w:tblCellMar>
          <w:top w:w="0" w:type="dxa"/>
          <w:left w:w="0" w:type="dxa"/>
          <w:bottom w:w="0" w:type="dxa"/>
          <w:right w:w="0" w:type="dxa"/>
        </w:tblCellMar>
      </w:tblPr>
      <w:tr>
        <w:trPr>
          <w:trHeight w:val="243"/>
        </w:trPr>
        <w:tc>
          <w:tcPr>
            <w:tcW w:w="67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80" w:type="dxa"/>
            <w:vAlign w:val="bottom"/>
            <w:tcBorders>
              <w:bottom w:val="single" w:sz="8" w:color="auto"/>
            </w:tcBorders>
          </w:tcPr>
          <w:p>
            <w:pPr>
              <w:spacing w:after="0"/>
              <w:rPr>
                <w:sz w:val="21"/>
                <w:szCs w:val="21"/>
                <w:color w:val="auto"/>
              </w:rPr>
            </w:pPr>
          </w:p>
        </w:tc>
      </w:tr>
      <w:tr>
        <w:trPr>
          <w:trHeight w:val="238"/>
        </w:trPr>
        <w:tc>
          <w:tcPr>
            <w:tcW w:w="6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482"/>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0" w:type="dxa"/>
            <w:vAlign w:val="bottom"/>
          </w:tcPr>
          <w:p>
            <w:pPr>
              <w:jc w:val="right"/>
              <w:ind w:right="481"/>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79"/>
        </w:trPr>
        <w:tc>
          <w:tcPr>
            <w:tcW w:w="6720" w:type="dxa"/>
            <w:vAlign w:val="bottom"/>
          </w:tcPr>
          <w:p>
            <w:pPr>
              <w:spacing w:after="0"/>
              <w:rPr>
                <w:sz w:val="20"/>
                <w:szCs w:val="20"/>
                <w:color w:val="auto"/>
              </w:rPr>
            </w:pPr>
            <w:r>
              <w:rPr>
                <w:rFonts w:ascii="Times New Roman" w:cs="Times New Roman" w:eastAsia="Times New Roman" w:hAnsi="Times New Roman"/>
                <w:sz w:val="20"/>
                <w:szCs w:val="20"/>
                <w:color w:val="auto"/>
              </w:rPr>
              <w:t>Research and development costs</w:t>
            </w:r>
          </w:p>
        </w:tc>
        <w:tc>
          <w:tcPr>
            <w:tcW w:w="36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10,354</w:t>
            </w:r>
          </w:p>
        </w:tc>
        <w:tc>
          <w:tcPr>
            <w:tcW w:w="600" w:type="dxa"/>
            <w:vAlign w:val="bottom"/>
            <w:gridSpan w:val="2"/>
          </w:tcPr>
          <w:p>
            <w:pPr>
              <w:jc w:val="right"/>
              <w:ind w:right="3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6,314</w:t>
            </w:r>
          </w:p>
        </w:tc>
      </w:tr>
      <w:tr>
        <w:trPr>
          <w:trHeight w:val="285"/>
        </w:trPr>
        <w:tc>
          <w:tcPr>
            <w:tcW w:w="6720" w:type="dxa"/>
            <w:vAlign w:val="bottom"/>
          </w:tcPr>
          <w:p>
            <w:pPr>
              <w:spacing w:after="0"/>
              <w:rPr>
                <w:sz w:val="20"/>
                <w:szCs w:val="20"/>
                <w:color w:val="auto"/>
              </w:rPr>
            </w:pPr>
            <w:r>
              <w:rPr>
                <w:rFonts w:ascii="Times New Roman" w:cs="Times New Roman" w:eastAsia="Times New Roman" w:hAnsi="Times New Roman"/>
                <w:sz w:val="20"/>
                <w:szCs w:val="20"/>
                <w:color w:val="auto"/>
              </w:rPr>
              <w:t>Interest receivable</w:t>
            </w: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3,360</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287</w:t>
            </w:r>
          </w:p>
        </w:tc>
      </w:tr>
      <w:tr>
        <w:trPr>
          <w:trHeight w:val="285"/>
        </w:trPr>
        <w:tc>
          <w:tcPr>
            <w:tcW w:w="6720" w:type="dxa"/>
            <w:vAlign w:val="bottom"/>
          </w:tcPr>
          <w:p>
            <w:pPr>
              <w:spacing w:after="0"/>
              <w:rPr>
                <w:sz w:val="20"/>
                <w:szCs w:val="20"/>
                <w:color w:val="auto"/>
              </w:rPr>
            </w:pPr>
            <w:r>
              <w:rPr>
                <w:rFonts w:ascii="Times New Roman" w:cs="Times New Roman" w:eastAsia="Times New Roman" w:hAnsi="Times New Roman"/>
                <w:sz w:val="20"/>
                <w:szCs w:val="20"/>
                <w:color w:val="auto"/>
              </w:rPr>
              <w:t>Value added tax receivable</w:t>
            </w: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2,131</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1,528</w:t>
            </w:r>
          </w:p>
        </w:tc>
      </w:tr>
      <w:tr>
        <w:trPr>
          <w:trHeight w:val="285"/>
        </w:trPr>
        <w:tc>
          <w:tcPr>
            <w:tcW w:w="6720" w:type="dxa"/>
            <w:vAlign w:val="bottom"/>
          </w:tcPr>
          <w:p>
            <w:pPr>
              <w:spacing w:after="0"/>
              <w:rPr>
                <w:sz w:val="20"/>
                <w:szCs w:val="20"/>
                <w:color w:val="auto"/>
              </w:rPr>
            </w:pPr>
            <w:r>
              <w:rPr>
                <w:rFonts w:ascii="Times New Roman" w:cs="Times New Roman" w:eastAsia="Times New Roman" w:hAnsi="Times New Roman"/>
                <w:sz w:val="20"/>
                <w:szCs w:val="20"/>
                <w:color w:val="auto"/>
              </w:rPr>
              <w:t>Insurance related expenses</w:t>
            </w: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773</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840</w:t>
            </w:r>
          </w:p>
        </w:tc>
      </w:tr>
      <w:tr>
        <w:trPr>
          <w:trHeight w:val="285"/>
        </w:trPr>
        <w:tc>
          <w:tcPr>
            <w:tcW w:w="6720" w:type="dxa"/>
            <w:vAlign w:val="bottom"/>
          </w:tcPr>
          <w:p>
            <w:pPr>
              <w:spacing w:after="0"/>
              <w:rPr>
                <w:sz w:val="20"/>
                <w:szCs w:val="20"/>
                <w:color w:val="auto"/>
              </w:rPr>
            </w:pPr>
            <w:r>
              <w:rPr>
                <w:rFonts w:ascii="Times New Roman" w:cs="Times New Roman" w:eastAsia="Times New Roman" w:hAnsi="Times New Roman"/>
                <w:sz w:val="20"/>
                <w:szCs w:val="20"/>
                <w:color w:val="auto"/>
              </w:rPr>
              <w:t>Income tax receivable</w:t>
            </w: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933</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r>
      <w:tr>
        <w:trPr>
          <w:trHeight w:val="288"/>
        </w:trPr>
        <w:tc>
          <w:tcPr>
            <w:tcW w:w="6720" w:type="dxa"/>
            <w:vAlign w:val="bottom"/>
          </w:tcPr>
          <w:p>
            <w:pPr>
              <w:spacing w:after="0"/>
              <w:rPr>
                <w:sz w:val="20"/>
                <w:szCs w:val="20"/>
                <w:color w:val="auto"/>
              </w:rPr>
            </w:pPr>
            <w:r>
              <w:rPr>
                <w:rFonts w:ascii="Times New Roman" w:cs="Times New Roman" w:eastAsia="Times New Roman" w:hAnsi="Times New Roman"/>
                <w:sz w:val="20"/>
                <w:szCs w:val="20"/>
                <w:color w:val="auto"/>
              </w:rPr>
              <w:t>Other</w:t>
            </w: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1,827</w:t>
            </w:r>
          </w:p>
        </w:tc>
        <w:tc>
          <w:tcPr>
            <w:tcW w:w="8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1,495</w:t>
            </w:r>
          </w:p>
        </w:tc>
      </w:tr>
      <w:tr>
        <w:trPr>
          <w:trHeight w:val="245"/>
        </w:trPr>
        <w:tc>
          <w:tcPr>
            <w:tcW w:w="6720" w:type="dxa"/>
            <w:vAlign w:val="bottom"/>
          </w:tcPr>
          <w:p>
            <w:pPr>
              <w:spacing w:after="0"/>
              <w:rPr>
                <w:sz w:val="21"/>
                <w:szCs w:val="21"/>
                <w:color w:val="auto"/>
              </w:rPr>
            </w:pPr>
          </w:p>
        </w:tc>
        <w:tc>
          <w:tcPr>
            <w:tcW w:w="36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19,378</w:t>
            </w:r>
          </w:p>
        </w:tc>
        <w:tc>
          <w:tcPr>
            <w:tcW w:w="600" w:type="dxa"/>
            <w:vAlign w:val="bottom"/>
            <w:gridSpan w:val="2"/>
          </w:tcPr>
          <w:p>
            <w:pPr>
              <w:jc w:val="right"/>
              <w:ind w:right="3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10,464</w:t>
            </w:r>
          </w:p>
        </w:tc>
      </w:tr>
      <w:tr>
        <w:trPr>
          <w:trHeight w:val="20"/>
        </w:trPr>
        <w:tc>
          <w:tcPr>
            <w:tcW w:w="67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-1297940</wp:posOffset>
            </wp:positionV>
            <wp:extent cx="6286500" cy="13176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8">
                      <a:extLst>
                        <a:ext uri="{28A0092B-C50C-407E-A947-70E740481C1C}"/>
                      </a:extLst>
                    </a:blip>
                    <a:srcRect/>
                    <a:stretch>
                      <a:fillRect/>
                    </a:stretch>
                  </pic:blipFill>
                  <pic:spPr bwMode="auto">
                    <a:xfrm>
                      <a:off x="0" y="0"/>
                      <a:ext cx="6286500" cy="1317625"/>
                    </a:xfrm>
                    <a:prstGeom prst="rect">
                      <a:avLst/>
                    </a:prstGeom>
                    <a:noFill/>
                  </pic:spPr>
                </pic:pic>
              </a:graphicData>
            </a:graphic>
          </wp:anchor>
        </w:drawing>
      </w: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Accrued expenses and other current liabilities consist of the following (amounts in thousands):</w:t>
      </w:r>
    </w:p>
    <w:p>
      <w:pPr>
        <w:spacing w:after="0" w:line="313" w:lineRule="exact"/>
        <w:rPr>
          <w:sz w:val="20"/>
          <w:szCs w:val="20"/>
          <w:color w:val="auto"/>
        </w:rPr>
      </w:pPr>
    </w:p>
    <w:tbl>
      <w:tblPr>
        <w:tblLayout w:type="fixed"/>
        <w:tblInd w:w="40" w:type="dxa"/>
        <w:tblCellMar>
          <w:top w:w="0" w:type="dxa"/>
          <w:left w:w="0" w:type="dxa"/>
          <w:bottom w:w="0" w:type="dxa"/>
          <w:right w:w="0" w:type="dxa"/>
        </w:tblCellMar>
      </w:tblPr>
      <w:tr>
        <w:trPr>
          <w:trHeight w:val="243"/>
        </w:trPr>
        <w:tc>
          <w:tcPr>
            <w:tcW w:w="67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80" w:type="dxa"/>
            <w:vAlign w:val="bottom"/>
            <w:tcBorders>
              <w:bottom w:val="single" w:sz="8" w:color="auto"/>
            </w:tcBorders>
          </w:tcPr>
          <w:p>
            <w:pPr>
              <w:spacing w:after="0"/>
              <w:rPr>
                <w:sz w:val="21"/>
                <w:szCs w:val="21"/>
                <w:color w:val="auto"/>
              </w:rPr>
            </w:pPr>
          </w:p>
        </w:tc>
      </w:tr>
      <w:tr>
        <w:trPr>
          <w:trHeight w:val="235"/>
        </w:trPr>
        <w:tc>
          <w:tcPr>
            <w:tcW w:w="67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80"/>
        </w:trPr>
        <w:tc>
          <w:tcPr>
            <w:tcW w:w="6720" w:type="dxa"/>
            <w:vAlign w:val="bottom"/>
          </w:tcPr>
          <w:p>
            <w:pPr>
              <w:spacing w:after="0" w:line="230" w:lineRule="exact"/>
              <w:rPr>
                <w:sz w:val="20"/>
                <w:szCs w:val="20"/>
                <w:color w:val="auto"/>
              </w:rPr>
            </w:pPr>
            <w:r>
              <w:rPr>
                <w:rFonts w:ascii="Times New Roman" w:cs="Times New Roman" w:eastAsia="Times New Roman" w:hAnsi="Times New Roman"/>
                <w:sz w:val="20"/>
                <w:szCs w:val="20"/>
                <w:color w:val="auto"/>
              </w:rPr>
              <w:t>Research and development costs</w:t>
            </w:r>
            <w:r>
              <w:rPr>
                <w:rFonts w:ascii="MS PGothic" w:cs="MS PGothic" w:eastAsia="MS PGothic" w:hAnsi="MS PGothic"/>
                <w:sz w:val="20"/>
                <w:szCs w:val="20"/>
                <w:b w:val="1"/>
                <w:bCs w:val="1"/>
                <w:color w:val="auto"/>
              </w:rPr>
              <w:t>∗</w:t>
            </w:r>
          </w:p>
        </w:tc>
        <w:tc>
          <w:tcPr>
            <w:tcW w:w="36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17,694</w:t>
            </w:r>
          </w:p>
        </w:tc>
        <w:tc>
          <w:tcPr>
            <w:tcW w:w="600" w:type="dxa"/>
            <w:vAlign w:val="bottom"/>
            <w:gridSpan w:val="2"/>
          </w:tcPr>
          <w:p>
            <w:pPr>
              <w:jc w:val="right"/>
              <w:ind w:right="3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38,063</w:t>
            </w:r>
          </w:p>
        </w:tc>
      </w:tr>
      <w:tr>
        <w:trPr>
          <w:trHeight w:val="267"/>
        </w:trPr>
        <w:tc>
          <w:tcPr>
            <w:tcW w:w="6720" w:type="dxa"/>
            <w:vAlign w:val="bottom"/>
          </w:tcPr>
          <w:p>
            <w:pPr>
              <w:spacing w:after="0"/>
              <w:rPr>
                <w:sz w:val="20"/>
                <w:szCs w:val="20"/>
                <w:color w:val="auto"/>
              </w:rPr>
            </w:pPr>
            <w:r>
              <w:rPr>
                <w:rFonts w:ascii="Times New Roman" w:cs="Times New Roman" w:eastAsia="Times New Roman" w:hAnsi="Times New Roman"/>
                <w:sz w:val="20"/>
                <w:szCs w:val="20"/>
                <w:color w:val="auto"/>
              </w:rPr>
              <w:t>Personnel related expenses</w:t>
            </w:r>
          </w:p>
        </w:tc>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14,467</w:t>
            </w: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9,465</w:t>
            </w:r>
          </w:p>
        </w:tc>
      </w:tr>
      <w:tr>
        <w:trPr>
          <w:trHeight w:val="285"/>
        </w:trPr>
        <w:tc>
          <w:tcPr>
            <w:tcW w:w="6720" w:type="dxa"/>
            <w:vAlign w:val="bottom"/>
          </w:tcPr>
          <w:p>
            <w:pPr>
              <w:spacing w:after="0"/>
              <w:rPr>
                <w:sz w:val="20"/>
                <w:szCs w:val="20"/>
                <w:color w:val="auto"/>
              </w:rPr>
            </w:pPr>
            <w:r>
              <w:rPr>
                <w:rFonts w:ascii="Times New Roman" w:cs="Times New Roman" w:eastAsia="Times New Roman" w:hAnsi="Times New Roman"/>
                <w:sz w:val="20"/>
                <w:szCs w:val="20"/>
                <w:color w:val="auto"/>
              </w:rPr>
              <w:t>Professional fees</w:t>
            </w: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1,422</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1,782</w:t>
            </w:r>
          </w:p>
        </w:tc>
      </w:tr>
      <w:tr>
        <w:trPr>
          <w:trHeight w:val="285"/>
        </w:trPr>
        <w:tc>
          <w:tcPr>
            <w:tcW w:w="6720" w:type="dxa"/>
            <w:vAlign w:val="bottom"/>
          </w:tcPr>
          <w:p>
            <w:pPr>
              <w:spacing w:after="0"/>
              <w:rPr>
                <w:sz w:val="20"/>
                <w:szCs w:val="20"/>
                <w:color w:val="auto"/>
              </w:rPr>
            </w:pPr>
            <w:r>
              <w:rPr>
                <w:rFonts w:ascii="Times New Roman" w:cs="Times New Roman" w:eastAsia="Times New Roman" w:hAnsi="Times New Roman"/>
                <w:sz w:val="20"/>
                <w:szCs w:val="20"/>
                <w:color w:val="auto"/>
              </w:rPr>
              <w:t>Interest payable</w:t>
            </w: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840</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r>
      <w:tr>
        <w:trPr>
          <w:trHeight w:val="285"/>
        </w:trPr>
        <w:tc>
          <w:tcPr>
            <w:tcW w:w="6720" w:type="dxa"/>
            <w:vAlign w:val="bottom"/>
          </w:tcPr>
          <w:p>
            <w:pPr>
              <w:spacing w:after="0"/>
              <w:rPr>
                <w:sz w:val="20"/>
                <w:szCs w:val="20"/>
                <w:color w:val="auto"/>
              </w:rPr>
            </w:pPr>
            <w:r>
              <w:rPr>
                <w:rFonts w:ascii="Times New Roman" w:cs="Times New Roman" w:eastAsia="Times New Roman" w:hAnsi="Times New Roman"/>
                <w:sz w:val="20"/>
                <w:szCs w:val="20"/>
                <w:color w:val="auto"/>
              </w:rPr>
              <w:t>Operating lease</w:t>
            </w: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713</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602</w:t>
            </w:r>
          </w:p>
        </w:tc>
      </w:tr>
      <w:tr>
        <w:trPr>
          <w:trHeight w:val="285"/>
        </w:trPr>
        <w:tc>
          <w:tcPr>
            <w:tcW w:w="6720" w:type="dxa"/>
            <w:vAlign w:val="bottom"/>
          </w:tcPr>
          <w:p>
            <w:pPr>
              <w:spacing w:after="0"/>
              <w:rPr>
                <w:sz w:val="20"/>
                <w:szCs w:val="20"/>
                <w:color w:val="auto"/>
              </w:rPr>
            </w:pPr>
            <w:r>
              <w:rPr>
                <w:rFonts w:ascii="Times New Roman" w:cs="Times New Roman" w:eastAsia="Times New Roman" w:hAnsi="Times New Roman"/>
                <w:sz w:val="20"/>
                <w:szCs w:val="20"/>
                <w:color w:val="auto"/>
              </w:rPr>
              <w:t>Income tax liability</w:t>
            </w: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835</w:t>
            </w:r>
          </w:p>
        </w:tc>
      </w:tr>
      <w:tr>
        <w:trPr>
          <w:trHeight w:val="288"/>
        </w:trPr>
        <w:tc>
          <w:tcPr>
            <w:tcW w:w="6720" w:type="dxa"/>
            <w:vAlign w:val="bottom"/>
          </w:tcPr>
          <w:p>
            <w:pPr>
              <w:spacing w:after="0"/>
              <w:rPr>
                <w:sz w:val="20"/>
                <w:szCs w:val="20"/>
                <w:color w:val="auto"/>
              </w:rPr>
            </w:pPr>
            <w:r>
              <w:rPr>
                <w:rFonts w:ascii="Times New Roman" w:cs="Times New Roman" w:eastAsia="Times New Roman" w:hAnsi="Times New Roman"/>
                <w:sz w:val="20"/>
                <w:szCs w:val="20"/>
                <w:color w:val="auto"/>
              </w:rPr>
              <w:t>Other</w:t>
            </w: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217</w:t>
            </w:r>
          </w:p>
        </w:tc>
        <w:tc>
          <w:tcPr>
            <w:tcW w:w="8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108</w:t>
            </w:r>
          </w:p>
        </w:tc>
      </w:tr>
      <w:tr>
        <w:trPr>
          <w:trHeight w:val="245"/>
        </w:trPr>
        <w:tc>
          <w:tcPr>
            <w:tcW w:w="6720" w:type="dxa"/>
            <w:vAlign w:val="bottom"/>
          </w:tcPr>
          <w:p>
            <w:pPr>
              <w:spacing w:after="0"/>
              <w:rPr>
                <w:sz w:val="21"/>
                <w:szCs w:val="21"/>
                <w:color w:val="auto"/>
              </w:rPr>
            </w:pPr>
          </w:p>
        </w:tc>
        <w:tc>
          <w:tcPr>
            <w:tcW w:w="36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35,353</w:t>
            </w:r>
          </w:p>
        </w:tc>
        <w:tc>
          <w:tcPr>
            <w:tcW w:w="600" w:type="dxa"/>
            <w:vAlign w:val="bottom"/>
            <w:gridSpan w:val="2"/>
          </w:tcPr>
          <w:p>
            <w:pPr>
              <w:jc w:val="right"/>
              <w:ind w:right="3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50,855</w:t>
            </w:r>
          </w:p>
        </w:tc>
      </w:tr>
      <w:tr>
        <w:trPr>
          <w:trHeight w:val="20"/>
        </w:trPr>
        <w:tc>
          <w:tcPr>
            <w:tcW w:w="67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-1478915</wp:posOffset>
            </wp:positionV>
            <wp:extent cx="6286500" cy="17684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9">
                      <a:extLst>
                        <a:ext uri="{28A0092B-C50C-407E-A947-70E740481C1C}"/>
                      </a:extLst>
                    </a:blip>
                    <a:srcRect/>
                    <a:stretch>
                      <a:fillRect/>
                    </a:stretch>
                  </pic:blipFill>
                  <pic:spPr bwMode="auto">
                    <a:xfrm>
                      <a:off x="0" y="0"/>
                      <a:ext cx="6286500" cy="1768475"/>
                    </a:xfrm>
                    <a:prstGeom prst="rect">
                      <a:avLst/>
                    </a:prstGeom>
                    <a:noFill/>
                  </pic:spPr>
                </pic:pic>
              </a:graphicData>
            </a:graphic>
          </wp:anchor>
        </w:drawing>
      </w:r>
    </w:p>
    <w:p>
      <w:pPr>
        <w:spacing w:after="0" w:line="18" w:lineRule="exact"/>
        <w:rPr>
          <w:sz w:val="20"/>
          <w:szCs w:val="20"/>
          <w:color w:val="auto"/>
        </w:rPr>
      </w:pPr>
    </w:p>
    <w:p>
      <w:pPr>
        <w:ind w:left="40" w:right="3240"/>
        <w:spacing w:after="0" w:line="191" w:lineRule="exact"/>
        <w:rPr>
          <w:sz w:val="20"/>
          <w:szCs w:val="20"/>
          <w:color w:val="auto"/>
        </w:rPr>
      </w:pPr>
      <w:r>
        <w:rPr>
          <w:rFonts w:ascii="MS PGothic" w:cs="MS PGothic" w:eastAsia="MS PGothic" w:hAnsi="MS PGothic"/>
          <w:sz w:val="16"/>
          <w:szCs w:val="16"/>
          <w:b w:val="1"/>
          <w:bCs w:val="1"/>
          <w:color w:val="auto"/>
        </w:rPr>
        <w:t>∗</w:t>
      </w:r>
      <w:r>
        <w:rPr>
          <w:rFonts w:ascii="Times New Roman" w:cs="Times New Roman" w:eastAsia="Times New Roman" w:hAnsi="Times New Roman"/>
          <w:sz w:val="16"/>
          <w:szCs w:val="16"/>
          <w:color w:val="auto"/>
        </w:rPr>
        <w:t>Includes accrued contract termination costs of $30.3 million as of December 31, 2024 which was fully extinguished as of December 31, 2025. See Note 8.</w:t>
      </w:r>
    </w:p>
    <w:p>
      <w:pPr>
        <w:sectPr>
          <w:pgSz w:w="12240" w:h="15840" w:orient="portrait"/>
          <w:cols w:equalWidth="0" w:num="1">
            <w:col w:w="9900"/>
          </w:cols>
          <w:pgMar w:left="1180" w:top="20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141</w:t>
      </w:r>
    </w:p>
    <w:p>
      <w:pPr>
        <w:sectPr>
          <w:pgSz w:w="12240" w:h="15840" w:orient="portrait"/>
          <w:cols w:equalWidth="0" w:num="1">
            <w:col w:w="9900"/>
          </w:cols>
          <w:pgMar w:left="1180" w:top="208" w:right="1160" w:bottom="0" w:gutter="0" w:footer="0" w:header="0"/>
          <w:type w:val="continuous"/>
        </w:sectPr>
      </w:pPr>
    </w:p>
    <w:bookmarkStart w:id="141" w:name="page142"/>
    <w:bookmarkEnd w:id="141"/>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Centessa Pharmaceuticals plc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Property and equipment, net consisted of the following (amounts in thousands):</w:t>
      </w:r>
    </w:p>
    <w:p>
      <w:pPr>
        <w:spacing w:after="0" w:line="73" w:lineRule="exact"/>
        <w:rPr>
          <w:sz w:val="20"/>
          <w:szCs w:val="20"/>
          <w:color w:val="auto"/>
        </w:rPr>
      </w:pPr>
    </w:p>
    <w:tbl>
      <w:tblPr>
        <w:tblLayout w:type="fixed"/>
        <w:tblInd w:w="40" w:type="dxa"/>
        <w:tblCellMar>
          <w:top w:w="0" w:type="dxa"/>
          <w:left w:w="0" w:type="dxa"/>
          <w:bottom w:w="0" w:type="dxa"/>
          <w:right w:w="0" w:type="dxa"/>
        </w:tblCellMar>
      </w:tblPr>
      <w:tr>
        <w:trPr>
          <w:trHeight w:val="243"/>
        </w:trPr>
        <w:tc>
          <w:tcPr>
            <w:tcW w:w="67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80" w:type="dxa"/>
            <w:vAlign w:val="bottom"/>
            <w:tcBorders>
              <w:bottom w:val="single" w:sz="8" w:color="auto"/>
            </w:tcBorders>
          </w:tcPr>
          <w:p>
            <w:pPr>
              <w:spacing w:after="0"/>
              <w:rPr>
                <w:sz w:val="21"/>
                <w:szCs w:val="21"/>
                <w:color w:val="auto"/>
              </w:rPr>
            </w:pPr>
          </w:p>
        </w:tc>
      </w:tr>
      <w:tr>
        <w:trPr>
          <w:trHeight w:val="235"/>
        </w:trPr>
        <w:tc>
          <w:tcPr>
            <w:tcW w:w="67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83"/>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62"/>
        </w:trPr>
        <w:tc>
          <w:tcPr>
            <w:tcW w:w="6720" w:type="dxa"/>
            <w:vAlign w:val="bottom"/>
          </w:tcPr>
          <w:p>
            <w:pPr>
              <w:spacing w:after="0"/>
              <w:rPr>
                <w:sz w:val="20"/>
                <w:szCs w:val="20"/>
                <w:color w:val="auto"/>
              </w:rPr>
            </w:pPr>
            <w:r>
              <w:rPr>
                <w:rFonts w:ascii="Times New Roman" w:cs="Times New Roman" w:eastAsia="Times New Roman" w:hAnsi="Times New Roman"/>
                <w:sz w:val="20"/>
                <w:szCs w:val="20"/>
                <w:color w:val="auto"/>
              </w:rPr>
              <w:t>Computer equipment</w:t>
            </w:r>
          </w:p>
        </w:tc>
        <w:tc>
          <w:tcPr>
            <w:tcW w:w="36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1,139</w:t>
            </w:r>
          </w:p>
        </w:tc>
        <w:tc>
          <w:tcPr>
            <w:tcW w:w="600" w:type="dxa"/>
            <w:vAlign w:val="bottom"/>
            <w:gridSpan w:val="2"/>
          </w:tcPr>
          <w:p>
            <w:pPr>
              <w:jc w:val="right"/>
              <w:ind w:right="3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768</w:t>
            </w:r>
          </w:p>
        </w:tc>
      </w:tr>
      <w:tr>
        <w:trPr>
          <w:trHeight w:val="285"/>
        </w:trPr>
        <w:tc>
          <w:tcPr>
            <w:tcW w:w="6720" w:type="dxa"/>
            <w:vAlign w:val="bottom"/>
          </w:tcPr>
          <w:p>
            <w:pPr>
              <w:spacing w:after="0"/>
              <w:rPr>
                <w:sz w:val="20"/>
                <w:szCs w:val="20"/>
                <w:color w:val="auto"/>
              </w:rPr>
            </w:pPr>
            <w:r>
              <w:rPr>
                <w:rFonts w:ascii="Times New Roman" w:cs="Times New Roman" w:eastAsia="Times New Roman" w:hAnsi="Times New Roman"/>
                <w:sz w:val="20"/>
                <w:szCs w:val="20"/>
                <w:color w:val="auto"/>
              </w:rPr>
              <w:t>Office furniture</w:t>
            </w: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724</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724</w:t>
            </w:r>
          </w:p>
        </w:tc>
      </w:tr>
      <w:tr>
        <w:trPr>
          <w:trHeight w:val="288"/>
        </w:trPr>
        <w:tc>
          <w:tcPr>
            <w:tcW w:w="6720" w:type="dxa"/>
            <w:vAlign w:val="bottom"/>
          </w:tcPr>
          <w:p>
            <w:pPr>
              <w:spacing w:after="0"/>
              <w:rPr>
                <w:sz w:val="20"/>
                <w:szCs w:val="20"/>
                <w:color w:val="auto"/>
              </w:rPr>
            </w:pPr>
            <w:r>
              <w:rPr>
                <w:rFonts w:ascii="Times New Roman" w:cs="Times New Roman" w:eastAsia="Times New Roman" w:hAnsi="Times New Roman"/>
                <w:sz w:val="20"/>
                <w:szCs w:val="20"/>
                <w:color w:val="auto"/>
              </w:rPr>
              <w:t>Office equipment</w:t>
            </w: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43</w:t>
            </w:r>
          </w:p>
        </w:tc>
        <w:tc>
          <w:tcPr>
            <w:tcW w:w="8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43</w:t>
            </w:r>
          </w:p>
        </w:tc>
      </w:tr>
      <w:tr>
        <w:trPr>
          <w:trHeight w:val="262"/>
        </w:trPr>
        <w:tc>
          <w:tcPr>
            <w:tcW w:w="67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Property and equipment, at cost</w:t>
            </w:r>
          </w:p>
        </w:tc>
        <w:tc>
          <w:tcPr>
            <w:tcW w:w="36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1,906</w:t>
            </w:r>
          </w:p>
        </w:tc>
        <w:tc>
          <w:tcPr>
            <w:tcW w:w="600" w:type="dxa"/>
            <w:vAlign w:val="bottom"/>
            <w:gridSpan w:val="2"/>
          </w:tcPr>
          <w:p>
            <w:pPr>
              <w:jc w:val="right"/>
              <w:ind w:right="3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1,535</w:t>
            </w:r>
          </w:p>
        </w:tc>
      </w:tr>
      <w:tr>
        <w:trPr>
          <w:trHeight w:val="288"/>
        </w:trPr>
        <w:tc>
          <w:tcPr>
            <w:tcW w:w="6720" w:type="dxa"/>
            <w:vAlign w:val="bottom"/>
          </w:tcPr>
          <w:p>
            <w:pPr>
              <w:spacing w:after="0"/>
              <w:rPr>
                <w:sz w:val="20"/>
                <w:szCs w:val="20"/>
                <w:color w:val="auto"/>
              </w:rPr>
            </w:pPr>
            <w:r>
              <w:rPr>
                <w:rFonts w:ascii="Times New Roman" w:cs="Times New Roman" w:eastAsia="Times New Roman" w:hAnsi="Times New Roman"/>
                <w:sz w:val="20"/>
                <w:szCs w:val="20"/>
                <w:color w:val="auto"/>
              </w:rPr>
              <w:t>Less: Accumulated depreciation</w:t>
            </w: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(1,099)</w:t>
            </w:r>
          </w:p>
        </w:tc>
        <w:tc>
          <w:tcPr>
            <w:tcW w:w="8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(791)</w:t>
            </w:r>
          </w:p>
        </w:tc>
      </w:tr>
      <w:tr>
        <w:trPr>
          <w:trHeight w:val="245"/>
        </w:trPr>
        <w:tc>
          <w:tcPr>
            <w:tcW w:w="6720" w:type="dxa"/>
            <w:vAlign w:val="bottom"/>
          </w:tcPr>
          <w:p>
            <w:pPr>
              <w:spacing w:after="0"/>
              <w:rPr>
                <w:sz w:val="20"/>
                <w:szCs w:val="20"/>
                <w:color w:val="auto"/>
              </w:rPr>
            </w:pPr>
            <w:r>
              <w:rPr>
                <w:rFonts w:ascii="Times New Roman" w:cs="Times New Roman" w:eastAsia="Times New Roman" w:hAnsi="Times New Roman"/>
                <w:sz w:val="20"/>
                <w:szCs w:val="20"/>
                <w:color w:val="auto"/>
              </w:rPr>
              <w:t>Property and equipment, net</w:t>
            </w:r>
          </w:p>
        </w:tc>
        <w:tc>
          <w:tcPr>
            <w:tcW w:w="36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807</w:t>
            </w:r>
          </w:p>
        </w:tc>
        <w:tc>
          <w:tcPr>
            <w:tcW w:w="600" w:type="dxa"/>
            <w:vAlign w:val="bottom"/>
            <w:gridSpan w:val="2"/>
          </w:tcPr>
          <w:p>
            <w:pPr>
              <w:jc w:val="right"/>
              <w:ind w:right="3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744</w:t>
            </w:r>
          </w:p>
        </w:tc>
      </w:tr>
      <w:tr>
        <w:trPr>
          <w:trHeight w:val="20"/>
        </w:trPr>
        <w:tc>
          <w:tcPr>
            <w:tcW w:w="67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-1116965</wp:posOffset>
            </wp:positionV>
            <wp:extent cx="6286500" cy="11366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0">
                      <a:extLst>
                        <a:ext uri="{28A0092B-C50C-407E-A947-70E740481C1C}"/>
                      </a:extLst>
                    </a:blip>
                    <a:srcRect/>
                    <a:stretch>
                      <a:fillRect/>
                    </a:stretch>
                  </pic:blipFill>
                  <pic:spPr bwMode="auto">
                    <a:xfrm>
                      <a:off x="0" y="0"/>
                      <a:ext cx="6286500" cy="1136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6. Debt</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Debt consisted of the following as of December 31, 2025 and December 31, 2024 (in thousands):</w:t>
      </w:r>
    </w:p>
    <w:p>
      <w:pPr>
        <w:spacing w:after="0" w:line="133" w:lineRule="exact"/>
        <w:rPr>
          <w:sz w:val="20"/>
          <w:szCs w:val="20"/>
          <w:color w:val="auto"/>
        </w:rPr>
      </w:pPr>
    </w:p>
    <w:tbl>
      <w:tblPr>
        <w:tblLayout w:type="fixed"/>
        <w:tblInd w:w="40" w:type="dxa"/>
        <w:tblCellMar>
          <w:top w:w="0" w:type="dxa"/>
          <w:left w:w="0" w:type="dxa"/>
          <w:bottom w:w="0" w:type="dxa"/>
          <w:right w:w="0" w:type="dxa"/>
        </w:tblCellMar>
      </w:tblPr>
      <w:tr>
        <w:trPr>
          <w:trHeight w:val="243"/>
        </w:trPr>
        <w:tc>
          <w:tcPr>
            <w:tcW w:w="67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0" w:type="dxa"/>
            <w:vAlign w:val="bottom"/>
            <w:tcBorders>
              <w:bottom w:val="single" w:sz="8" w:color="auto"/>
            </w:tcBorders>
          </w:tcPr>
          <w:p>
            <w:pPr>
              <w:spacing w:after="0"/>
              <w:rPr>
                <w:sz w:val="21"/>
                <w:szCs w:val="21"/>
                <w:color w:val="auto"/>
              </w:rPr>
            </w:pPr>
          </w:p>
        </w:tc>
      </w:tr>
      <w:tr>
        <w:trPr>
          <w:trHeight w:val="235"/>
        </w:trPr>
        <w:tc>
          <w:tcPr>
            <w:tcW w:w="67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83"/>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62"/>
        </w:trPr>
        <w:tc>
          <w:tcPr>
            <w:tcW w:w="6720" w:type="dxa"/>
            <w:vAlign w:val="bottom"/>
          </w:tcPr>
          <w:p>
            <w:pPr>
              <w:spacing w:after="0"/>
              <w:rPr>
                <w:sz w:val="20"/>
                <w:szCs w:val="20"/>
                <w:color w:val="auto"/>
              </w:rPr>
            </w:pPr>
            <w:r>
              <w:rPr>
                <w:rFonts w:ascii="Times New Roman" w:cs="Times New Roman" w:eastAsia="Times New Roman" w:hAnsi="Times New Roman"/>
                <w:sz w:val="20"/>
                <w:szCs w:val="20"/>
                <w:color w:val="auto"/>
              </w:rPr>
              <w:t>Loan and Security Agreement:</w:t>
            </w:r>
          </w:p>
        </w:tc>
        <w:tc>
          <w:tcPr>
            <w:tcW w:w="3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85"/>
        </w:trPr>
        <w:tc>
          <w:tcPr>
            <w:tcW w:w="67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Principal amount</w:t>
            </w:r>
          </w:p>
        </w:tc>
        <w:tc>
          <w:tcPr>
            <w:tcW w:w="36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110,000</w:t>
            </w:r>
          </w:p>
        </w:tc>
        <w:tc>
          <w:tcPr>
            <w:tcW w:w="620" w:type="dxa"/>
            <w:vAlign w:val="bottom"/>
            <w:gridSpan w:val="2"/>
          </w:tcPr>
          <w:p>
            <w:pPr>
              <w:jc w:val="right"/>
              <w:ind w:right="3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110,000</w:t>
            </w:r>
          </w:p>
        </w:tc>
      </w:tr>
      <w:tr>
        <w:trPr>
          <w:trHeight w:val="285"/>
        </w:trPr>
        <w:tc>
          <w:tcPr>
            <w:tcW w:w="67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End of term charge</w:t>
            </w:r>
          </w:p>
        </w:tc>
        <w:tc>
          <w:tcPr>
            <w:tcW w:w="360" w:type="dxa"/>
            <w:vAlign w:val="bottom"/>
          </w:tcPr>
          <w:p>
            <w:pPr>
              <w:spacing w:after="0"/>
              <w:rPr>
                <w:sz w:val="24"/>
                <w:szCs w:val="24"/>
                <w:color w:val="auto"/>
              </w:rPr>
            </w:pPr>
          </w:p>
        </w:tc>
        <w:tc>
          <w:tcPr>
            <w:tcW w:w="116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5,500</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5,500</w:t>
            </w:r>
          </w:p>
        </w:tc>
      </w:tr>
      <w:tr>
        <w:trPr>
          <w:trHeight w:val="288"/>
        </w:trPr>
        <w:tc>
          <w:tcPr>
            <w:tcW w:w="67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Unamortized debt issuance costs and unamortized end of term charge</w:t>
            </w:r>
          </w:p>
        </w:tc>
        <w:tc>
          <w:tcPr>
            <w:tcW w:w="3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(5,405)</w:t>
            </w:r>
          </w:p>
        </w:tc>
        <w:tc>
          <w:tcPr>
            <w:tcW w:w="12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(6,560)</w:t>
            </w:r>
          </w:p>
        </w:tc>
      </w:tr>
      <w:tr>
        <w:trPr>
          <w:trHeight w:val="262"/>
        </w:trPr>
        <w:tc>
          <w:tcPr>
            <w:tcW w:w="6720" w:type="dxa"/>
            <w:vAlign w:val="bottom"/>
          </w:tcPr>
          <w:p>
            <w:pPr>
              <w:spacing w:after="0"/>
              <w:rPr>
                <w:sz w:val="20"/>
                <w:szCs w:val="20"/>
                <w:color w:val="auto"/>
              </w:rPr>
            </w:pPr>
            <w:r>
              <w:rPr>
                <w:rFonts w:ascii="Times New Roman" w:cs="Times New Roman" w:eastAsia="Times New Roman" w:hAnsi="Times New Roman"/>
                <w:sz w:val="20"/>
                <w:szCs w:val="20"/>
                <w:color w:val="auto"/>
              </w:rPr>
              <w:t>Loan and Security Agreement (carried at amortized cost)</w:t>
            </w:r>
          </w:p>
        </w:tc>
        <w:tc>
          <w:tcPr>
            <w:tcW w:w="36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110,095</w:t>
            </w:r>
          </w:p>
        </w:tc>
        <w:tc>
          <w:tcPr>
            <w:tcW w:w="620" w:type="dxa"/>
            <w:vAlign w:val="bottom"/>
            <w:gridSpan w:val="2"/>
          </w:tcPr>
          <w:p>
            <w:pPr>
              <w:jc w:val="right"/>
              <w:ind w:right="3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108,940</w:t>
            </w:r>
          </w:p>
        </w:tc>
      </w:tr>
      <w:tr>
        <w:trPr>
          <w:trHeight w:val="285"/>
        </w:trPr>
        <w:tc>
          <w:tcPr>
            <w:tcW w:w="6720" w:type="dxa"/>
            <w:vAlign w:val="bottom"/>
          </w:tcPr>
          <w:p>
            <w:pPr>
              <w:spacing w:after="0"/>
              <w:rPr>
                <w:sz w:val="20"/>
                <w:szCs w:val="20"/>
                <w:color w:val="auto"/>
              </w:rPr>
            </w:pPr>
            <w:r>
              <w:rPr>
                <w:rFonts w:ascii="Times New Roman" w:cs="Times New Roman" w:eastAsia="Times New Roman" w:hAnsi="Times New Roman"/>
                <w:sz w:val="20"/>
                <w:szCs w:val="20"/>
                <w:color w:val="auto"/>
              </w:rPr>
              <w:t>The fair value of LSA, classified as Level 2 under ASC Topic 820</w:t>
            </w:r>
          </w:p>
        </w:tc>
        <w:tc>
          <w:tcPr>
            <w:tcW w:w="36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108,515</w:t>
            </w:r>
          </w:p>
        </w:tc>
        <w:tc>
          <w:tcPr>
            <w:tcW w:w="620" w:type="dxa"/>
            <w:vAlign w:val="bottom"/>
            <w:gridSpan w:val="2"/>
          </w:tcPr>
          <w:p>
            <w:pPr>
              <w:jc w:val="right"/>
              <w:ind w:right="3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109,450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-1089660</wp:posOffset>
            </wp:positionV>
            <wp:extent cx="6311900" cy="11112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1">
                      <a:extLst>
                        <a:ext uri="{28A0092B-C50C-407E-A947-70E740481C1C}"/>
                      </a:extLst>
                    </a:blip>
                    <a:srcRect/>
                    <a:stretch>
                      <a:fillRect/>
                    </a:stretch>
                  </pic:blipFill>
                  <pic:spPr bwMode="auto">
                    <a:xfrm>
                      <a:off x="0" y="0"/>
                      <a:ext cx="6311900" cy="1111250"/>
                    </a:xfrm>
                    <a:prstGeom prst="rect">
                      <a:avLst/>
                    </a:prstGeom>
                    <a:noFill/>
                  </pic:spPr>
                </pic:pic>
              </a:graphicData>
            </a:graphic>
          </wp:anchor>
        </w:drawing>
      </w:r>
    </w:p>
    <w:p>
      <w:pPr>
        <w:spacing w:after="0" w:line="20" w:lineRule="exact"/>
        <w:rPr>
          <w:sz w:val="20"/>
          <w:szCs w:val="20"/>
          <w:color w:val="auto"/>
        </w:rPr>
      </w:pPr>
    </w:p>
    <w:p>
      <w:pPr>
        <w:jc w:val="both"/>
        <w:ind w:right="20" w:firstLine="734"/>
        <w:spacing w:after="0" w:line="235" w:lineRule="auto"/>
        <w:rPr>
          <w:sz w:val="20"/>
          <w:szCs w:val="20"/>
          <w:color w:val="auto"/>
        </w:rPr>
      </w:pPr>
      <w:r>
        <w:rPr>
          <w:rFonts w:ascii="Times New Roman" w:cs="Times New Roman" w:eastAsia="Times New Roman" w:hAnsi="Times New Roman"/>
          <w:sz w:val="24"/>
          <w:szCs w:val="24"/>
          <w:color w:val="auto"/>
        </w:rPr>
        <w:t xml:space="preserve">The </w:t>
      </w:r>
      <w:r>
        <w:rPr>
          <w:rFonts w:ascii="Times New Roman" w:cs="Times New Roman" w:eastAsia="Times New Roman" w:hAnsi="Times New Roman"/>
          <w:sz w:val="20"/>
          <w:szCs w:val="20"/>
          <w:color w:val="auto"/>
        </w:rPr>
        <w:t>Level 2 fair value related to the loan and security agreement is valued using an evaluated price based on a</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0"/>
          <w:szCs w:val="20"/>
          <w:color w:val="auto"/>
        </w:rPr>
        <w:t>compilation of reported market information, such as benchmark yield curves, credit spreads and estimated default rates.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Loan and Security Agreement</w:t>
      </w:r>
    </w:p>
    <w:p>
      <w:pPr>
        <w:spacing w:after="0" w:line="134" w:lineRule="exact"/>
        <w:rPr>
          <w:sz w:val="20"/>
          <w:szCs w:val="20"/>
          <w:color w:val="auto"/>
        </w:rPr>
      </w:pPr>
    </w:p>
    <w:p>
      <w:pPr>
        <w:jc w:val="both"/>
        <w:ind w:right="20" w:firstLine="720"/>
        <w:spacing w:after="0" w:line="258" w:lineRule="auto"/>
        <w:rPr>
          <w:sz w:val="20"/>
          <w:szCs w:val="20"/>
          <w:color w:val="auto"/>
        </w:rPr>
      </w:pPr>
      <w:r>
        <w:rPr>
          <w:rFonts w:ascii="Times New Roman" w:cs="Times New Roman" w:eastAsia="Times New Roman" w:hAnsi="Times New Roman"/>
          <w:sz w:val="20"/>
          <w:szCs w:val="20"/>
          <w:color w:val="auto"/>
        </w:rPr>
        <w:t>On December 30, 2024 (the “Effective Date”), the Company entered into a loan and security agreement (the “Loan and Security Agreement”) with Oxford Finance LLC (“Oxford”), as collateral agent and a lender, and the other lenders from time to time party thereto (collectively, the “Lenders”), pursuant to which the Lenders have entered an agreement to lend the Company an aggregate principal amount of up to $200 million in a series of term loans (the “Term Loans”).</w:t>
      </w:r>
    </w:p>
    <w:p>
      <w:pPr>
        <w:spacing w:after="0" w:line="144" w:lineRule="exact"/>
        <w:rPr>
          <w:sz w:val="20"/>
          <w:szCs w:val="20"/>
          <w:color w:val="auto"/>
        </w:rPr>
      </w:pPr>
    </w:p>
    <w:p>
      <w:pPr>
        <w:jc w:val="both"/>
        <w:ind w:right="20" w:firstLine="720"/>
        <w:spacing w:after="0" w:line="256" w:lineRule="auto"/>
        <w:rPr>
          <w:sz w:val="20"/>
          <w:szCs w:val="20"/>
          <w:color w:val="auto"/>
        </w:rPr>
      </w:pPr>
      <w:r>
        <w:rPr>
          <w:rFonts w:ascii="Times New Roman" w:cs="Times New Roman" w:eastAsia="Times New Roman" w:hAnsi="Times New Roman"/>
          <w:sz w:val="20"/>
          <w:szCs w:val="20"/>
          <w:color w:val="auto"/>
        </w:rPr>
        <w:t>Pursuant to the Loan and Security Agreement, the Company received $110.0 million (the “Initial Term Loan”) and incurred $1.1 million of debt issuance costs inclusive of facility and legal fees. The Company has access to up to an additional $40.0 million of loan proceeds in an additional tranche which is available during the period commencing on the date of the occurrence of the Clinical Milestone (as defined in the Loan and Security Agreement) through the earlier of: (i) 90 days following the Clinical Milestone and (ii) June 30, 2028. An additional $50.0 million may be made available to the Company at the Lenders’ sole discretion.</w:t>
      </w:r>
    </w:p>
    <w:p>
      <w:pPr>
        <w:spacing w:after="0" w:line="208" w:lineRule="exact"/>
        <w:rPr>
          <w:sz w:val="20"/>
          <w:szCs w:val="20"/>
          <w:color w:val="auto"/>
        </w:rPr>
      </w:pPr>
    </w:p>
    <w:p>
      <w:pPr>
        <w:jc w:val="both"/>
        <w:ind w:right="20" w:firstLine="720"/>
        <w:spacing w:after="0" w:line="260" w:lineRule="auto"/>
        <w:rPr>
          <w:sz w:val="20"/>
          <w:szCs w:val="20"/>
          <w:color w:val="auto"/>
        </w:rPr>
      </w:pPr>
      <w:r>
        <w:rPr>
          <w:rFonts w:ascii="Times New Roman" w:cs="Times New Roman" w:eastAsia="Times New Roman" w:hAnsi="Times New Roman"/>
          <w:sz w:val="20"/>
          <w:szCs w:val="20"/>
          <w:color w:val="auto"/>
        </w:rPr>
        <w:t>The term loans are set to mature on December 1, 2029 and, following an interest-only period, will begin to amortize in equal monthly installments beginning on February 1, 2029. However, if the Extension Event as defined in the Agreement occurs, then at the Company’s option, the term loans could begin to amortize in equal monthly installments beginning on February 1, 2030, and the maturity date will be extended to December 1, 2030.</w:t>
      </w:r>
    </w:p>
    <w:p>
      <w:pPr>
        <w:spacing w:after="0" w:line="203" w:lineRule="exact"/>
        <w:rPr>
          <w:sz w:val="20"/>
          <w:szCs w:val="20"/>
          <w:color w:val="auto"/>
        </w:rPr>
      </w:pPr>
    </w:p>
    <w:p>
      <w:pPr>
        <w:jc w:val="both"/>
        <w:ind w:firstLine="720"/>
        <w:spacing w:after="0" w:line="256" w:lineRule="auto"/>
        <w:rPr>
          <w:sz w:val="20"/>
          <w:szCs w:val="20"/>
          <w:color w:val="auto"/>
        </w:rPr>
      </w:pPr>
      <w:r>
        <w:rPr>
          <w:rFonts w:ascii="Times New Roman" w:cs="Times New Roman" w:eastAsia="Times New Roman" w:hAnsi="Times New Roman"/>
          <w:sz w:val="20"/>
          <w:szCs w:val="20"/>
          <w:color w:val="auto"/>
        </w:rPr>
        <w:t>The term loans accrue interest at a floating rate equal to (i) secured overnight financing rate for a one-month tenor from the website of the CME Group Benchmark Administration Limited, subject to a floor of 3.28%, plus (ii) an applicable margin of 5.00%. The Loan and Security Agreement provides for a minimum interest rate of 8.28% and a maximum interest rate of 10.50%. Interest on the term loans is payable monthly in arrears. The term loans once repaid or prepaid may not be reborrowed. The term loans may be prepaid in full at the option of the Company. The Company is required to pay a prepayment fee of 3.00% for prepayments of term loans made in the first year after funding of such term loans, 2.00% for</w:t>
      </w:r>
    </w:p>
    <w:p>
      <w:pPr>
        <w:sectPr>
          <w:pgSz w:w="12240" w:h="15840" w:orient="portrait"/>
          <w:cols w:equalWidth="0" w:num="1">
            <w:col w:w="9900"/>
          </w:cols>
          <w:pgMar w:left="1180" w:top="208" w:right="1160" w:bottom="0" w:gutter="0" w:footer="0" w:header="0"/>
        </w:sect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142</w:t>
      </w:r>
    </w:p>
    <w:p>
      <w:pPr>
        <w:sectPr>
          <w:pgSz w:w="12240" w:h="15840" w:orient="portrait"/>
          <w:cols w:equalWidth="0" w:num="1">
            <w:col w:w="9900"/>
          </w:cols>
          <w:pgMar w:left="1180" w:top="208" w:right="1160" w:bottom="0" w:gutter="0" w:footer="0" w:header="0"/>
          <w:type w:val="continuous"/>
        </w:sectPr>
      </w:pPr>
    </w:p>
    <w:bookmarkStart w:id="142" w:name="page143"/>
    <w:bookmarkEnd w:id="142"/>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Centessa Pharmaceuticals plc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24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prepayments of term loans made in the second year after funding of such term loans and 1.00% for prepayments thereafter. The Company is also obligated to pay other customary fees for a loan facility of this size and type, including a final payment of 5.00% of principal (the “End of Term Charge”). The average interest rate over the year ended December 31, 2025 was 10.4% per annum.</w:t>
      </w:r>
    </w:p>
    <w:p>
      <w:pPr>
        <w:spacing w:after="0" w:line="203" w:lineRule="exact"/>
        <w:rPr>
          <w:sz w:val="20"/>
          <w:szCs w:val="20"/>
          <w:color w:val="auto"/>
        </w:rPr>
      </w:pPr>
    </w:p>
    <w:p>
      <w:pPr>
        <w:jc w:val="both"/>
        <w:ind w:right="20" w:firstLine="720"/>
        <w:spacing w:after="0" w:line="258" w:lineRule="auto"/>
        <w:rPr>
          <w:sz w:val="20"/>
          <w:szCs w:val="20"/>
          <w:color w:val="auto"/>
        </w:rPr>
      </w:pPr>
      <w:r>
        <w:rPr>
          <w:rFonts w:ascii="Times New Roman" w:cs="Times New Roman" w:eastAsia="Times New Roman" w:hAnsi="Times New Roman"/>
          <w:sz w:val="20"/>
          <w:szCs w:val="20"/>
          <w:color w:val="auto"/>
        </w:rPr>
        <w:t>Substantially all of the proceeds from the Initial Term Loan were used to repay in full the approximately $110 million aggregate principal amount outstanding interest and fees related to the Company’s existing note purchase agreement (the “NPA”) with Three Peaks Capital Solutions Aggregator Fund and Cocoon SA LLC, an affiliate of Oberland Capital Management LLC (collectively, “Oberland Capital”). The Company recognized a loss on the extinguishment of this debt of $34.1 million for the year ended December 31, 2024.</w:t>
      </w:r>
    </w:p>
    <w:p>
      <w:pPr>
        <w:spacing w:after="0" w:line="204" w:lineRule="exact"/>
        <w:rPr>
          <w:sz w:val="20"/>
          <w:szCs w:val="20"/>
          <w:color w:val="auto"/>
        </w:rPr>
      </w:pPr>
    </w:p>
    <w:p>
      <w:pPr>
        <w:jc w:val="both"/>
        <w:ind w:right="20" w:firstLine="720"/>
        <w:spacing w:after="0" w:line="254" w:lineRule="auto"/>
        <w:rPr>
          <w:sz w:val="20"/>
          <w:szCs w:val="20"/>
          <w:color w:val="auto"/>
        </w:rPr>
      </w:pPr>
      <w:r>
        <w:rPr>
          <w:rFonts w:ascii="Times New Roman" w:cs="Times New Roman" w:eastAsia="Times New Roman" w:hAnsi="Times New Roman"/>
          <w:sz w:val="20"/>
          <w:szCs w:val="20"/>
          <w:color w:val="auto"/>
        </w:rPr>
        <w:t>The Company’s obligations under the Loan and Security Agreement are guaranteed by the Company and certain subsidiaries of the Company and will be guaranteed by the Company’s future subsidiaries, subject to certain customary limitations pursuant to the terms of the English-law Guarantee and Indemnity (the “Guarantee”). In addition, pursuant to the terms of the Loan and Security Agreement, the Company granted Oxford, as collateral agent, a first priority security interest in substantially all of the Company’s shares and assets, including intellectual property. Furthermore, pursuant to the terms of the English-law debenture entered into on the Effective Date (the “Debenture”), the Company and certain of its subsidiaries granted Oxford a first priority security interest in substantially all of the Company’s and its subsidiaries’ assets, including intellectual property.</w:t>
      </w:r>
    </w:p>
    <w:p>
      <w:pPr>
        <w:spacing w:after="0" w:line="93" w:lineRule="exact"/>
        <w:rPr>
          <w:sz w:val="20"/>
          <w:szCs w:val="20"/>
          <w:color w:val="auto"/>
        </w:rPr>
      </w:pPr>
    </w:p>
    <w:p>
      <w:pPr>
        <w:jc w:val="both"/>
        <w:ind w:firstLine="720"/>
        <w:spacing w:after="0" w:line="253" w:lineRule="auto"/>
        <w:rPr>
          <w:sz w:val="20"/>
          <w:szCs w:val="20"/>
          <w:color w:val="auto"/>
        </w:rPr>
      </w:pPr>
      <w:r>
        <w:rPr>
          <w:rFonts w:ascii="Times New Roman" w:cs="Times New Roman" w:eastAsia="Times New Roman" w:hAnsi="Times New Roman"/>
          <w:sz w:val="20"/>
          <w:szCs w:val="20"/>
          <w:color w:val="auto"/>
        </w:rPr>
        <w:t>The Loan and Security Agreement contains customary affirmative and negative covenants, including covenants limiting the ability of the Company and their subsidiaries to, among other things, dispose of assets, incur debt, grant liens, pay dividends and distributions on their capital stock, make investments and acquisitions, and enter into transactions with affiliates, in each case subject to customary exceptions for a loan facility of this size and type. In addition, commencing on October 1, 2026, the Loan and Security Agreement contains a minimum cash covenant the Company must at all times maintain: (1) 35% of the outstanding aggregate principal balance of the Term Loan; and (2) up to 80% of the outstanding principal balance of the Term Loan based on the Company’s orexin agonist program Phase 2 and Phase 3 clinical data and continued Active Development (as defined in the Loan and Security Agreement) of its lead orexin asset programs; provided that such minimum cash covenants shall not be tested during periods when the Company’s ADSs are listed on the Nasdaq Stock Market and its market capitalization meets $1.0 billion. As of December 31, 2025, the Company is in compliance with all applicable covenants related to the Loan and Security Agreement.</w:t>
      </w:r>
    </w:p>
    <w:p>
      <w:pPr>
        <w:spacing w:after="0" w:line="213" w:lineRule="exact"/>
        <w:rPr>
          <w:sz w:val="20"/>
          <w:szCs w:val="20"/>
          <w:color w:val="auto"/>
        </w:rPr>
      </w:pPr>
    </w:p>
    <w:p>
      <w:pPr>
        <w:jc w:val="both"/>
        <w:ind w:firstLine="720"/>
        <w:spacing w:after="0" w:line="256" w:lineRule="auto"/>
        <w:rPr>
          <w:sz w:val="20"/>
          <w:szCs w:val="20"/>
          <w:color w:val="auto"/>
        </w:rPr>
      </w:pPr>
      <w:r>
        <w:rPr>
          <w:rFonts w:ascii="Times New Roman" w:cs="Times New Roman" w:eastAsia="Times New Roman" w:hAnsi="Times New Roman"/>
          <w:sz w:val="20"/>
          <w:szCs w:val="20"/>
          <w:color w:val="auto"/>
        </w:rPr>
        <w:t>The events of default under the Loan Agreement include, among others, payment defaults, material misrepresentations, breaches of covenants, cross defaults with certain other material indebtedness, bankruptcy and insolvency events, the occurrence of a Material Adverse Change (as defined in the Loan and Security Agreement) and judgment defaults. The occurrence of an event of default could result in the acceleration of the Company’s obligations under the Loan and Security Agreement, the termination of the Lenders’ commitments, a 3% increase in the applicable rate of interest and the exercise by the Lender of other rights and remedies provided for under the Loan Agreement.</w:t>
      </w:r>
    </w:p>
    <w:p>
      <w:pPr>
        <w:spacing w:after="0" w:line="208" w:lineRule="exact"/>
        <w:rPr>
          <w:sz w:val="20"/>
          <w:szCs w:val="20"/>
          <w:color w:val="auto"/>
        </w:rPr>
      </w:pPr>
    </w:p>
    <w:tbl>
      <w:tblPr>
        <w:tblLayout w:type="fixed"/>
        <w:tblInd w:w="40" w:type="dxa"/>
        <w:tblCellMar>
          <w:top w:w="0" w:type="dxa"/>
          <w:left w:w="0" w:type="dxa"/>
          <w:bottom w:w="0" w:type="dxa"/>
          <w:right w:w="0" w:type="dxa"/>
        </w:tblCellMar>
      </w:tblPr>
      <w:tr>
        <w:trPr>
          <w:trHeight w:val="260"/>
        </w:trPr>
        <w:tc>
          <w:tcPr>
            <w:tcW w:w="8600" w:type="dxa"/>
            <w:vAlign w:val="bottom"/>
          </w:tcPr>
          <w:p>
            <w:pPr>
              <w:ind w:left="680"/>
              <w:spacing w:after="0"/>
              <w:rPr>
                <w:sz w:val="20"/>
                <w:szCs w:val="20"/>
                <w:color w:val="auto"/>
              </w:rPr>
            </w:pPr>
            <w:r>
              <w:rPr>
                <w:rFonts w:ascii="Times New Roman" w:cs="Times New Roman" w:eastAsia="Times New Roman" w:hAnsi="Times New Roman"/>
                <w:sz w:val="20"/>
                <w:szCs w:val="20"/>
                <w:color w:val="auto"/>
              </w:rPr>
              <w:t>Future principal payments, including the End of Term Charge, are as follows (in thousands):</w:t>
            </w: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346"/>
        </w:trPr>
        <w:tc>
          <w:tcPr>
            <w:tcW w:w="8600" w:type="dxa"/>
            <w:vAlign w:val="bottom"/>
          </w:tcPr>
          <w:p>
            <w:pPr>
              <w:spacing w:after="0"/>
              <w:rPr>
                <w:sz w:val="20"/>
                <w:szCs w:val="20"/>
                <w:color w:val="auto"/>
              </w:rPr>
            </w:pPr>
            <w:r>
              <w:rPr>
                <w:rFonts w:ascii="Times New Roman" w:cs="Times New Roman" w:eastAsia="Times New Roman" w:hAnsi="Times New Roman"/>
                <w:sz w:val="20"/>
                <w:szCs w:val="20"/>
                <w:color w:val="auto"/>
              </w:rPr>
              <w:t>Year ending:</w:t>
            </w: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6"/>
                <w:szCs w:val="16"/>
                <w:b w:val="1"/>
                <w:bCs w:val="1"/>
                <w:color w:val="auto"/>
              </w:rPr>
              <w:t>Payments</w:t>
            </w:r>
          </w:p>
        </w:tc>
      </w:tr>
      <w:tr>
        <w:trPr>
          <w:trHeight w:val="292"/>
        </w:trPr>
        <w:tc>
          <w:tcPr>
            <w:tcW w:w="86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2026</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w:t>
            </w:r>
          </w:p>
        </w:tc>
      </w:tr>
      <w:tr>
        <w:trPr>
          <w:trHeight w:val="315"/>
        </w:trPr>
        <w:tc>
          <w:tcPr>
            <w:tcW w:w="86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2027</w:t>
            </w:r>
          </w:p>
        </w:tc>
        <w:tc>
          <w:tcPr>
            <w:tcW w:w="220" w:type="dxa"/>
            <w:vAlign w:val="bottom"/>
          </w:tcPr>
          <w:p>
            <w:pPr>
              <w:spacing w:after="0"/>
              <w:rPr>
                <w:sz w:val="24"/>
                <w:szCs w:val="24"/>
                <w:color w:val="auto"/>
              </w:rPr>
            </w:pPr>
          </w:p>
        </w:tc>
        <w:tc>
          <w:tcPr>
            <w:tcW w:w="104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w:t>
            </w:r>
          </w:p>
        </w:tc>
      </w:tr>
      <w:tr>
        <w:trPr>
          <w:trHeight w:val="315"/>
        </w:trPr>
        <w:tc>
          <w:tcPr>
            <w:tcW w:w="86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2028</w:t>
            </w:r>
          </w:p>
        </w:tc>
        <w:tc>
          <w:tcPr>
            <w:tcW w:w="220" w:type="dxa"/>
            <w:vAlign w:val="bottom"/>
          </w:tcPr>
          <w:p>
            <w:pPr>
              <w:spacing w:after="0"/>
              <w:rPr>
                <w:sz w:val="24"/>
                <w:szCs w:val="24"/>
                <w:color w:val="auto"/>
              </w:rPr>
            </w:pPr>
          </w:p>
        </w:tc>
        <w:tc>
          <w:tcPr>
            <w:tcW w:w="104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w:t>
            </w:r>
          </w:p>
        </w:tc>
      </w:tr>
      <w:tr>
        <w:trPr>
          <w:trHeight w:val="318"/>
        </w:trPr>
        <w:tc>
          <w:tcPr>
            <w:tcW w:w="86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2029</w:t>
            </w: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115,500</w:t>
            </w:r>
          </w:p>
        </w:tc>
      </w:tr>
      <w:tr>
        <w:trPr>
          <w:trHeight w:val="292"/>
        </w:trPr>
        <w:tc>
          <w:tcPr>
            <w:tcW w:w="86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Total principal payments, including End of Term Charge</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115,500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-1203960</wp:posOffset>
            </wp:positionV>
            <wp:extent cx="6311900" cy="12255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2">
                      <a:extLst>
                        <a:ext uri="{28A0092B-C50C-407E-A947-70E740481C1C}"/>
                      </a:extLst>
                    </a:blip>
                    <a:srcRect/>
                    <a:stretch>
                      <a:fillRect/>
                    </a:stretch>
                  </pic:blipFill>
                  <pic:spPr bwMode="auto">
                    <a:xfrm>
                      <a:off x="0" y="0"/>
                      <a:ext cx="6311900" cy="1225550"/>
                    </a:xfrm>
                    <a:prstGeom prst="rect">
                      <a:avLst/>
                    </a:prstGeom>
                    <a:noFill/>
                  </pic:spPr>
                </pic:pic>
              </a:graphicData>
            </a:graphic>
          </wp:anchor>
        </w:drawing>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7. Commitments and Contingencies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Commitments</w:t>
      </w:r>
    </w:p>
    <w:p>
      <w:pPr>
        <w:spacing w:after="0" w:line="134" w:lineRule="exact"/>
        <w:rPr>
          <w:sz w:val="20"/>
          <w:szCs w:val="20"/>
          <w:color w:val="auto"/>
        </w:rPr>
      </w:pPr>
    </w:p>
    <w:p>
      <w:pPr>
        <w:jc w:val="both"/>
        <w:ind w:right="20" w:firstLine="720"/>
        <w:spacing w:after="0" w:line="260" w:lineRule="auto"/>
        <w:rPr>
          <w:sz w:val="20"/>
          <w:szCs w:val="20"/>
          <w:color w:val="auto"/>
        </w:rPr>
      </w:pPr>
      <w:r>
        <w:rPr>
          <w:rFonts w:ascii="Times New Roman" w:cs="Times New Roman" w:eastAsia="Times New Roman" w:hAnsi="Times New Roman"/>
          <w:sz w:val="20"/>
          <w:szCs w:val="20"/>
          <w:color w:val="auto"/>
        </w:rPr>
        <w:t>As of December 31, 2025, the Company had non-cancellable commitments for purchase of clinical materials, contract manufacturing, maintenance, and committed funding of up to $19.7 million, of which the Company expects to pay $16.1 million within one year and the remaining $3.6 million over one to five years. Certain agreements provide for termination rights subject to termination fees or wind down costs. Under such agreements, the Company is contractually</w:t>
      </w:r>
    </w:p>
    <w:p>
      <w:pPr>
        <w:sectPr>
          <w:pgSz w:w="12240" w:h="15840" w:orient="portrait"/>
          <w:cols w:equalWidth="0" w:num="1">
            <w:col w:w="9900"/>
          </w:cols>
          <w:pgMar w:left="1180" w:top="208" w:right="1160" w:bottom="0" w:gutter="0" w:footer="0" w:header="0"/>
        </w:sect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143</w:t>
      </w:r>
    </w:p>
    <w:p>
      <w:pPr>
        <w:sectPr>
          <w:pgSz w:w="12240" w:h="15840" w:orient="portrait"/>
          <w:cols w:equalWidth="0" w:num="1">
            <w:col w:w="9900"/>
          </w:cols>
          <w:pgMar w:left="1180" w:top="208" w:right="1160" w:bottom="0" w:gutter="0" w:footer="0" w:header="0"/>
          <w:type w:val="continuous"/>
        </w:sectPr>
      </w:pPr>
    </w:p>
    <w:bookmarkStart w:id="143" w:name="page144"/>
    <w:bookmarkEnd w:id="143"/>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Centessa Pharmaceuticals plc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243"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obligated to make certain payments to vendors, primarily to reimburse them for their unrecoverable outlays period incurred prior to cancellation. The amount and timing of these payments vary depending on the rate of progress of development. Future clinical trial expenses have not been included within the purchase commitments because they are contingent on enrollment in clinical trials and the activities required to be performed by the clinical sites.</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Leases</w:t>
      </w:r>
    </w:p>
    <w:p>
      <w:pPr>
        <w:spacing w:after="0" w:line="134" w:lineRule="exact"/>
        <w:rPr>
          <w:sz w:val="20"/>
          <w:szCs w:val="20"/>
          <w:color w:val="auto"/>
        </w:rPr>
      </w:pPr>
    </w:p>
    <w:p>
      <w:pPr>
        <w:jc w:val="both"/>
        <w:ind w:right="20" w:firstLine="720"/>
        <w:spacing w:after="0" w:line="255" w:lineRule="auto"/>
        <w:rPr>
          <w:sz w:val="20"/>
          <w:szCs w:val="20"/>
          <w:color w:val="auto"/>
        </w:rPr>
      </w:pPr>
      <w:r>
        <w:rPr>
          <w:rFonts w:ascii="Times New Roman" w:cs="Times New Roman" w:eastAsia="Times New Roman" w:hAnsi="Times New Roman"/>
          <w:sz w:val="20"/>
          <w:szCs w:val="20"/>
          <w:color w:val="auto"/>
        </w:rPr>
        <w:t>On February 7, 2022, the Company entered into an operating lease for its new U.S. corporate headquarters in Boston, Massachusetts (the “Boston Lease”). After a build out of the space, the Boston Lease commenced on March 31, 2023. The 10-year Boston Lease is for 18,922 square feet with a fixed annual rent of approximately $1.6 million commencing in 2023 and escalating to approximately $1.9 million by year 10. The Boston Lease required the Company to issue a letter of credit in the amount of $0.7 million in favor of the landlord. The Company may, at its discretion, extend the Boston Lease for one extension term of five years. On October 11, 2023, the Company entered into a five-year agreement to sublet 4,242 square feet of the Boston Lease, which may be extended at subtenant’s option.</w:t>
      </w:r>
    </w:p>
    <w:p>
      <w:pPr>
        <w:spacing w:after="0" w:line="210" w:lineRule="exact"/>
        <w:rPr>
          <w:sz w:val="20"/>
          <w:szCs w:val="20"/>
          <w:color w:val="auto"/>
        </w:rPr>
      </w:pPr>
    </w:p>
    <w:p>
      <w:pPr>
        <w:jc w:val="both"/>
        <w:ind w:right="20" w:firstLine="720"/>
        <w:spacing w:after="0" w:line="281" w:lineRule="auto"/>
        <w:rPr>
          <w:sz w:val="20"/>
          <w:szCs w:val="20"/>
          <w:color w:val="auto"/>
        </w:rPr>
      </w:pPr>
      <w:r>
        <w:rPr>
          <w:rFonts w:ascii="Times New Roman" w:cs="Times New Roman" w:eastAsia="Times New Roman" w:hAnsi="Times New Roman"/>
          <w:sz w:val="20"/>
          <w:szCs w:val="20"/>
          <w:color w:val="auto"/>
        </w:rPr>
        <w:t>The following table provides balance sheet information related to leases as of December 31, 2025 (amounts in thousands):</w:t>
      </w:r>
    </w:p>
    <w:p>
      <w:pPr>
        <w:spacing w:after="0" w:line="200" w:lineRule="exact"/>
        <w:rPr>
          <w:sz w:val="20"/>
          <w:szCs w:val="20"/>
          <w:color w:val="auto"/>
        </w:rPr>
      </w:pPr>
    </w:p>
    <w:p>
      <w:pPr>
        <w:spacing w:after="0" w:line="281"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72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tcPr>
          <w:p>
            <w:pPr>
              <w:jc w:val="right"/>
              <w:ind w:right="604"/>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0" w:type="dxa"/>
            <w:vAlign w:val="bottom"/>
          </w:tcPr>
          <w:p>
            <w:pPr>
              <w:spacing w:after="0"/>
              <w:rPr>
                <w:sz w:val="1"/>
                <w:szCs w:val="1"/>
                <w:color w:val="auto"/>
              </w:rPr>
            </w:pPr>
          </w:p>
        </w:tc>
      </w:tr>
      <w:tr>
        <w:trPr>
          <w:trHeight w:val="292"/>
        </w:trPr>
        <w:tc>
          <w:tcPr>
            <w:tcW w:w="7200" w:type="dxa"/>
            <w:vAlign w:val="bottom"/>
          </w:tcPr>
          <w:p>
            <w:pPr>
              <w:spacing w:after="0"/>
              <w:rPr>
                <w:sz w:val="20"/>
                <w:szCs w:val="20"/>
                <w:color w:val="auto"/>
              </w:rPr>
            </w:pPr>
            <w:r>
              <w:rPr>
                <w:rFonts w:ascii="Times New Roman" w:cs="Times New Roman" w:eastAsia="Times New Roman" w:hAnsi="Times New Roman"/>
                <w:sz w:val="20"/>
                <w:szCs w:val="20"/>
                <w:color w:val="auto"/>
              </w:rPr>
              <w:t>Assets:</w:t>
            </w:r>
          </w:p>
        </w:tc>
        <w:tc>
          <w:tcPr>
            <w:tcW w:w="4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72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Operating lease, right-of-use asset</w:t>
            </w:r>
          </w:p>
        </w:tc>
        <w:tc>
          <w:tcPr>
            <w:tcW w:w="42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224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20"/>
                <w:szCs w:val="20"/>
                <w:color w:val="auto"/>
              </w:rPr>
              <w:t>10,047</w:t>
            </w:r>
          </w:p>
        </w:tc>
        <w:tc>
          <w:tcPr>
            <w:tcW w:w="0" w:type="dxa"/>
            <w:vAlign w:val="bottom"/>
          </w:tcPr>
          <w:p>
            <w:pPr>
              <w:spacing w:after="0"/>
              <w:rPr>
                <w:sz w:val="1"/>
                <w:szCs w:val="1"/>
                <w:color w:val="auto"/>
              </w:rPr>
            </w:pPr>
          </w:p>
        </w:tc>
      </w:tr>
      <w:tr>
        <w:trPr>
          <w:trHeight w:val="20"/>
        </w:trPr>
        <w:tc>
          <w:tcPr>
            <w:tcW w:w="72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Liabilities:</w:t>
            </w:r>
          </w:p>
        </w:tc>
        <w:tc>
          <w:tcPr>
            <w:tcW w:w="42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7"/>
        </w:trPr>
        <w:tc>
          <w:tcPr>
            <w:tcW w:w="720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72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Current portion of operating lease liabilities</w:t>
            </w:r>
          </w:p>
        </w:tc>
        <w:tc>
          <w:tcPr>
            <w:tcW w:w="42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224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713</w:t>
            </w:r>
          </w:p>
        </w:tc>
        <w:tc>
          <w:tcPr>
            <w:tcW w:w="0" w:type="dxa"/>
            <w:vAlign w:val="bottom"/>
          </w:tcPr>
          <w:p>
            <w:pPr>
              <w:spacing w:after="0"/>
              <w:rPr>
                <w:sz w:val="1"/>
                <w:szCs w:val="1"/>
                <w:color w:val="auto"/>
              </w:rPr>
            </w:pPr>
          </w:p>
        </w:tc>
      </w:tr>
      <w:tr>
        <w:trPr>
          <w:trHeight w:val="318"/>
        </w:trPr>
        <w:tc>
          <w:tcPr>
            <w:tcW w:w="72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Operating lease liabilities, net of current portion</w:t>
            </w:r>
          </w:p>
        </w:tc>
        <w:tc>
          <w:tcPr>
            <w:tcW w:w="4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20"/>
                <w:szCs w:val="20"/>
                <w:color w:val="auto"/>
              </w:rPr>
              <w:t>7,573</w:t>
            </w:r>
          </w:p>
        </w:tc>
        <w:tc>
          <w:tcPr>
            <w:tcW w:w="0" w:type="dxa"/>
            <w:vAlign w:val="bottom"/>
          </w:tcPr>
          <w:p>
            <w:pPr>
              <w:spacing w:after="0"/>
              <w:rPr>
                <w:sz w:val="1"/>
                <w:szCs w:val="1"/>
                <w:color w:val="auto"/>
              </w:rPr>
            </w:pPr>
          </w:p>
        </w:tc>
      </w:tr>
      <w:tr>
        <w:trPr>
          <w:trHeight w:val="275"/>
        </w:trPr>
        <w:tc>
          <w:tcPr>
            <w:tcW w:w="7200" w:type="dxa"/>
            <w:vAlign w:val="bottom"/>
          </w:tcPr>
          <w:p>
            <w:pPr>
              <w:spacing w:after="0"/>
              <w:rPr>
                <w:sz w:val="20"/>
                <w:szCs w:val="20"/>
                <w:color w:val="auto"/>
              </w:rPr>
            </w:pPr>
            <w:r>
              <w:rPr>
                <w:rFonts w:ascii="Times New Roman" w:cs="Times New Roman" w:eastAsia="Times New Roman" w:hAnsi="Times New Roman"/>
                <w:sz w:val="20"/>
                <w:szCs w:val="20"/>
                <w:color w:val="auto"/>
              </w:rPr>
              <w:t>Total operating lease liabilities</w:t>
            </w:r>
          </w:p>
        </w:tc>
        <w:tc>
          <w:tcPr>
            <w:tcW w:w="42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224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20"/>
                <w:szCs w:val="20"/>
                <w:color w:val="auto"/>
              </w:rPr>
              <w:t>8,286</w:t>
            </w: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-1431290</wp:posOffset>
            </wp:positionV>
            <wp:extent cx="6324600" cy="14509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3">
                      <a:extLst>
                        <a:ext uri="{28A0092B-C50C-407E-A947-70E740481C1C}"/>
                      </a:extLst>
                    </a:blip>
                    <a:srcRect/>
                    <a:stretch>
                      <a:fillRect/>
                    </a:stretch>
                  </pic:blipFill>
                  <pic:spPr bwMode="auto">
                    <a:xfrm>
                      <a:off x="0" y="0"/>
                      <a:ext cx="6324600" cy="145097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jc w:val="both"/>
        <w:ind w:right="20" w:firstLine="720"/>
        <w:spacing w:after="0" w:line="266" w:lineRule="auto"/>
        <w:rPr>
          <w:sz w:val="20"/>
          <w:szCs w:val="20"/>
          <w:color w:val="auto"/>
        </w:rPr>
      </w:pPr>
      <w:r>
        <w:rPr>
          <w:rFonts w:ascii="Times New Roman" w:cs="Times New Roman" w:eastAsia="Times New Roman" w:hAnsi="Times New Roman"/>
          <w:sz w:val="20"/>
          <w:szCs w:val="20"/>
          <w:color w:val="auto"/>
        </w:rPr>
        <w:t>In calculating the present value of the lease payments, the Company elected to utilize its incremental borrowing rate based on the original term of the lease. The following table summarizes supplemental information related to leases as of December 31, 2025 (amount in thousands):</w:t>
      </w:r>
    </w:p>
    <w:p>
      <w:pPr>
        <w:spacing w:after="0" w:line="200" w:lineRule="exact"/>
        <w:rPr>
          <w:sz w:val="20"/>
          <w:szCs w:val="20"/>
          <w:color w:val="auto"/>
        </w:rPr>
      </w:pP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7100" w:type="dxa"/>
            <w:vAlign w:val="bottom"/>
          </w:tcPr>
          <w:p>
            <w:pPr>
              <w:spacing w:after="0"/>
              <w:rPr>
                <w:sz w:val="18"/>
                <w:szCs w:val="18"/>
                <w:color w:val="auto"/>
              </w:rPr>
            </w:pPr>
          </w:p>
        </w:tc>
        <w:tc>
          <w:tcPr>
            <w:tcW w:w="2760" w:type="dxa"/>
            <w:vAlign w:val="bottom"/>
            <w:tcBorders>
              <w:bottom w:val="single" w:sz="8" w:color="auto"/>
            </w:tcBorders>
          </w:tcPr>
          <w:p>
            <w:pPr>
              <w:jc w:val="right"/>
              <w:ind w:right="647"/>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397"/>
        </w:trPr>
        <w:tc>
          <w:tcPr>
            <w:tcW w:w="7100" w:type="dxa"/>
            <w:vAlign w:val="bottom"/>
          </w:tcPr>
          <w:p>
            <w:pPr>
              <w:spacing w:after="0"/>
              <w:rPr>
                <w:sz w:val="20"/>
                <w:szCs w:val="20"/>
                <w:color w:val="auto"/>
              </w:rPr>
            </w:pPr>
            <w:r>
              <w:rPr>
                <w:rFonts w:ascii="Times New Roman" w:cs="Times New Roman" w:eastAsia="Times New Roman" w:hAnsi="Times New Roman"/>
                <w:sz w:val="20"/>
                <w:szCs w:val="20"/>
                <w:color w:val="auto"/>
              </w:rPr>
              <w:t>Weighted-average remaining lease term</w:t>
            </w:r>
          </w:p>
        </w:tc>
        <w:tc>
          <w:tcPr>
            <w:tcW w:w="2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 years</w:t>
            </w:r>
          </w:p>
        </w:tc>
      </w:tr>
      <w:tr>
        <w:trPr>
          <w:trHeight w:val="315"/>
        </w:trPr>
        <w:tc>
          <w:tcPr>
            <w:tcW w:w="7100" w:type="dxa"/>
            <w:vAlign w:val="bottom"/>
          </w:tcPr>
          <w:p>
            <w:pPr>
              <w:spacing w:after="0"/>
              <w:rPr>
                <w:sz w:val="20"/>
                <w:szCs w:val="20"/>
                <w:color w:val="auto"/>
              </w:rPr>
            </w:pPr>
            <w:r>
              <w:rPr>
                <w:rFonts w:ascii="Times New Roman" w:cs="Times New Roman" w:eastAsia="Times New Roman" w:hAnsi="Times New Roman"/>
                <w:sz w:val="20"/>
                <w:szCs w:val="20"/>
                <w:color w:val="auto"/>
              </w:rPr>
              <w:t>Weighted-average discount rate</w:t>
            </w:r>
          </w:p>
        </w:tc>
        <w:tc>
          <w:tcPr>
            <w:tcW w:w="2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11.97 %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-470535</wp:posOffset>
            </wp:positionV>
            <wp:extent cx="6311900" cy="4921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4">
                      <a:extLst>
                        <a:ext uri="{28A0092B-C50C-407E-A947-70E740481C1C}"/>
                      </a:extLst>
                    </a:blip>
                    <a:srcRect/>
                    <a:stretch>
                      <a:fillRect/>
                    </a:stretch>
                  </pic:blipFill>
                  <pic:spPr bwMode="auto">
                    <a:xfrm>
                      <a:off x="0" y="0"/>
                      <a:ext cx="6311900" cy="492125"/>
                    </a:xfrm>
                    <a:prstGeom prst="rect">
                      <a:avLst/>
                    </a:prstGeom>
                    <a:noFill/>
                  </pic:spPr>
                </pic:pic>
              </a:graphicData>
            </a:graphic>
          </wp:anchor>
        </w:drawing>
      </w:r>
    </w:p>
    <w:p>
      <w:pPr>
        <w:sectPr>
          <w:pgSz w:w="12240" w:h="15840" w:orient="portrait"/>
          <w:cols w:equalWidth="0" w:num="1">
            <w:col w:w="9900"/>
          </w:cols>
          <w:pgMar w:left="1180" w:top="20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144</w:t>
      </w:r>
    </w:p>
    <w:p>
      <w:pPr>
        <w:sectPr>
          <w:pgSz w:w="12240" w:h="15840" w:orient="portrait"/>
          <w:cols w:equalWidth="0" w:num="1">
            <w:col w:w="9900"/>
          </w:cols>
          <w:pgMar w:left="1180" w:top="208" w:right="1160" w:bottom="0" w:gutter="0" w:footer="0" w:header="0"/>
          <w:type w:val="continuous"/>
        </w:sectPr>
      </w:pPr>
    </w:p>
    <w:bookmarkStart w:id="144" w:name="page145"/>
    <w:bookmarkEnd w:id="144"/>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Centessa Pharmaceuticals plc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243" w:lineRule="exact"/>
        <w:rPr>
          <w:sz w:val="20"/>
          <w:szCs w:val="20"/>
          <w:color w:val="auto"/>
        </w:rPr>
      </w:pPr>
    </w:p>
    <w:p>
      <w:pPr>
        <w:jc w:val="both"/>
        <w:ind w:right="20" w:firstLine="720"/>
        <w:spacing w:after="0" w:line="281" w:lineRule="auto"/>
        <w:rPr>
          <w:sz w:val="20"/>
          <w:szCs w:val="20"/>
          <w:color w:val="auto"/>
        </w:rPr>
      </w:pPr>
      <w:r>
        <w:rPr>
          <w:rFonts w:ascii="Times New Roman" w:cs="Times New Roman" w:eastAsia="Times New Roman" w:hAnsi="Times New Roman"/>
          <w:sz w:val="20"/>
          <w:szCs w:val="20"/>
          <w:color w:val="auto"/>
        </w:rPr>
        <w:t>The components of the Company’s lease costs and sublease income are classified on its consolidated statements of operations as follows (amounts in thousands):</w:t>
      </w:r>
    </w:p>
    <w:p>
      <w:pPr>
        <w:spacing w:after="0" w:line="136"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70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1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66"/>
              <w:spacing w:after="0"/>
              <w:rPr>
                <w:sz w:val="20"/>
                <w:szCs w:val="20"/>
                <w:color w:val="auto"/>
              </w:rPr>
            </w:pPr>
            <w:r>
              <w:rPr>
                <w:rFonts w:ascii="Times New Roman" w:cs="Times New Roman" w:eastAsia="Times New Roman" w:hAnsi="Times New Roman"/>
                <w:sz w:val="16"/>
                <w:szCs w:val="16"/>
                <w:b w:val="1"/>
                <w:bCs w:val="1"/>
                <w:color w:val="auto"/>
              </w:rPr>
              <w:t>Year Ended</w:t>
            </w:r>
          </w:p>
        </w:tc>
      </w:tr>
      <w:tr>
        <w:trPr>
          <w:trHeight w:val="214"/>
        </w:trPr>
        <w:tc>
          <w:tcPr>
            <w:tcW w:w="7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ind w:right="406"/>
              <w:spacing w:after="0"/>
              <w:rPr>
                <w:sz w:val="20"/>
                <w:szCs w:val="20"/>
                <w:color w:val="auto"/>
              </w:rPr>
            </w:pPr>
            <w:r>
              <w:rPr>
                <w:rFonts w:ascii="Times New Roman" w:cs="Times New Roman" w:eastAsia="Times New Roman" w:hAnsi="Times New Roman"/>
                <w:sz w:val="16"/>
                <w:szCs w:val="16"/>
                <w:b w:val="1"/>
                <w:bCs w:val="1"/>
                <w:color w:val="auto"/>
              </w:rPr>
              <w:t>2025</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ind w:right="406"/>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318"/>
        </w:trPr>
        <w:tc>
          <w:tcPr>
            <w:tcW w:w="7040" w:type="dxa"/>
            <w:vAlign w:val="bottom"/>
          </w:tcPr>
          <w:p>
            <w:pPr>
              <w:spacing w:after="0"/>
              <w:rPr>
                <w:sz w:val="20"/>
                <w:szCs w:val="20"/>
                <w:color w:val="auto"/>
              </w:rPr>
            </w:pPr>
            <w:r>
              <w:rPr>
                <w:rFonts w:ascii="Times New Roman" w:cs="Times New Roman" w:eastAsia="Times New Roman" w:hAnsi="Times New Roman"/>
                <w:sz w:val="20"/>
                <w:szCs w:val="20"/>
                <w:color w:val="auto"/>
              </w:rPr>
              <w:t>Operating lease cost</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1,998</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ind w:right="6"/>
              <w:spacing w:after="0"/>
              <w:rPr>
                <w:sz w:val="20"/>
                <w:szCs w:val="20"/>
                <w:color w:val="auto"/>
              </w:rPr>
            </w:pPr>
            <w:r>
              <w:rPr>
                <w:rFonts w:ascii="Times New Roman" w:cs="Times New Roman" w:eastAsia="Times New Roman" w:hAnsi="Times New Roman"/>
                <w:sz w:val="20"/>
                <w:szCs w:val="20"/>
                <w:color w:val="auto"/>
              </w:rPr>
              <w:t>1,998</w:t>
            </w:r>
          </w:p>
        </w:tc>
      </w:tr>
      <w:tr>
        <w:trPr>
          <w:trHeight w:val="315"/>
        </w:trPr>
        <w:tc>
          <w:tcPr>
            <w:tcW w:w="7040" w:type="dxa"/>
            <w:vAlign w:val="bottom"/>
          </w:tcPr>
          <w:p>
            <w:pPr>
              <w:spacing w:after="0"/>
              <w:rPr>
                <w:sz w:val="20"/>
                <w:szCs w:val="20"/>
                <w:color w:val="auto"/>
              </w:rPr>
            </w:pPr>
            <w:r>
              <w:rPr>
                <w:rFonts w:ascii="Times New Roman" w:cs="Times New Roman" w:eastAsia="Times New Roman" w:hAnsi="Times New Roman"/>
                <w:sz w:val="20"/>
                <w:szCs w:val="20"/>
                <w:color w:val="auto"/>
              </w:rPr>
              <w:t>Variable lease cost</w:t>
            </w: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131</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ind w:right="6"/>
              <w:spacing w:after="0"/>
              <w:rPr>
                <w:sz w:val="20"/>
                <w:szCs w:val="20"/>
                <w:color w:val="auto"/>
              </w:rPr>
            </w:pPr>
            <w:r>
              <w:rPr>
                <w:rFonts w:ascii="Times New Roman" w:cs="Times New Roman" w:eastAsia="Times New Roman" w:hAnsi="Times New Roman"/>
                <w:sz w:val="20"/>
                <w:szCs w:val="20"/>
                <w:color w:val="auto"/>
              </w:rPr>
              <w:t>20</w:t>
            </w:r>
          </w:p>
        </w:tc>
      </w:tr>
      <w:tr>
        <w:trPr>
          <w:trHeight w:val="315"/>
        </w:trPr>
        <w:tc>
          <w:tcPr>
            <w:tcW w:w="7040" w:type="dxa"/>
            <w:vAlign w:val="bottom"/>
          </w:tcPr>
          <w:p>
            <w:pPr>
              <w:spacing w:after="0"/>
              <w:rPr>
                <w:sz w:val="20"/>
                <w:szCs w:val="20"/>
                <w:color w:val="auto"/>
              </w:rPr>
            </w:pPr>
            <w:r>
              <w:rPr>
                <w:rFonts w:ascii="Times New Roman" w:cs="Times New Roman" w:eastAsia="Times New Roman" w:hAnsi="Times New Roman"/>
                <w:sz w:val="20"/>
                <w:szCs w:val="20"/>
                <w:color w:val="auto"/>
              </w:rPr>
              <w:t>Short term lease cost</w:t>
            </w: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ind w:right="6"/>
              <w:spacing w:after="0"/>
              <w:rPr>
                <w:sz w:val="20"/>
                <w:szCs w:val="20"/>
                <w:color w:val="auto"/>
              </w:rPr>
            </w:pPr>
            <w:r>
              <w:rPr>
                <w:rFonts w:ascii="Times New Roman" w:cs="Times New Roman" w:eastAsia="Times New Roman" w:hAnsi="Times New Roman"/>
                <w:sz w:val="20"/>
                <w:szCs w:val="20"/>
                <w:color w:val="auto"/>
              </w:rPr>
              <w:t>4</w:t>
            </w:r>
          </w:p>
        </w:tc>
      </w:tr>
      <w:tr>
        <w:trPr>
          <w:trHeight w:val="318"/>
        </w:trPr>
        <w:tc>
          <w:tcPr>
            <w:tcW w:w="7040" w:type="dxa"/>
            <w:vAlign w:val="bottom"/>
          </w:tcPr>
          <w:p>
            <w:pPr>
              <w:spacing w:after="0"/>
              <w:rPr>
                <w:sz w:val="20"/>
                <w:szCs w:val="20"/>
                <w:color w:val="auto"/>
              </w:rPr>
            </w:pPr>
            <w:r>
              <w:rPr>
                <w:rFonts w:ascii="Times New Roman" w:cs="Times New Roman" w:eastAsia="Times New Roman" w:hAnsi="Times New Roman"/>
                <w:sz w:val="20"/>
                <w:szCs w:val="20"/>
                <w:color w:val="auto"/>
              </w:rPr>
              <w:t>Sublease income</w:t>
            </w: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(350)</w:t>
            </w:r>
          </w:p>
        </w:tc>
        <w:tc>
          <w:tcPr>
            <w:tcW w:w="1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(350)</w:t>
            </w:r>
          </w:p>
        </w:tc>
      </w:tr>
      <w:tr>
        <w:trPr>
          <w:trHeight w:val="275"/>
        </w:trPr>
        <w:tc>
          <w:tcPr>
            <w:tcW w:w="7040" w:type="dxa"/>
            <w:vAlign w:val="bottom"/>
          </w:tcPr>
          <w:p>
            <w:pPr>
              <w:spacing w:after="0"/>
              <w:rPr>
                <w:sz w:val="20"/>
                <w:szCs w:val="20"/>
                <w:color w:val="auto"/>
              </w:rPr>
            </w:pPr>
            <w:r>
              <w:rPr>
                <w:rFonts w:ascii="Times New Roman" w:cs="Times New Roman" w:eastAsia="Times New Roman" w:hAnsi="Times New Roman"/>
                <w:sz w:val="20"/>
                <w:szCs w:val="20"/>
                <w:color w:val="auto"/>
              </w:rPr>
              <w:t>Total operating lease cost</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1,785</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ind w:right="6"/>
              <w:spacing w:after="0"/>
              <w:rPr>
                <w:sz w:val="20"/>
                <w:szCs w:val="20"/>
                <w:color w:val="auto"/>
              </w:rPr>
            </w:pPr>
            <w:r>
              <w:rPr>
                <w:rFonts w:ascii="Times New Roman" w:cs="Times New Roman" w:eastAsia="Times New Roman" w:hAnsi="Times New Roman"/>
                <w:sz w:val="20"/>
                <w:szCs w:val="20"/>
                <w:color w:val="auto"/>
              </w:rPr>
              <w:t>1,672</w:t>
            </w:r>
          </w:p>
        </w:tc>
      </w:tr>
      <w:tr>
        <w:trPr>
          <w:trHeight w:val="20"/>
        </w:trPr>
        <w:tc>
          <w:tcPr>
            <w:tcW w:w="70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-1031240</wp:posOffset>
            </wp:positionV>
            <wp:extent cx="6324600" cy="10509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5">
                      <a:extLst>
                        <a:ext uri="{28A0092B-C50C-407E-A947-70E740481C1C}"/>
                      </a:extLst>
                    </a:blip>
                    <a:srcRect/>
                    <a:stretch>
                      <a:fillRect/>
                    </a:stretch>
                  </pic:blipFill>
                  <pic:spPr bwMode="auto">
                    <a:xfrm>
                      <a:off x="0" y="0"/>
                      <a:ext cx="6324600" cy="1050925"/>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ind w:right="20" w:firstLine="720"/>
        <w:spacing w:after="0" w:line="281" w:lineRule="auto"/>
        <w:rPr>
          <w:sz w:val="20"/>
          <w:szCs w:val="20"/>
          <w:color w:val="auto"/>
        </w:rPr>
      </w:pPr>
      <w:r>
        <w:rPr>
          <w:rFonts w:ascii="Times New Roman" w:cs="Times New Roman" w:eastAsia="Times New Roman" w:hAnsi="Times New Roman"/>
          <w:sz w:val="20"/>
          <w:szCs w:val="20"/>
          <w:color w:val="auto"/>
        </w:rPr>
        <w:t>Future lease payments under non-cancelable operating leases and expected sublease income as of December 31, 2025 were as follows (amounts in thousands):</w:t>
      </w:r>
    </w:p>
    <w:p>
      <w:pPr>
        <w:spacing w:after="0" w:line="360"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6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jc w:val="right"/>
              <w:ind w:right="183"/>
              <w:spacing w:after="0"/>
              <w:rPr>
                <w:sz w:val="20"/>
                <w:szCs w:val="20"/>
                <w:color w:val="auto"/>
              </w:rPr>
            </w:pPr>
            <w:r>
              <w:rPr>
                <w:rFonts w:ascii="Times New Roman" w:cs="Times New Roman" w:eastAsia="Times New Roman" w:hAnsi="Times New Roman"/>
                <w:sz w:val="16"/>
                <w:szCs w:val="16"/>
                <w:b w:val="1"/>
                <w:bCs w:val="1"/>
                <w:color w:val="auto"/>
              </w:rPr>
              <w:t>Operating</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vMerge w:val="restart"/>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w w:val="99"/>
              </w:rPr>
              <w:t>Sublease Income</w:t>
            </w:r>
          </w:p>
        </w:tc>
        <w:tc>
          <w:tcPr>
            <w:tcW w:w="0" w:type="dxa"/>
            <w:vAlign w:val="bottom"/>
          </w:tcPr>
          <w:p>
            <w:pPr>
              <w:spacing w:after="0"/>
              <w:rPr>
                <w:sz w:val="1"/>
                <w:szCs w:val="1"/>
                <w:color w:val="auto"/>
              </w:rPr>
            </w:pPr>
          </w:p>
        </w:tc>
      </w:tr>
      <w:tr>
        <w:trPr>
          <w:trHeight w:val="214"/>
        </w:trPr>
        <w:tc>
          <w:tcPr>
            <w:tcW w:w="69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3"/>
              <w:spacing w:after="0"/>
              <w:rPr>
                <w:sz w:val="20"/>
                <w:szCs w:val="20"/>
                <w:color w:val="auto"/>
              </w:rPr>
            </w:pPr>
            <w:r>
              <w:rPr>
                <w:rFonts w:ascii="Times New Roman" w:cs="Times New Roman" w:eastAsia="Times New Roman" w:hAnsi="Times New Roman"/>
                <w:sz w:val="16"/>
                <w:szCs w:val="16"/>
                <w:b w:val="1"/>
                <w:bCs w:val="1"/>
                <w:color w:val="auto"/>
              </w:rPr>
              <w:t>Leases</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92"/>
        </w:trPr>
        <w:tc>
          <w:tcPr>
            <w:tcW w:w="6980" w:type="dxa"/>
            <w:vAlign w:val="bottom"/>
          </w:tcPr>
          <w:p>
            <w:pPr>
              <w:spacing w:after="0"/>
              <w:rPr>
                <w:sz w:val="20"/>
                <w:szCs w:val="20"/>
                <w:color w:val="auto"/>
              </w:rPr>
            </w:pPr>
            <w:r>
              <w:rPr>
                <w:rFonts w:ascii="Times New Roman" w:cs="Times New Roman" w:eastAsia="Times New Roman" w:hAnsi="Times New Roman"/>
                <w:sz w:val="20"/>
                <w:szCs w:val="20"/>
                <w:color w:val="auto"/>
              </w:rPr>
              <w:t>Year ending:</w:t>
            </w: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69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2026</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1,667</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362</w:t>
            </w:r>
          </w:p>
        </w:tc>
        <w:tc>
          <w:tcPr>
            <w:tcW w:w="0" w:type="dxa"/>
            <w:vAlign w:val="bottom"/>
          </w:tcPr>
          <w:p>
            <w:pPr>
              <w:spacing w:after="0"/>
              <w:rPr>
                <w:sz w:val="1"/>
                <w:szCs w:val="1"/>
                <w:color w:val="auto"/>
              </w:rPr>
            </w:pPr>
          </w:p>
        </w:tc>
      </w:tr>
      <w:tr>
        <w:trPr>
          <w:trHeight w:val="315"/>
        </w:trPr>
        <w:tc>
          <w:tcPr>
            <w:tcW w:w="69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2027</w:t>
            </w:r>
          </w:p>
        </w:tc>
        <w:tc>
          <w:tcPr>
            <w:tcW w:w="2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1,700</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370</w:t>
            </w:r>
          </w:p>
        </w:tc>
        <w:tc>
          <w:tcPr>
            <w:tcW w:w="0" w:type="dxa"/>
            <w:vAlign w:val="bottom"/>
          </w:tcPr>
          <w:p>
            <w:pPr>
              <w:spacing w:after="0"/>
              <w:rPr>
                <w:sz w:val="1"/>
                <w:szCs w:val="1"/>
                <w:color w:val="auto"/>
              </w:rPr>
            </w:pPr>
          </w:p>
        </w:tc>
      </w:tr>
      <w:tr>
        <w:trPr>
          <w:trHeight w:val="315"/>
        </w:trPr>
        <w:tc>
          <w:tcPr>
            <w:tcW w:w="69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2028</w:t>
            </w:r>
          </w:p>
        </w:tc>
        <w:tc>
          <w:tcPr>
            <w:tcW w:w="2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1,734</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345</w:t>
            </w:r>
          </w:p>
        </w:tc>
        <w:tc>
          <w:tcPr>
            <w:tcW w:w="0" w:type="dxa"/>
            <w:vAlign w:val="bottom"/>
          </w:tcPr>
          <w:p>
            <w:pPr>
              <w:spacing w:after="0"/>
              <w:rPr>
                <w:sz w:val="1"/>
                <w:szCs w:val="1"/>
                <w:color w:val="auto"/>
              </w:rPr>
            </w:pPr>
          </w:p>
        </w:tc>
      </w:tr>
      <w:tr>
        <w:trPr>
          <w:trHeight w:val="315"/>
        </w:trPr>
        <w:tc>
          <w:tcPr>
            <w:tcW w:w="69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2029</w:t>
            </w:r>
          </w:p>
        </w:tc>
        <w:tc>
          <w:tcPr>
            <w:tcW w:w="2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1,769</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Calibri" w:cs="Calibri" w:eastAsia="Calibri" w:hAnsi="Calibri"/>
                <w:sz w:val="22"/>
                <w:szCs w:val="22"/>
                <w:b w:val="1"/>
                <w:bCs w:val="1"/>
                <w:color w:val="auto"/>
              </w:rPr>
              <w:t>—</w:t>
            </w:r>
          </w:p>
        </w:tc>
        <w:tc>
          <w:tcPr>
            <w:tcW w:w="0" w:type="dxa"/>
            <w:vAlign w:val="bottom"/>
          </w:tcPr>
          <w:p>
            <w:pPr>
              <w:spacing w:after="0"/>
              <w:rPr>
                <w:sz w:val="1"/>
                <w:szCs w:val="1"/>
                <w:color w:val="auto"/>
              </w:rPr>
            </w:pPr>
          </w:p>
        </w:tc>
      </w:tr>
      <w:tr>
        <w:trPr>
          <w:trHeight w:val="315"/>
        </w:trPr>
        <w:tc>
          <w:tcPr>
            <w:tcW w:w="69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2030</w:t>
            </w:r>
          </w:p>
        </w:tc>
        <w:tc>
          <w:tcPr>
            <w:tcW w:w="2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1,804</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Calibri" w:cs="Calibri" w:eastAsia="Calibri" w:hAnsi="Calibri"/>
                <w:sz w:val="22"/>
                <w:szCs w:val="22"/>
                <w:b w:val="1"/>
                <w:bCs w:val="1"/>
                <w:color w:val="auto"/>
              </w:rPr>
              <w:t>—</w:t>
            </w:r>
          </w:p>
        </w:tc>
        <w:tc>
          <w:tcPr>
            <w:tcW w:w="0" w:type="dxa"/>
            <w:vAlign w:val="bottom"/>
          </w:tcPr>
          <w:p>
            <w:pPr>
              <w:spacing w:after="0"/>
              <w:rPr>
                <w:sz w:val="1"/>
                <w:szCs w:val="1"/>
                <w:color w:val="auto"/>
              </w:rPr>
            </w:pPr>
          </w:p>
        </w:tc>
      </w:tr>
      <w:tr>
        <w:trPr>
          <w:trHeight w:val="318"/>
        </w:trPr>
        <w:tc>
          <w:tcPr>
            <w:tcW w:w="69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Thereafter</w:t>
            </w: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3,717</w:t>
            </w:r>
          </w:p>
        </w:tc>
        <w:tc>
          <w:tcPr>
            <w:tcW w:w="1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92"/>
        </w:trPr>
        <w:tc>
          <w:tcPr>
            <w:tcW w:w="69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Total undiscounted amounts</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12,391</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1,077</w:t>
            </w:r>
          </w:p>
        </w:tc>
        <w:tc>
          <w:tcPr>
            <w:tcW w:w="0" w:type="dxa"/>
            <w:vAlign w:val="bottom"/>
          </w:tcPr>
          <w:p>
            <w:pPr>
              <w:spacing w:after="0"/>
              <w:rPr>
                <w:sz w:val="1"/>
                <w:szCs w:val="1"/>
                <w:color w:val="auto"/>
              </w:rPr>
            </w:pPr>
          </w:p>
        </w:tc>
      </w:tr>
      <w:tr>
        <w:trPr>
          <w:trHeight w:val="318"/>
        </w:trPr>
        <w:tc>
          <w:tcPr>
            <w:tcW w:w="69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Less: Imputed interest</w:t>
            </w: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(4,105)</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69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Present value of lease liabilities</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8,286</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69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Less: current portion</w:t>
            </w: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(713)</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69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Lease liabilities, net of current portion</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7,573</w:t>
            </w: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-2431415</wp:posOffset>
            </wp:positionV>
            <wp:extent cx="6311900" cy="2451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6">
                      <a:extLst>
                        <a:ext uri="{28A0092B-C50C-407E-A947-70E740481C1C}"/>
                      </a:extLst>
                    </a:blip>
                    <a:srcRect/>
                    <a:stretch>
                      <a:fillRect/>
                    </a:stretch>
                  </pic:blipFill>
                  <pic:spPr bwMode="auto">
                    <a:xfrm>
                      <a:off x="0" y="0"/>
                      <a:ext cx="6311900" cy="2451100"/>
                    </a:xfrm>
                    <a:prstGeom prst="rect">
                      <a:avLst/>
                    </a:prstGeom>
                    <a:noFill/>
                  </pic:spPr>
                </pic:pic>
              </a:graphicData>
            </a:graphic>
          </wp:anchor>
        </w:drawing>
      </w: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Licensing and Collaborative Arrangements</w:t>
      </w:r>
    </w:p>
    <w:p>
      <w:pPr>
        <w:spacing w:after="0" w:line="134" w:lineRule="exact"/>
        <w:rPr>
          <w:sz w:val="20"/>
          <w:szCs w:val="20"/>
          <w:color w:val="auto"/>
        </w:rPr>
      </w:pPr>
    </w:p>
    <w:p>
      <w:pPr>
        <w:jc w:val="both"/>
        <w:ind w:right="20" w:firstLine="720"/>
        <w:spacing w:after="0" w:line="255" w:lineRule="auto"/>
        <w:rPr>
          <w:sz w:val="20"/>
          <w:szCs w:val="20"/>
          <w:color w:val="auto"/>
        </w:rPr>
      </w:pPr>
      <w:r>
        <w:rPr>
          <w:rFonts w:ascii="Times New Roman" w:cs="Times New Roman" w:eastAsia="Times New Roman" w:hAnsi="Times New Roman"/>
          <w:sz w:val="20"/>
          <w:szCs w:val="20"/>
          <w:color w:val="auto"/>
        </w:rPr>
        <w:t>The Company is party to in-licensing and collaboration arrangements to develop and commercialize intellectual property. Included in research and development expense in the Company’s consolidated statement of operations and comprehensive loss for year ended December 31, 2025 were aggregate incurred expenses of $12.2 million, primarily reflecting development milestone costs. As of December 31, 2025, the Company had $3.6 million in licensing and collaborative arrangement milestone obligations recorded on its balance sheet under Accrued expenses and other current liabilities. In addition, the Company achieved two development milestones for approximately $1.8 million and $3.0 million in January and February 2026, respectively which were recorded in the first quarter of 2026.</w:t>
      </w:r>
    </w:p>
    <w:p>
      <w:pPr>
        <w:spacing w:after="0" w:line="210"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u w:val="single" w:color="auto"/>
          <w:color w:val="auto"/>
        </w:rPr>
        <w:t>License Agreement with Nxera Pharma UK Limited (formerly Heptares Therapeutics Limited) in connection with Orexin Program</w:t>
      </w:r>
    </w:p>
    <w:p>
      <w:pPr>
        <w:spacing w:after="0" w:line="61" w:lineRule="exact"/>
        <w:rPr>
          <w:sz w:val="20"/>
          <w:szCs w:val="20"/>
          <w:color w:val="auto"/>
        </w:rPr>
      </w:pPr>
    </w:p>
    <w:p>
      <w:pPr>
        <w:jc w:val="both"/>
        <w:ind w:right="20" w:firstLine="720"/>
        <w:spacing w:after="0" w:line="254" w:lineRule="auto"/>
        <w:rPr>
          <w:sz w:val="20"/>
          <w:szCs w:val="20"/>
          <w:color w:val="auto"/>
        </w:rPr>
      </w:pPr>
      <w:r>
        <w:rPr>
          <w:rFonts w:ascii="Times New Roman" w:cs="Times New Roman" w:eastAsia="Times New Roman" w:hAnsi="Times New Roman"/>
          <w:sz w:val="20"/>
          <w:szCs w:val="20"/>
          <w:color w:val="auto"/>
        </w:rPr>
        <w:t>The Company is party to a license, assignment, and research services agreement with Nxera Pharma UK Limited (“Nxera”), relating to certain specific molecules with, among other criteria, the primary mode of action of an orexin agonist or orexin positive modulator (“Molecules”). Under the agreement, Nxera assigned to the Company all of Nxeras’ right, title, and interest in and to intellectual property that is already in existence and that is developed as a result of the agreement that relates solely to Molecules or products that contain Molecules (“Products”), including all rights to obtain patent or similar protection throughout the world for such intellectual property and to take any and all actions regarding past infringements of existing intellectual property. Additionally, Nxera granted to the Company an exclusive, sublicensable (subject to certain terms) license to make, import, export, use, sell, or offer for sale, including to</w:t>
      </w:r>
    </w:p>
    <w:p>
      <w:pPr>
        <w:sectPr>
          <w:pgSz w:w="12240" w:h="15840" w:orient="portrait"/>
          <w:cols w:equalWidth="0" w:num="1">
            <w:col w:w="9900"/>
          </w:cols>
          <w:pgMar w:left="1180" w:top="208" w:right="1160" w:bottom="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145</w:t>
      </w:r>
    </w:p>
    <w:p>
      <w:pPr>
        <w:sectPr>
          <w:pgSz w:w="12240" w:h="15840" w:orient="portrait"/>
          <w:cols w:equalWidth="0" w:num="1">
            <w:col w:w="9900"/>
          </w:cols>
          <w:pgMar w:left="1180" w:top="208" w:right="1160" w:bottom="0" w:gutter="0" w:footer="0" w:header="0"/>
          <w:type w:val="continuous"/>
        </w:sectPr>
      </w:pPr>
    </w:p>
    <w:bookmarkStart w:id="145" w:name="page146"/>
    <w:bookmarkEnd w:id="145"/>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Centessa Pharmaceuticals plc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243"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development, commercialization, registration, modification, enhancement, improvement, manufacturing, holding, keeping or disposing of Molecules and Products. Nxera must not by itself or through a third party (other than a single company) exploit, use or dispose of (</w:t>
      </w:r>
      <w:r>
        <w:rPr>
          <w:rFonts w:ascii="Times New Roman" w:cs="Times New Roman" w:eastAsia="Times New Roman" w:hAnsi="Times New Roman"/>
          <w:sz w:val="20"/>
          <w:szCs w:val="20"/>
          <w:b w:val="1"/>
          <w:bCs w:val="1"/>
          <w:i w:val="1"/>
          <w:iCs w:val="1"/>
          <w:color w:val="auto"/>
        </w:rPr>
        <w:t>inter alia</w:t>
      </w:r>
      <w:r>
        <w:rPr>
          <w:rFonts w:ascii="Times New Roman" w:cs="Times New Roman" w:eastAsia="Times New Roman" w:hAnsi="Times New Roman"/>
          <w:sz w:val="20"/>
          <w:szCs w:val="20"/>
          <w:color w:val="auto"/>
        </w:rPr>
        <w:t>) any product in the field of orexin agonism and orexin positive modulation for the duration of the agreement and for three years thereafter.</w:t>
      </w:r>
    </w:p>
    <w:p>
      <w:pPr>
        <w:spacing w:after="0" w:line="203" w:lineRule="exact"/>
        <w:rPr>
          <w:sz w:val="20"/>
          <w:szCs w:val="20"/>
          <w:color w:val="auto"/>
        </w:rPr>
      </w:pPr>
    </w:p>
    <w:p>
      <w:pPr>
        <w:jc w:val="both"/>
        <w:ind w:right="20" w:firstLine="720"/>
        <w:spacing w:after="0" w:line="254" w:lineRule="auto"/>
        <w:rPr>
          <w:sz w:val="20"/>
          <w:szCs w:val="20"/>
          <w:color w:val="auto"/>
        </w:rPr>
      </w:pPr>
      <w:r>
        <w:rPr>
          <w:rFonts w:ascii="Times New Roman" w:cs="Times New Roman" w:eastAsia="Times New Roman" w:hAnsi="Times New Roman"/>
          <w:sz w:val="20"/>
          <w:szCs w:val="20"/>
          <w:color w:val="auto"/>
        </w:rPr>
        <w:t>In consideration for the assignment and license, the Company is to pay Nxera a royalty in the low single-digits on net sales of Products (subject to limitations in certain scenarios). Royalties are on a Product-by-Product and country-by country basis. Payments shall commence with the first commercial sale of such product in a country and shall continue until the later of: (a) the duration of regulatory exclusivity in the country; or (b) 10 years after the first commercial sale. Further, the Company is responsible for all development costs incurred by itself or Nxera in the performance of the research program (within the confines of the research budget). Additionally, the Company must pay Nxera, on a Molecule-by-Molecule basis, development milestone payments in the aggregate of a low double-digit number in the millions of pounds sterling. Milestone payments are payable once per Molecule. The Company could pay between the low single digits millions of pounds sterling to low double digit millions of pounds sterling in the next twelve months.</w:t>
      </w:r>
    </w:p>
    <w:p>
      <w:pPr>
        <w:spacing w:after="0" w:line="209" w:lineRule="exact"/>
        <w:rPr>
          <w:sz w:val="20"/>
          <w:szCs w:val="20"/>
          <w:color w:val="auto"/>
        </w:rPr>
      </w:pPr>
    </w:p>
    <w:p>
      <w:pPr>
        <w:jc w:val="both"/>
        <w:ind w:firstLine="720"/>
        <w:spacing w:after="0" w:line="256" w:lineRule="auto"/>
        <w:rPr>
          <w:sz w:val="20"/>
          <w:szCs w:val="20"/>
          <w:color w:val="auto"/>
        </w:rPr>
      </w:pPr>
      <w:r>
        <w:rPr>
          <w:rFonts w:ascii="Times New Roman" w:cs="Times New Roman" w:eastAsia="Times New Roman" w:hAnsi="Times New Roman"/>
          <w:sz w:val="20"/>
          <w:szCs w:val="20"/>
          <w:color w:val="auto"/>
        </w:rPr>
        <w:t>The Company may terminate the agreement at any time following the expiration or termination of the research program. In addition, customary termination rights exist for both parties for breach and insolvency. In the event of termination, all licenses automatically terminate. The term of the agreement is until the later of: (i) the expiration of the last to expire patent within the licensed intellectual property; (ii) the expiration of the royalty term; and (iii) the fifteenth anniversary of the effective date. Upon expiration, with respect to any given Molecule, the license granted to the Company shall become perpetual, irrevocable, and fully-paid up.</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Other License and Collaboration Agreements</w:t>
      </w:r>
    </w:p>
    <w:p>
      <w:pPr>
        <w:spacing w:after="0" w:line="130" w:lineRule="exact"/>
        <w:rPr>
          <w:sz w:val="20"/>
          <w:szCs w:val="20"/>
          <w:color w:val="auto"/>
        </w:rPr>
      </w:pPr>
    </w:p>
    <w:p>
      <w:pPr>
        <w:jc w:val="both"/>
        <w:ind w:right="20" w:firstLine="720"/>
        <w:spacing w:after="0" w:line="266" w:lineRule="auto"/>
        <w:rPr>
          <w:sz w:val="20"/>
          <w:szCs w:val="20"/>
          <w:color w:val="auto"/>
        </w:rPr>
      </w:pPr>
      <w:r>
        <w:rPr>
          <w:rFonts w:ascii="Times New Roman" w:cs="Times New Roman" w:eastAsia="Times New Roman" w:hAnsi="Times New Roman"/>
          <w:sz w:val="20"/>
          <w:szCs w:val="20"/>
          <w:color w:val="auto"/>
        </w:rPr>
        <w:t>The Company is a party to other license and collaboration agreements to develop and commercialize intellectual property in addition to the agreement discussed above. In aggregate, Centessa may be obligated to make up to $4.3 million and $15.0 million in development and commercial milestone payments, respectively, related to these other agreements.</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Incentivization Agreements</w:t>
      </w:r>
    </w:p>
    <w:p>
      <w:pPr>
        <w:spacing w:after="0" w:line="134" w:lineRule="exact"/>
        <w:rPr>
          <w:sz w:val="20"/>
          <w:szCs w:val="20"/>
          <w:color w:val="auto"/>
        </w:rPr>
      </w:pPr>
    </w:p>
    <w:p>
      <w:pPr>
        <w:jc w:val="both"/>
        <w:ind w:right="20" w:firstLine="720"/>
        <w:spacing w:after="0" w:line="254" w:lineRule="auto"/>
        <w:rPr>
          <w:sz w:val="20"/>
          <w:szCs w:val="20"/>
          <w:color w:val="auto"/>
        </w:rPr>
      </w:pPr>
      <w:r>
        <w:rPr>
          <w:rFonts w:ascii="Times New Roman" w:cs="Times New Roman" w:eastAsia="Times New Roman" w:hAnsi="Times New Roman"/>
          <w:sz w:val="20"/>
          <w:szCs w:val="20"/>
          <w:color w:val="auto"/>
        </w:rPr>
        <w:t>In January 2021, we established incentivization arrangements (as novated, amended or amended and restated from time to time) pursuant to which certain members of the senior management teams of each historically acquired subsidiary in January 2021 are eligible to earn certain payments based on the attainment of corresponding milestone performance by and/or an “exit event” of such historically acquired subsidiary, as applicable to each executive. As defined in the incentivization agreements, an “exit event” includes the sale or disposition (including via an out-licensing) of all or substantially all of the acquired subsidiary’s commercially valuable assets or, in the case of acquired subsidiaries with more than one asset, sale or disposition of one or more of such assets, or any sale or disposition of the applicable subsidiary’s equity which results in the purchaser of the equity acquiring a controlling interest in the applicable subsidiary.</w:t>
      </w:r>
    </w:p>
    <w:p>
      <w:pPr>
        <w:spacing w:after="0" w:line="93" w:lineRule="exact"/>
        <w:rPr>
          <w:sz w:val="20"/>
          <w:szCs w:val="20"/>
          <w:color w:val="auto"/>
        </w:rPr>
      </w:pPr>
    </w:p>
    <w:p>
      <w:pPr>
        <w:jc w:val="both"/>
        <w:ind w:right="20" w:firstLine="720"/>
        <w:spacing w:after="0" w:line="252" w:lineRule="auto"/>
        <w:rPr>
          <w:sz w:val="20"/>
          <w:szCs w:val="20"/>
          <w:color w:val="auto"/>
        </w:rPr>
      </w:pPr>
      <w:r>
        <w:rPr>
          <w:rFonts w:ascii="Times New Roman" w:cs="Times New Roman" w:eastAsia="Times New Roman" w:hAnsi="Times New Roman"/>
          <w:sz w:val="20"/>
          <w:szCs w:val="20"/>
          <w:color w:val="auto"/>
        </w:rPr>
        <w:t>Milestones may include the designation of a product candidate or the attainment of approvals, licenses, permits, certifications registrations or authorizations necessary for the sale of a particular product candidate or related molecules in the United States, France, Germany, Italy, Spain or the United Kingdom. Each milestone payment amount for each historically acquired subsidiary is in the low eight figure range to be divided among the members of the respective historically acquired subsidiary’s senior management team and employees according to the terms of its respective incentivization agreement. Any milestone payment earned will be payable in a lump sum within twenty (20) days after attainment of the milestone. Such milestone payment may be accelerated in the event of a Company change of control and would result in the termination of the applicable incentivization agreement. In addition, if a sale of a controlling interest in a historically acquired subsidiary or sale (or grant of an exclusive license) of its respective product candidate occurs prior to attainment of the milestone or within the three (3) year period following attainment of the milestone, an exit payment equal in the low teens percentage of the sales proceeds less any amounts previously paid as a milestone payment (if any) and any fees, costs and expenses of the sale (excluding any earn out, milestone, royalty payment or other contingent payments but including any escrow, holdback or similar amount) will become due and payable to certain employees and members of the historically acquired subsidiary’s senior management team. To the extent an exit event occurs following the occurrence of an adverse event (which includes the failure to achieve milestones within the specified time period), no exit payment will become due unless sale proceeds are in excess of an amount in the eight-figure range.</w:t>
      </w:r>
    </w:p>
    <w:p>
      <w:pPr>
        <w:sectPr>
          <w:pgSz w:w="12240" w:h="15840" w:orient="portrait"/>
          <w:cols w:equalWidth="0" w:num="1">
            <w:col w:w="9900"/>
          </w:cols>
          <w:pgMar w:left="1180" w:top="20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146</w:t>
      </w:r>
    </w:p>
    <w:p>
      <w:pPr>
        <w:sectPr>
          <w:pgSz w:w="12240" w:h="15840" w:orient="portrait"/>
          <w:cols w:equalWidth="0" w:num="1">
            <w:col w:w="9900"/>
          </w:cols>
          <w:pgMar w:left="1180" w:top="208" w:right="1160" w:bottom="0" w:gutter="0" w:footer="0" w:header="0"/>
          <w:type w:val="continuous"/>
        </w:sectPr>
      </w:pPr>
    </w:p>
    <w:bookmarkStart w:id="146" w:name="page147"/>
    <w:bookmarkEnd w:id="146"/>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Centessa Pharmaceuticals plc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243" w:lineRule="exact"/>
        <w:rPr>
          <w:sz w:val="20"/>
          <w:szCs w:val="20"/>
          <w:color w:val="auto"/>
        </w:rPr>
      </w:pPr>
    </w:p>
    <w:p>
      <w:pPr>
        <w:jc w:val="both"/>
        <w:ind w:right="20" w:firstLine="720"/>
        <w:spacing w:after="0" w:line="270" w:lineRule="auto"/>
        <w:rPr>
          <w:sz w:val="20"/>
          <w:szCs w:val="20"/>
          <w:color w:val="auto"/>
        </w:rPr>
      </w:pPr>
      <w:r>
        <w:rPr>
          <w:rFonts w:ascii="Times New Roman" w:cs="Times New Roman" w:eastAsia="Times New Roman" w:hAnsi="Times New Roman"/>
          <w:sz w:val="20"/>
          <w:szCs w:val="20"/>
          <w:color w:val="auto"/>
        </w:rPr>
        <w:t>As of December 31, 2025, incentivization agreements associated with Centessa Bioscience, Inc. (formerly Palladio Bioscience, Inc.), Capella Bioscience Limited, Centessa Pharmaceuticals (Morphogen-IX) Limited (formerly Morphogen-IX Limited), Pearl River Bio, Pega-One SAS, ApcinteX Limited and Z-Factor Limited have ceased to apply. Incentivization agreements in respect of our orexin program and LockBody program continue to subsist.</w:t>
      </w:r>
    </w:p>
    <w:p>
      <w:pPr>
        <w:spacing w:after="0" w:line="213" w:lineRule="exact"/>
        <w:rPr>
          <w:sz w:val="20"/>
          <w:szCs w:val="20"/>
          <w:color w:val="auto"/>
        </w:rPr>
      </w:pPr>
    </w:p>
    <w:p>
      <w:pPr>
        <w:jc w:val="both"/>
        <w:ind w:right="20" w:firstLine="720"/>
        <w:spacing w:after="0" w:line="266" w:lineRule="auto"/>
        <w:rPr>
          <w:sz w:val="20"/>
          <w:szCs w:val="20"/>
          <w:color w:val="auto"/>
        </w:rPr>
      </w:pPr>
      <w:r>
        <w:rPr>
          <w:rFonts w:ascii="Times New Roman" w:cs="Times New Roman" w:eastAsia="Times New Roman" w:hAnsi="Times New Roman"/>
          <w:sz w:val="20"/>
          <w:szCs w:val="20"/>
          <w:color w:val="auto"/>
        </w:rPr>
        <w:t>The incentivization agreements contain standard termination provisions providing that the agreements shall terminate upon the occurrence of certain events, or automatically on December 31, 2035. Other events that may trigger termination include:</w:t>
      </w:r>
    </w:p>
    <w:p>
      <w:pPr>
        <w:spacing w:after="0" w:line="75" w:lineRule="exact"/>
        <w:rPr>
          <w:sz w:val="20"/>
          <w:szCs w:val="20"/>
          <w:color w:val="auto"/>
        </w:rPr>
      </w:pPr>
    </w:p>
    <w:p>
      <w:pPr>
        <w:ind w:left="1080" w:hanging="370"/>
        <w:spacing w:after="0"/>
        <w:tabs>
          <w:tab w:leader="none" w:pos="1080"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“exit event”;</w:t>
      </w:r>
    </w:p>
    <w:p>
      <w:pPr>
        <w:spacing w:after="0" w:line="130" w:lineRule="exact"/>
        <w:rPr>
          <w:rFonts w:ascii="Times New Roman" w:cs="Times New Roman" w:eastAsia="Times New Roman" w:hAnsi="Times New Roman"/>
          <w:sz w:val="20"/>
          <w:szCs w:val="20"/>
          <w:color w:val="auto"/>
        </w:rPr>
      </w:pPr>
    </w:p>
    <w:p>
      <w:pPr>
        <w:ind w:left="1080" w:hanging="370"/>
        <w:spacing w:after="0"/>
        <w:tabs>
          <w:tab w:leader="none" w:pos="1080"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occurrence of certain asset sales in conjunction with certain milestones; and</w:t>
      </w:r>
    </w:p>
    <w:p>
      <w:pPr>
        <w:spacing w:after="0" w:line="130" w:lineRule="exact"/>
        <w:rPr>
          <w:rFonts w:ascii="Times New Roman" w:cs="Times New Roman" w:eastAsia="Times New Roman" w:hAnsi="Times New Roman"/>
          <w:sz w:val="20"/>
          <w:szCs w:val="20"/>
          <w:color w:val="auto"/>
        </w:rPr>
      </w:pPr>
    </w:p>
    <w:p>
      <w:pPr>
        <w:ind w:left="1080" w:hanging="370"/>
        <w:spacing w:after="0"/>
        <w:tabs>
          <w:tab w:leader="none" w:pos="1080"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date that is three years following achievement of certain milestones.</w:t>
      </w:r>
    </w:p>
    <w:p>
      <w:pPr>
        <w:spacing w:after="0" w:line="250" w:lineRule="exact"/>
        <w:rPr>
          <w:sz w:val="20"/>
          <w:szCs w:val="20"/>
          <w:color w:val="auto"/>
        </w:rPr>
      </w:pPr>
    </w:p>
    <w:p>
      <w:pPr>
        <w:ind w:right="420" w:firstLine="720"/>
        <w:spacing w:after="0" w:line="281" w:lineRule="auto"/>
        <w:rPr>
          <w:sz w:val="20"/>
          <w:szCs w:val="20"/>
          <w:color w:val="auto"/>
        </w:rPr>
      </w:pPr>
      <w:r>
        <w:rPr>
          <w:rFonts w:ascii="Times New Roman" w:cs="Times New Roman" w:eastAsia="Times New Roman" w:hAnsi="Times New Roman"/>
          <w:sz w:val="20"/>
          <w:szCs w:val="20"/>
          <w:color w:val="auto"/>
        </w:rPr>
        <w:t>As of December 31, 2025, no contingent liabilities have been recorded for these agreements, as no contingent events are considered probable.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Contingencies</w:t>
      </w:r>
    </w:p>
    <w:p>
      <w:pPr>
        <w:spacing w:after="0" w:line="134" w:lineRule="exact"/>
        <w:rPr>
          <w:sz w:val="20"/>
          <w:szCs w:val="20"/>
          <w:color w:val="auto"/>
        </w:rPr>
      </w:pPr>
    </w:p>
    <w:p>
      <w:pPr>
        <w:jc w:val="both"/>
        <w:ind w:firstLine="720"/>
        <w:spacing w:after="0" w:line="260" w:lineRule="auto"/>
        <w:rPr>
          <w:sz w:val="20"/>
          <w:szCs w:val="20"/>
          <w:color w:val="auto"/>
        </w:rPr>
      </w:pPr>
      <w:r>
        <w:rPr>
          <w:rFonts w:ascii="Times New Roman" w:cs="Times New Roman" w:eastAsia="Times New Roman" w:hAnsi="Times New Roman"/>
          <w:sz w:val="20"/>
          <w:szCs w:val="20"/>
          <w:color w:val="auto"/>
        </w:rPr>
        <w:t>From time to time, the Company may have certain contingent liabilities that arise in the ordinary course of its business activities. The Company accrues a liability for such matters when it is probable that future expenditures will be made, and such expenditures can be reasonably estimated. Legal charges incurred in connection with contingencies and litigation are expensed as incurred.</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8. Program Termination Costs</w:t>
      </w:r>
    </w:p>
    <w:p>
      <w:pPr>
        <w:spacing w:after="0" w:line="137" w:lineRule="exact"/>
        <w:rPr>
          <w:sz w:val="20"/>
          <w:szCs w:val="20"/>
          <w:color w:val="auto"/>
        </w:rPr>
      </w:pPr>
    </w:p>
    <w:p>
      <w:pPr>
        <w:jc w:val="both"/>
        <w:ind w:right="20" w:firstLine="720"/>
        <w:spacing w:after="0" w:line="256" w:lineRule="auto"/>
        <w:rPr>
          <w:sz w:val="20"/>
          <w:szCs w:val="20"/>
          <w:color w:val="auto"/>
        </w:rPr>
      </w:pPr>
      <w:r>
        <w:rPr>
          <w:rFonts w:ascii="Times New Roman" w:cs="Times New Roman" w:eastAsia="Times New Roman" w:hAnsi="Times New Roman"/>
          <w:sz w:val="20"/>
          <w:szCs w:val="20"/>
          <w:color w:val="auto"/>
        </w:rPr>
        <w:t>On November 12, 2024, the Company announced the discontinuation of the global clinical development program for SerpinPC, a novel inhibitor of activated protein C (APC) that was being progressed for the treatment of hemophilia B. The strategic decision was made to prioritize capital towards the development of our growing OX2R agonist franchise based on the strength of the interim Phase 1 data for cleminorexton, coupled with the outcome of a planned interim analysis of Part 1 of the PRESent-2 study of SerpinPC, which was evaluated in the context of the evolving treatment and market landscape for hemophilia B, including the recent FDA approval of a competing product.</w:t>
      </w:r>
    </w:p>
    <w:p>
      <w:pPr>
        <w:spacing w:after="0" w:line="208" w:lineRule="exact"/>
        <w:rPr>
          <w:sz w:val="20"/>
          <w:szCs w:val="20"/>
          <w:color w:val="auto"/>
        </w:rPr>
      </w:pPr>
    </w:p>
    <w:p>
      <w:pPr>
        <w:jc w:val="both"/>
        <w:ind w:firstLine="720"/>
        <w:spacing w:after="0" w:line="256" w:lineRule="auto"/>
        <w:rPr>
          <w:sz w:val="20"/>
          <w:szCs w:val="20"/>
          <w:color w:val="auto"/>
        </w:rPr>
      </w:pPr>
      <w:r>
        <w:rPr>
          <w:rFonts w:ascii="Times New Roman" w:cs="Times New Roman" w:eastAsia="Times New Roman" w:hAnsi="Times New Roman"/>
          <w:sz w:val="20"/>
          <w:szCs w:val="20"/>
          <w:color w:val="auto"/>
        </w:rPr>
        <w:t>As a result of the discontinuation of the program, we incurred a one-time charge of $31.5 million, consisting of contract termination costs of $30.3 million and employee severance-related costs of $1.2 million, which was recorded within Research and development expenses. The contract termination costs related to firm commitments for the manufacture of registrational materials and other costs. The contract termination and employee severance costs associated with this program discontinuation were predominately accrued as of December 31, 2024. The Company fully paid the remaining balance associated with employee severance-related costs as of December 31, 2025.</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ind w:right="323"/>
              <w:spacing w:after="0"/>
              <w:rPr>
                <w:sz w:val="20"/>
                <w:szCs w:val="20"/>
                <w:color w:val="auto"/>
              </w:rPr>
            </w:pPr>
            <w:r>
              <w:rPr>
                <w:rFonts w:ascii="Times New Roman" w:cs="Times New Roman" w:eastAsia="Times New Roman" w:hAnsi="Times New Roman"/>
                <w:sz w:val="18"/>
                <w:szCs w:val="18"/>
                <w:b w:val="1"/>
                <w:bCs w:val="1"/>
                <w:color w:val="auto"/>
              </w:rPr>
              <w:t>Contract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ind w:right="243"/>
              <w:spacing w:after="0"/>
              <w:rPr>
                <w:sz w:val="20"/>
                <w:szCs w:val="20"/>
                <w:color w:val="auto"/>
              </w:rPr>
            </w:pPr>
            <w:r>
              <w:rPr>
                <w:rFonts w:ascii="Times New Roman" w:cs="Times New Roman" w:eastAsia="Times New Roman" w:hAnsi="Times New Roman"/>
                <w:sz w:val="18"/>
                <w:szCs w:val="18"/>
                <w:b w:val="1"/>
                <w:bCs w:val="1"/>
                <w:color w:val="auto"/>
              </w:rPr>
              <w:t>Severance-</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vMerge w:val="restart"/>
          </w:tcPr>
          <w:p>
            <w:pPr>
              <w:jc w:val="right"/>
              <w:ind w:right="462"/>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8"/>
        </w:trPr>
        <w:tc>
          <w:tcPr>
            <w:tcW w:w="5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right"/>
              <w:ind w:right="183"/>
              <w:spacing w:after="0"/>
              <w:rPr>
                <w:sz w:val="20"/>
                <w:szCs w:val="20"/>
                <w:color w:val="auto"/>
              </w:rPr>
            </w:pPr>
            <w:r>
              <w:rPr>
                <w:rFonts w:ascii="Times New Roman" w:cs="Times New Roman" w:eastAsia="Times New Roman" w:hAnsi="Times New Roman"/>
                <w:sz w:val="18"/>
                <w:szCs w:val="18"/>
                <w:b w:val="1"/>
                <w:bCs w:val="1"/>
                <w:color w:val="auto"/>
              </w:rPr>
              <w:t>Termination</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363"/>
              <w:spacing w:after="0"/>
              <w:rPr>
                <w:sz w:val="20"/>
                <w:szCs w:val="20"/>
                <w:color w:val="auto"/>
              </w:rPr>
            </w:pPr>
            <w:r>
              <w:rPr>
                <w:rFonts w:ascii="Times New Roman" w:cs="Times New Roman" w:eastAsia="Times New Roman" w:hAnsi="Times New Roman"/>
                <w:sz w:val="18"/>
                <w:szCs w:val="18"/>
                <w:b w:val="1"/>
                <w:bCs w:val="1"/>
                <w:color w:val="auto"/>
              </w:rPr>
              <w:t>Related</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82"/>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January 1, 2025</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30,283</w:t>
            </w: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26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1,199</w:t>
            </w: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31,482</w:t>
            </w:r>
          </w:p>
        </w:tc>
        <w:tc>
          <w:tcPr>
            <w:tcW w:w="0" w:type="dxa"/>
            <w:vAlign w:val="bottom"/>
          </w:tcPr>
          <w:p>
            <w:pPr>
              <w:spacing w:after="0"/>
              <w:rPr>
                <w:sz w:val="1"/>
                <w:szCs w:val="1"/>
                <w:color w:val="auto"/>
              </w:rPr>
            </w:pPr>
          </w:p>
        </w:tc>
      </w:tr>
      <w:tr>
        <w:trPr>
          <w:trHeight w:val="285"/>
        </w:trPr>
        <w:tc>
          <w:tcPr>
            <w:tcW w:w="5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payments</w:t>
            </w:r>
          </w:p>
        </w:tc>
        <w:tc>
          <w:tcPr>
            <w:tcW w:w="20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(27,186)</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(1,199)</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(28,385)</w:t>
            </w:r>
          </w:p>
        </w:tc>
        <w:tc>
          <w:tcPr>
            <w:tcW w:w="0" w:type="dxa"/>
            <w:vAlign w:val="bottom"/>
          </w:tcPr>
          <w:p>
            <w:pPr>
              <w:spacing w:after="0"/>
              <w:rPr>
                <w:sz w:val="1"/>
                <w:szCs w:val="1"/>
                <w:color w:val="auto"/>
              </w:rPr>
            </w:pPr>
          </w:p>
        </w:tc>
      </w:tr>
      <w:tr>
        <w:trPr>
          <w:trHeight w:val="285"/>
        </w:trPr>
        <w:tc>
          <w:tcPr>
            <w:tcW w:w="5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Reversal of charge</w:t>
            </w:r>
          </w:p>
        </w:tc>
        <w:tc>
          <w:tcPr>
            <w:tcW w:w="20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(3,395)</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(3,395)</w:t>
            </w:r>
          </w:p>
        </w:tc>
        <w:tc>
          <w:tcPr>
            <w:tcW w:w="0" w:type="dxa"/>
            <w:vAlign w:val="bottom"/>
          </w:tcPr>
          <w:p>
            <w:pPr>
              <w:spacing w:after="0"/>
              <w:rPr>
                <w:sz w:val="1"/>
                <w:szCs w:val="1"/>
                <w:color w:val="auto"/>
              </w:rPr>
            </w:pPr>
          </w:p>
        </w:tc>
      </w:tr>
      <w:tr>
        <w:trPr>
          <w:trHeight w:val="285"/>
        </w:trPr>
        <w:tc>
          <w:tcPr>
            <w:tcW w:w="5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Foreign currency translation changes</w:t>
            </w:r>
          </w:p>
        </w:tc>
        <w:tc>
          <w:tcPr>
            <w:tcW w:w="200" w:type="dxa"/>
            <w:vAlign w:val="bottom"/>
          </w:tcPr>
          <w:p>
            <w:pPr>
              <w:spacing w:after="0"/>
              <w:rPr>
                <w:sz w:val="24"/>
                <w:szCs w:val="24"/>
                <w:color w:val="auto"/>
              </w:rPr>
            </w:pPr>
          </w:p>
        </w:tc>
        <w:tc>
          <w:tcPr>
            <w:tcW w:w="13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298</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298</w:t>
            </w:r>
          </w:p>
        </w:tc>
        <w:tc>
          <w:tcPr>
            <w:tcW w:w="0" w:type="dxa"/>
            <w:vAlign w:val="bottom"/>
          </w:tcPr>
          <w:p>
            <w:pPr>
              <w:spacing w:after="0"/>
              <w:rPr>
                <w:sz w:val="1"/>
                <w:szCs w:val="1"/>
                <w:color w:val="auto"/>
              </w:rPr>
            </w:pPr>
          </w:p>
        </w:tc>
      </w:tr>
      <w:tr>
        <w:trPr>
          <w:trHeight w:val="268"/>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December 31, 2025</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w:t>
            </w: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26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w:t>
            </w: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-935990</wp:posOffset>
            </wp:positionV>
            <wp:extent cx="6324600" cy="9556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7">
                      <a:extLst>
                        <a:ext uri="{28A0092B-C50C-407E-A947-70E740481C1C}"/>
                      </a:extLst>
                    </a:blip>
                    <a:srcRect/>
                    <a:stretch>
                      <a:fillRect/>
                    </a:stretch>
                  </pic:blipFill>
                  <pic:spPr bwMode="auto">
                    <a:xfrm>
                      <a:off x="0" y="0"/>
                      <a:ext cx="6324600" cy="955675"/>
                    </a:xfrm>
                    <a:prstGeom prst="rect">
                      <a:avLst/>
                    </a:prstGeom>
                    <a:noFill/>
                  </pic:spPr>
                </pic:pic>
              </a:graphicData>
            </a:graphic>
          </wp:anchor>
        </w:drawing>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9. Share-based Compensation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Centessa Pharmaceuticals plc Stock Option and Incentive Plan</w:t>
      </w:r>
    </w:p>
    <w:p>
      <w:pPr>
        <w:spacing w:after="0" w:line="134" w:lineRule="exact"/>
        <w:rPr>
          <w:sz w:val="20"/>
          <w:szCs w:val="20"/>
          <w:color w:val="auto"/>
        </w:rPr>
      </w:pPr>
    </w:p>
    <w:p>
      <w:pPr>
        <w:jc w:val="both"/>
        <w:ind w:right="20" w:firstLine="720"/>
        <w:spacing w:after="0" w:line="309" w:lineRule="auto"/>
        <w:rPr>
          <w:sz w:val="20"/>
          <w:szCs w:val="20"/>
          <w:color w:val="auto"/>
        </w:rPr>
      </w:pPr>
      <w:r>
        <w:rPr>
          <w:rFonts w:ascii="Times New Roman" w:cs="Times New Roman" w:eastAsia="Times New Roman" w:hAnsi="Times New Roman"/>
          <w:sz w:val="19"/>
          <w:szCs w:val="19"/>
          <w:color w:val="auto"/>
        </w:rPr>
        <w:t>In January 2021, the Company’s board of directors approved the 2021 Stock Option and Incentive Plan (the “2021 Plan”). The 2021 Plan provides for the granting of ordinary shares, incentive stock options, non-qualified stock options,</w:t>
      </w:r>
    </w:p>
    <w:p>
      <w:pPr>
        <w:sectPr>
          <w:pgSz w:w="12240" w:h="15840" w:orient="portrait"/>
          <w:cols w:equalWidth="0" w:num="1">
            <w:col w:w="9900"/>
          </w:cols>
          <w:pgMar w:left="1180" w:top="208" w:right="1160" w:bottom="0" w:gutter="0" w:footer="0" w:header="0"/>
        </w:sect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147</w:t>
      </w:r>
    </w:p>
    <w:p>
      <w:pPr>
        <w:sectPr>
          <w:pgSz w:w="12240" w:h="15840" w:orient="portrait"/>
          <w:cols w:equalWidth="0" w:num="1">
            <w:col w:w="9900"/>
          </w:cols>
          <w:pgMar w:left="1180" w:top="208" w:right="1160" w:bottom="0" w:gutter="0" w:footer="0" w:header="0"/>
          <w:type w:val="continuous"/>
        </w:sectPr>
      </w:pPr>
    </w:p>
    <w:bookmarkStart w:id="147" w:name="page148"/>
    <w:bookmarkEnd w:id="147"/>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Centessa Pharmaceuticals plc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243"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restricted share awards, and/or share appreciation rights to employees, directors, and other persons, as determined by the Company’s board of directors. The number of shares authorized under the 2021 Plan was increased in May 2021 at the time of the IPO, whereby the total number of shares authorized under the 2021 Plan was 20,026,816. Beginning on January 1, 2022 and each January 1 thereafter, the number of Shares reserved and available for issuance under the 2021 Plan shall be cumulatively increased by 5% of the number of Shares issued and outstanding on the immediately preceding December 31, or such lesser number as the board of directors may determine. Remaining shares available for future grants as of December 31, 2025 were 11,255,336.</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Share-based Compensation Expense</w:t>
      </w:r>
    </w:p>
    <w:p>
      <w:pPr>
        <w:spacing w:after="0" w:line="134" w:lineRule="exact"/>
        <w:rPr>
          <w:sz w:val="20"/>
          <w:szCs w:val="20"/>
          <w:color w:val="auto"/>
        </w:rPr>
      </w:pPr>
    </w:p>
    <w:p>
      <w:pPr>
        <w:jc w:val="both"/>
        <w:ind w:right="20" w:firstLine="720"/>
        <w:spacing w:after="0" w:line="281" w:lineRule="auto"/>
        <w:rPr>
          <w:sz w:val="20"/>
          <w:szCs w:val="20"/>
          <w:color w:val="auto"/>
        </w:rPr>
      </w:pPr>
      <w:r>
        <w:rPr>
          <w:rFonts w:ascii="Times New Roman" w:cs="Times New Roman" w:eastAsia="Times New Roman" w:hAnsi="Times New Roman"/>
          <w:sz w:val="20"/>
          <w:szCs w:val="20"/>
          <w:color w:val="auto"/>
        </w:rPr>
        <w:t>The Company recorded share-based compensation expense in the following expense categories in the consolidated statements of operations and comprehensive loss (amounts in thousands):</w:t>
      </w:r>
    </w:p>
    <w:p>
      <w:pPr>
        <w:spacing w:after="0" w:line="245" w:lineRule="exact"/>
        <w:rPr>
          <w:sz w:val="20"/>
          <w:szCs w:val="20"/>
          <w:color w:val="auto"/>
        </w:rPr>
      </w:pPr>
    </w:p>
    <w:tbl>
      <w:tblPr>
        <w:tblLayout w:type="fixed"/>
        <w:tblInd w:w="40" w:type="dxa"/>
        <w:tblCellMar>
          <w:top w:w="0" w:type="dxa"/>
          <w:left w:w="0" w:type="dxa"/>
          <w:bottom w:w="0" w:type="dxa"/>
          <w:right w:w="0" w:type="dxa"/>
        </w:tblCellMar>
      </w:tblPr>
      <w:tr>
        <w:trPr>
          <w:trHeight w:val="243"/>
        </w:trPr>
        <w:tc>
          <w:tcPr>
            <w:tcW w:w="68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740" w:type="dxa"/>
            <w:vAlign w:val="bottom"/>
            <w:tcBorders>
              <w:bottom w:val="single" w:sz="8" w:color="auto"/>
            </w:tcBorders>
            <w:gridSpan w:val="4"/>
          </w:tcPr>
          <w:p>
            <w:pPr>
              <w:jc w:val="right"/>
              <w:ind w:right="383"/>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r>
      <w:tr>
        <w:trPr>
          <w:trHeight w:val="235"/>
        </w:trPr>
        <w:tc>
          <w:tcPr>
            <w:tcW w:w="68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84"/>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83"/>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62"/>
        </w:trPr>
        <w:tc>
          <w:tcPr>
            <w:tcW w:w="6800" w:type="dxa"/>
            <w:vAlign w:val="bottom"/>
          </w:tcPr>
          <w:p>
            <w:pPr>
              <w:spacing w:after="0"/>
              <w:rPr>
                <w:sz w:val="20"/>
                <w:szCs w:val="20"/>
                <w:color w:val="auto"/>
              </w:rPr>
            </w:pPr>
            <w:r>
              <w:rPr>
                <w:rFonts w:ascii="Times New Roman" w:cs="Times New Roman" w:eastAsia="Times New Roman" w:hAnsi="Times New Roman"/>
                <w:sz w:val="20"/>
                <w:szCs w:val="20"/>
                <w:color w:val="auto"/>
              </w:rPr>
              <w:t>Research and development</w:t>
            </w:r>
          </w:p>
        </w:tc>
        <w:tc>
          <w:tcPr>
            <w:tcW w:w="32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15,585</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14,867</w:t>
            </w:r>
          </w:p>
        </w:tc>
      </w:tr>
      <w:tr>
        <w:trPr>
          <w:trHeight w:val="288"/>
        </w:trPr>
        <w:tc>
          <w:tcPr>
            <w:tcW w:w="6800" w:type="dxa"/>
            <w:vAlign w:val="bottom"/>
          </w:tcPr>
          <w:p>
            <w:pPr>
              <w:spacing w:after="0"/>
              <w:rPr>
                <w:sz w:val="20"/>
                <w:szCs w:val="20"/>
                <w:color w:val="auto"/>
              </w:rPr>
            </w:pPr>
            <w:r>
              <w:rPr>
                <w:rFonts w:ascii="Times New Roman" w:cs="Times New Roman" w:eastAsia="Times New Roman" w:hAnsi="Times New Roman"/>
                <w:sz w:val="20"/>
                <w:szCs w:val="20"/>
                <w:color w:val="auto"/>
              </w:rPr>
              <w:t>General and administrative</w:t>
            </w:r>
          </w:p>
        </w:tc>
        <w:tc>
          <w:tcPr>
            <w:tcW w:w="3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20"/>
                <w:szCs w:val="20"/>
                <w:color w:val="auto"/>
              </w:rPr>
              <w:t>15,377</w:t>
            </w:r>
          </w:p>
        </w:tc>
        <w:tc>
          <w:tcPr>
            <w:tcW w:w="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18,679</w:t>
            </w:r>
          </w:p>
        </w:tc>
      </w:tr>
      <w:tr>
        <w:trPr>
          <w:trHeight w:val="245"/>
        </w:trPr>
        <w:tc>
          <w:tcPr>
            <w:tcW w:w="6800" w:type="dxa"/>
            <w:vAlign w:val="bottom"/>
          </w:tcPr>
          <w:p>
            <w:pPr>
              <w:spacing w:after="0"/>
              <w:rPr>
                <w:sz w:val="21"/>
                <w:szCs w:val="21"/>
                <w:color w:val="auto"/>
              </w:rPr>
            </w:pPr>
          </w:p>
        </w:tc>
        <w:tc>
          <w:tcPr>
            <w:tcW w:w="32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30,962</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33,546</w:t>
            </w:r>
          </w:p>
        </w:tc>
      </w:tr>
      <w:tr>
        <w:trPr>
          <w:trHeight w:val="20"/>
        </w:trPr>
        <w:tc>
          <w:tcPr>
            <w:tcW w:w="68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-574040</wp:posOffset>
            </wp:positionV>
            <wp:extent cx="6324600" cy="5937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38">
                      <a:extLst>
                        <a:ext uri="{28A0092B-C50C-407E-A947-70E740481C1C}"/>
                      </a:extLst>
                    </a:blip>
                    <a:srcRect/>
                    <a:stretch>
                      <a:fillRect/>
                    </a:stretch>
                  </pic:blipFill>
                  <pic:spPr bwMode="auto">
                    <a:xfrm>
                      <a:off x="0" y="0"/>
                      <a:ext cx="6324600" cy="593725"/>
                    </a:xfrm>
                    <a:prstGeom prst="rect">
                      <a:avLst/>
                    </a:prstGeom>
                    <a:noFill/>
                  </pic:spPr>
                </pic:pic>
              </a:graphicData>
            </a:graphic>
          </wp:anchor>
        </w:drawing>
      </w:r>
    </w:p>
    <w:p>
      <w:pPr>
        <w:spacing w:after="0" w:line="228" w:lineRule="exact"/>
        <w:rPr>
          <w:sz w:val="20"/>
          <w:szCs w:val="20"/>
          <w:color w:val="auto"/>
        </w:rPr>
      </w:pPr>
    </w:p>
    <w:p>
      <w:pPr>
        <w:jc w:val="both"/>
        <w:ind w:right="20" w:firstLine="720"/>
        <w:spacing w:after="0" w:line="281" w:lineRule="auto"/>
        <w:rPr>
          <w:sz w:val="20"/>
          <w:szCs w:val="20"/>
          <w:color w:val="auto"/>
        </w:rPr>
      </w:pPr>
      <w:r>
        <w:rPr>
          <w:rFonts w:ascii="Times New Roman" w:cs="Times New Roman" w:eastAsia="Times New Roman" w:hAnsi="Times New Roman"/>
          <w:sz w:val="20"/>
          <w:szCs w:val="20"/>
          <w:color w:val="auto"/>
        </w:rPr>
        <w:t>Share-based compensation expense by award type was as follows included within the consolidated statements of operations and comprehensive loss: (amounts in thousands):</w:t>
      </w:r>
    </w:p>
    <w:p>
      <w:pPr>
        <w:spacing w:after="0" w:line="233" w:lineRule="exact"/>
        <w:rPr>
          <w:sz w:val="20"/>
          <w:szCs w:val="20"/>
          <w:color w:val="auto"/>
        </w:rPr>
      </w:pPr>
    </w:p>
    <w:tbl>
      <w:tblPr>
        <w:tblLayout w:type="fixed"/>
        <w:tblInd w:w="40" w:type="dxa"/>
        <w:tblCellMar>
          <w:top w:w="0" w:type="dxa"/>
          <w:left w:w="0" w:type="dxa"/>
          <w:bottom w:w="0" w:type="dxa"/>
          <w:right w:w="0" w:type="dxa"/>
        </w:tblCellMar>
      </w:tblPr>
      <w:tr>
        <w:trPr>
          <w:trHeight w:val="240"/>
        </w:trPr>
        <w:tc>
          <w:tcPr>
            <w:tcW w:w="68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4"/>
          </w:tcPr>
          <w:p>
            <w:pPr>
              <w:jc w:val="right"/>
              <w:ind w:right="363"/>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r>
      <w:tr>
        <w:trPr>
          <w:trHeight w:val="220"/>
        </w:trPr>
        <w:tc>
          <w:tcPr>
            <w:tcW w:w="68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84"/>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62"/>
        </w:trPr>
        <w:tc>
          <w:tcPr>
            <w:tcW w:w="6860" w:type="dxa"/>
            <w:vAlign w:val="bottom"/>
          </w:tcPr>
          <w:p>
            <w:pPr>
              <w:spacing w:after="0"/>
              <w:rPr>
                <w:sz w:val="20"/>
                <w:szCs w:val="20"/>
                <w:color w:val="auto"/>
              </w:rPr>
            </w:pPr>
            <w:r>
              <w:rPr>
                <w:rFonts w:ascii="Times New Roman" w:cs="Times New Roman" w:eastAsia="Times New Roman" w:hAnsi="Times New Roman"/>
                <w:sz w:val="20"/>
                <w:szCs w:val="20"/>
                <w:color w:val="auto"/>
              </w:rPr>
              <w:t>Stock options</w:t>
            </w:r>
          </w:p>
        </w:tc>
        <w:tc>
          <w:tcPr>
            <w:tcW w:w="3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26,653</w:t>
            </w: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22,645</w:t>
            </w:r>
          </w:p>
        </w:tc>
      </w:tr>
      <w:tr>
        <w:trPr>
          <w:trHeight w:val="288"/>
        </w:trPr>
        <w:tc>
          <w:tcPr>
            <w:tcW w:w="6860" w:type="dxa"/>
            <w:vAlign w:val="bottom"/>
          </w:tcPr>
          <w:p>
            <w:pPr>
              <w:spacing w:after="0"/>
              <w:rPr>
                <w:sz w:val="20"/>
                <w:szCs w:val="20"/>
                <w:color w:val="auto"/>
              </w:rPr>
            </w:pPr>
            <w:r>
              <w:rPr>
                <w:rFonts w:ascii="Times New Roman" w:cs="Times New Roman" w:eastAsia="Times New Roman" w:hAnsi="Times New Roman"/>
                <w:sz w:val="20"/>
                <w:szCs w:val="20"/>
                <w:color w:val="auto"/>
              </w:rPr>
              <w:t>Restricted share awards and units</w:t>
            </w:r>
          </w:p>
        </w:tc>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20"/>
                <w:szCs w:val="20"/>
                <w:color w:val="auto"/>
              </w:rPr>
              <w:t>4,309</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10,901</w:t>
            </w:r>
          </w:p>
        </w:tc>
      </w:tr>
      <w:tr>
        <w:trPr>
          <w:trHeight w:val="245"/>
        </w:trPr>
        <w:tc>
          <w:tcPr>
            <w:tcW w:w="6860" w:type="dxa"/>
            <w:vAlign w:val="bottom"/>
          </w:tcPr>
          <w:p>
            <w:pPr>
              <w:spacing w:after="0"/>
              <w:rPr>
                <w:sz w:val="21"/>
                <w:szCs w:val="21"/>
                <w:color w:val="auto"/>
              </w:rPr>
            </w:pPr>
          </w:p>
        </w:tc>
        <w:tc>
          <w:tcPr>
            <w:tcW w:w="3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30,962</w:t>
            </w: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33,546</w:t>
            </w:r>
          </w:p>
        </w:tc>
      </w:tr>
      <w:tr>
        <w:trPr>
          <w:trHeight w:val="20"/>
        </w:trPr>
        <w:tc>
          <w:tcPr>
            <w:tcW w:w="68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-574040</wp:posOffset>
            </wp:positionV>
            <wp:extent cx="6324600" cy="5937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39">
                      <a:extLst>
                        <a:ext uri="{28A0092B-C50C-407E-A947-70E740481C1C}"/>
                      </a:extLst>
                    </a:blip>
                    <a:srcRect/>
                    <a:stretch>
                      <a:fillRect/>
                    </a:stretch>
                  </pic:blipFill>
                  <pic:spPr bwMode="auto">
                    <a:xfrm>
                      <a:off x="0" y="0"/>
                      <a:ext cx="6324600" cy="593725"/>
                    </a:xfrm>
                    <a:prstGeom prst="rect">
                      <a:avLst/>
                    </a:prstGeom>
                    <a:noFill/>
                  </pic:spPr>
                </pic:pic>
              </a:graphicData>
            </a:graphic>
          </wp:anchor>
        </w:drawing>
      </w: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Stock Options</w:t>
      </w:r>
    </w:p>
    <w:p>
      <w:pPr>
        <w:spacing w:after="0" w:line="13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following table summarizes stock option activity for the year ended December 31, 2025:</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center"/>
              <w:ind w:right="143"/>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6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center"/>
              <w:ind w:right="143"/>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6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center"/>
              <w:ind w:right="64"/>
              <w:spacing w:after="0"/>
              <w:rPr>
                <w:sz w:val="20"/>
                <w:szCs w:val="20"/>
                <w:color w:val="auto"/>
              </w:rPr>
            </w:pPr>
            <w:r>
              <w:rPr>
                <w:rFonts w:ascii="Times New Roman" w:cs="Times New Roman" w:eastAsia="Times New Roman" w:hAnsi="Times New Roman"/>
                <w:sz w:val="18"/>
                <w:szCs w:val="18"/>
                <w:b w:val="1"/>
                <w:bCs w:val="1"/>
                <w:color w:val="auto"/>
              </w:rPr>
              <w:t>Aggregate</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18"/>
                <w:szCs w:val="18"/>
                <w:color w:val="auto"/>
              </w:rPr>
            </w:pPr>
          </w:p>
        </w:tc>
        <w:tc>
          <w:tcPr>
            <w:tcW w:w="1340" w:type="dxa"/>
            <w:vAlign w:val="bottom"/>
          </w:tcPr>
          <w:p>
            <w:pPr>
              <w:jc w:val="right"/>
              <w:ind w:right="142"/>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60" w:type="dxa"/>
            <w:vAlign w:val="bottom"/>
          </w:tcPr>
          <w:p>
            <w:pPr>
              <w:spacing w:after="0"/>
              <w:rPr>
                <w:sz w:val="18"/>
                <w:szCs w:val="18"/>
                <w:color w:val="auto"/>
              </w:rPr>
            </w:pP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6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60" w:type="dxa"/>
            <w:vAlign w:val="bottom"/>
          </w:tcPr>
          <w:p>
            <w:pPr>
              <w:spacing w:after="0"/>
              <w:rPr>
                <w:sz w:val="18"/>
                <w:szCs w:val="18"/>
                <w:color w:val="auto"/>
              </w:rPr>
            </w:pP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Intrinsic Value</w:t>
            </w:r>
          </w:p>
        </w:tc>
        <w:tc>
          <w:tcPr>
            <w:tcW w:w="0" w:type="dxa"/>
            <w:vAlign w:val="bottom"/>
          </w:tcPr>
          <w:p>
            <w:pPr>
              <w:spacing w:after="0"/>
              <w:rPr>
                <w:sz w:val="1"/>
                <w:szCs w:val="1"/>
                <w:color w:val="auto"/>
              </w:rPr>
            </w:pPr>
          </w:p>
        </w:tc>
      </w:tr>
      <w:tr>
        <w:trPr>
          <w:trHeight w:val="243"/>
        </w:trPr>
        <w:tc>
          <w:tcPr>
            <w:tcW w:w="4280" w:type="dxa"/>
            <w:vAlign w:val="bottom"/>
          </w:tcPr>
          <w:p>
            <w:pPr>
              <w:spacing w:after="0"/>
              <w:rPr>
                <w:sz w:val="21"/>
                <w:szCs w:val="21"/>
                <w:color w:val="auto"/>
              </w:rPr>
            </w:pPr>
          </w:p>
        </w:tc>
        <w:tc>
          <w:tcPr>
            <w:tcW w:w="1340" w:type="dxa"/>
            <w:vAlign w:val="bottom"/>
            <w:tcBorders>
              <w:bottom w:val="single" w:sz="8" w:color="auto"/>
            </w:tcBorders>
          </w:tcPr>
          <w:p>
            <w:pPr>
              <w:jc w:val="right"/>
              <w:ind w:right="302"/>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center"/>
              <w:ind w:right="123"/>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60" w:type="dxa"/>
            <w:vAlign w:val="bottom"/>
          </w:tcPr>
          <w:p>
            <w:pPr>
              <w:spacing w:after="0"/>
              <w:rPr>
                <w:sz w:val="21"/>
                <w:szCs w:val="21"/>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Term</w:t>
            </w:r>
          </w:p>
        </w:tc>
        <w:tc>
          <w:tcPr>
            <w:tcW w:w="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center"/>
              <w:ind w:right="64"/>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c>
          <w:tcPr>
            <w:tcW w:w="0" w:type="dxa"/>
            <w:vAlign w:val="bottom"/>
          </w:tcPr>
          <w:p>
            <w:pPr>
              <w:spacing w:after="0"/>
              <w:rPr>
                <w:sz w:val="1"/>
                <w:szCs w:val="1"/>
                <w:color w:val="auto"/>
              </w:rPr>
            </w:pPr>
          </w:p>
        </w:tc>
      </w:tr>
      <w:tr>
        <w:trPr>
          <w:trHeight w:val="262"/>
        </w:trPr>
        <w:tc>
          <w:tcPr>
            <w:tcW w:w="4280" w:type="dxa"/>
            <w:vAlign w:val="bottom"/>
          </w:tcPr>
          <w:p>
            <w:pPr>
              <w:spacing w:after="0"/>
              <w:rPr>
                <w:sz w:val="20"/>
                <w:szCs w:val="20"/>
                <w:color w:val="auto"/>
              </w:rPr>
            </w:pPr>
            <w:r>
              <w:rPr>
                <w:rFonts w:ascii="Times New Roman" w:cs="Times New Roman" w:eastAsia="Times New Roman" w:hAnsi="Times New Roman"/>
                <w:sz w:val="20"/>
                <w:szCs w:val="20"/>
                <w:color w:val="auto"/>
              </w:rPr>
              <w:t>Balance at January 1, 2025</w:t>
            </w: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17,434,119</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7.77</w:t>
            </w:r>
          </w:p>
        </w:tc>
        <w:tc>
          <w:tcPr>
            <w:tcW w:w="60" w:type="dxa"/>
            <w:vAlign w:val="bottom"/>
          </w:tcPr>
          <w:p>
            <w:pPr>
              <w:spacing w:after="0"/>
              <w:rPr>
                <w:sz w:val="22"/>
                <w:szCs w:val="22"/>
                <w:color w:val="auto"/>
              </w:rPr>
            </w:pPr>
          </w:p>
        </w:tc>
        <w:tc>
          <w:tcPr>
            <w:tcW w:w="134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7.4 years</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4280" w:type="dxa"/>
            <w:vAlign w:val="bottom"/>
          </w:tcPr>
          <w:p>
            <w:pPr>
              <w:spacing w:after="0"/>
              <w:rPr>
                <w:sz w:val="20"/>
                <w:szCs w:val="20"/>
                <w:color w:val="auto"/>
              </w:rPr>
            </w:pPr>
            <w:r>
              <w:rPr>
                <w:rFonts w:ascii="Times New Roman" w:cs="Times New Roman" w:eastAsia="Times New Roman" w:hAnsi="Times New Roman"/>
                <w:sz w:val="20"/>
                <w:szCs w:val="20"/>
                <w:color w:val="auto"/>
              </w:rPr>
              <w:t>Granted</w:t>
            </w: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5,770,640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16.55</w:t>
            </w:r>
          </w:p>
        </w:tc>
        <w:tc>
          <w:tcPr>
            <w:tcW w:w="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4280" w:type="dxa"/>
            <w:vAlign w:val="bottom"/>
          </w:tcPr>
          <w:p>
            <w:pPr>
              <w:spacing w:after="0"/>
              <w:rPr>
                <w:sz w:val="20"/>
                <w:szCs w:val="20"/>
                <w:color w:val="auto"/>
              </w:rPr>
            </w:pPr>
            <w:r>
              <w:rPr>
                <w:rFonts w:ascii="Times New Roman" w:cs="Times New Roman" w:eastAsia="Times New Roman" w:hAnsi="Times New Roman"/>
                <w:sz w:val="20"/>
                <w:szCs w:val="20"/>
                <w:color w:val="auto"/>
              </w:rPr>
              <w:t>Exercised</w:t>
            </w: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(2,505,396)</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8.51</w:t>
            </w:r>
          </w:p>
        </w:tc>
        <w:tc>
          <w:tcPr>
            <w:tcW w:w="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4280" w:type="dxa"/>
            <w:vAlign w:val="bottom"/>
          </w:tcPr>
          <w:p>
            <w:pPr>
              <w:spacing w:after="0"/>
              <w:rPr>
                <w:sz w:val="20"/>
                <w:szCs w:val="20"/>
                <w:color w:val="auto"/>
              </w:rPr>
            </w:pPr>
            <w:r>
              <w:rPr>
                <w:rFonts w:ascii="Times New Roman" w:cs="Times New Roman" w:eastAsia="Times New Roman" w:hAnsi="Times New Roman"/>
                <w:sz w:val="20"/>
                <w:szCs w:val="20"/>
                <w:color w:val="auto"/>
              </w:rPr>
              <w:t>Forfeited</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(1,016,201)</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10.45</w:t>
            </w:r>
          </w:p>
        </w:tc>
        <w:tc>
          <w:tcPr>
            <w:tcW w:w="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4280" w:type="dxa"/>
            <w:vAlign w:val="bottom"/>
          </w:tcPr>
          <w:p>
            <w:pPr>
              <w:spacing w:after="0"/>
              <w:rPr>
                <w:sz w:val="20"/>
                <w:szCs w:val="20"/>
                <w:color w:val="auto"/>
              </w:rPr>
            </w:pPr>
            <w:r>
              <w:rPr>
                <w:rFonts w:ascii="Times New Roman" w:cs="Times New Roman" w:eastAsia="Times New Roman" w:hAnsi="Times New Roman"/>
                <w:sz w:val="20"/>
                <w:szCs w:val="20"/>
                <w:color w:val="auto"/>
              </w:rPr>
              <w:t>Balance at December 31, 2025</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19,683,162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10.11</w:t>
            </w:r>
          </w:p>
        </w:tc>
        <w:tc>
          <w:tcPr>
            <w:tcW w:w="60" w:type="dxa"/>
            <w:vAlign w:val="bottom"/>
          </w:tcPr>
          <w:p>
            <w:pPr>
              <w:spacing w:after="0"/>
              <w:rPr>
                <w:sz w:val="21"/>
                <w:szCs w:val="21"/>
                <w:color w:val="auto"/>
              </w:rPr>
            </w:pPr>
          </w:p>
        </w:tc>
        <w:tc>
          <w:tcPr>
            <w:tcW w:w="134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7.1 years</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293.4</w:t>
            </w:r>
          </w:p>
        </w:tc>
        <w:tc>
          <w:tcPr>
            <w:tcW w:w="0" w:type="dxa"/>
            <w:vAlign w:val="bottom"/>
          </w:tcPr>
          <w:p>
            <w:pPr>
              <w:spacing w:after="0"/>
              <w:rPr>
                <w:sz w:val="1"/>
                <w:szCs w:val="1"/>
                <w:color w:val="auto"/>
              </w:rPr>
            </w:pPr>
          </w:p>
        </w:tc>
      </w:tr>
      <w:tr>
        <w:trPr>
          <w:trHeight w:val="20"/>
        </w:trPr>
        <w:tc>
          <w:tcPr>
            <w:tcW w:w="42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Exercisable at December 31, 2025</w:t>
            </w: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7.83</w:t>
            </w:r>
          </w:p>
        </w:tc>
        <w:tc>
          <w:tcPr>
            <w:tcW w:w="60" w:type="dxa"/>
            <w:vAlign w:val="bottom"/>
          </w:tcPr>
          <w:p>
            <w:pPr>
              <w:spacing w:after="0" w:line="20" w:lineRule="exact"/>
              <w:rPr>
                <w:sz w:val="1"/>
                <w:szCs w:val="1"/>
                <w:color w:val="auto"/>
              </w:rPr>
            </w:pPr>
          </w:p>
        </w:tc>
        <w:tc>
          <w:tcPr>
            <w:tcW w:w="1340" w:type="dxa"/>
            <w:vAlign w:val="bottom"/>
            <w:vMerge w:val="restart"/>
          </w:tcPr>
          <w:p>
            <w:pPr>
              <w:ind w:left="560"/>
              <w:spacing w:after="0"/>
              <w:rPr>
                <w:sz w:val="20"/>
                <w:szCs w:val="20"/>
                <w:color w:val="auto"/>
              </w:rPr>
            </w:pPr>
            <w:r>
              <w:rPr>
                <w:rFonts w:ascii="Times New Roman" w:cs="Times New Roman" w:eastAsia="Times New Roman" w:hAnsi="Times New Roman"/>
                <w:sz w:val="20"/>
                <w:szCs w:val="20"/>
                <w:color w:val="auto"/>
              </w:rPr>
              <w:t>6.0 years</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206.8</w:t>
            </w:r>
          </w:p>
        </w:tc>
        <w:tc>
          <w:tcPr>
            <w:tcW w:w="0" w:type="dxa"/>
            <w:vAlign w:val="bottom"/>
          </w:tcPr>
          <w:p>
            <w:pPr>
              <w:spacing w:after="0" w:line="20" w:lineRule="exact"/>
              <w:rPr>
                <w:sz w:val="1"/>
                <w:szCs w:val="1"/>
                <w:color w:val="auto"/>
              </w:rPr>
            </w:pPr>
          </w:p>
        </w:tc>
      </w:tr>
      <w:tr>
        <w:trPr>
          <w:trHeight w:val="225"/>
        </w:trPr>
        <w:tc>
          <w:tcPr>
            <w:tcW w:w="4280" w:type="dxa"/>
            <w:vAlign w:val="bottom"/>
            <w:vMerge w:val="continue"/>
          </w:tcPr>
          <w:p>
            <w:pPr>
              <w:spacing w:after="0"/>
              <w:rPr>
                <w:sz w:val="19"/>
                <w:szCs w:val="19"/>
                <w:color w:val="auto"/>
              </w:rPr>
            </w:pPr>
          </w:p>
        </w:tc>
        <w:tc>
          <w:tcPr>
            <w:tcW w:w="1340" w:type="dxa"/>
            <w:vAlign w:val="bottom"/>
            <w:tcBorders>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12,035,579</w:t>
            </w:r>
          </w:p>
        </w:tc>
        <w:tc>
          <w:tcPr>
            <w:tcW w:w="280" w:type="dxa"/>
            <w:vAlign w:val="bottom"/>
            <w:gridSpan w:val="2"/>
            <w:vMerge w:val="continue"/>
          </w:tcPr>
          <w:p>
            <w:pPr>
              <w:spacing w:after="0"/>
              <w:rPr>
                <w:sz w:val="19"/>
                <w:szCs w:val="19"/>
                <w:color w:val="auto"/>
              </w:rPr>
            </w:pPr>
          </w:p>
        </w:tc>
        <w:tc>
          <w:tcPr>
            <w:tcW w:w="112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1340" w:type="dxa"/>
            <w:vAlign w:val="bottom"/>
            <w:vMerge w:val="continue"/>
          </w:tcPr>
          <w:p>
            <w:pPr>
              <w:spacing w:after="0"/>
              <w:rPr>
                <w:sz w:val="19"/>
                <w:szCs w:val="19"/>
                <w:color w:val="auto"/>
              </w:rPr>
            </w:pPr>
          </w:p>
        </w:tc>
        <w:tc>
          <w:tcPr>
            <w:tcW w:w="220" w:type="dxa"/>
            <w:vAlign w:val="bottom"/>
            <w:gridSpan w:val="2"/>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Vested and expected to vest at December 31, 2025</w:t>
            </w: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10.11</w:t>
            </w:r>
          </w:p>
        </w:tc>
        <w:tc>
          <w:tcPr>
            <w:tcW w:w="60" w:type="dxa"/>
            <w:vAlign w:val="bottom"/>
          </w:tcPr>
          <w:p>
            <w:pPr>
              <w:spacing w:after="0" w:line="20" w:lineRule="exact"/>
              <w:rPr>
                <w:sz w:val="1"/>
                <w:szCs w:val="1"/>
                <w:color w:val="auto"/>
              </w:rPr>
            </w:pPr>
          </w:p>
        </w:tc>
        <w:tc>
          <w:tcPr>
            <w:tcW w:w="1340" w:type="dxa"/>
            <w:vAlign w:val="bottom"/>
            <w:vMerge w:val="restart"/>
          </w:tcPr>
          <w:p>
            <w:pPr>
              <w:ind w:left="560"/>
              <w:spacing w:after="0"/>
              <w:rPr>
                <w:sz w:val="20"/>
                <w:szCs w:val="20"/>
                <w:color w:val="auto"/>
              </w:rPr>
            </w:pPr>
            <w:r>
              <w:rPr>
                <w:rFonts w:ascii="Times New Roman" w:cs="Times New Roman" w:eastAsia="Times New Roman" w:hAnsi="Times New Roman"/>
                <w:sz w:val="20"/>
                <w:szCs w:val="20"/>
                <w:color w:val="auto"/>
              </w:rPr>
              <w:t>7.1 years</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293.4</w:t>
            </w:r>
          </w:p>
        </w:tc>
        <w:tc>
          <w:tcPr>
            <w:tcW w:w="0" w:type="dxa"/>
            <w:vAlign w:val="bottom"/>
          </w:tcPr>
          <w:p>
            <w:pPr>
              <w:spacing w:after="0" w:line="20" w:lineRule="exact"/>
              <w:rPr>
                <w:sz w:val="1"/>
                <w:szCs w:val="1"/>
                <w:color w:val="auto"/>
              </w:rPr>
            </w:pPr>
          </w:p>
        </w:tc>
      </w:tr>
      <w:tr>
        <w:trPr>
          <w:trHeight w:val="225"/>
        </w:trPr>
        <w:tc>
          <w:tcPr>
            <w:tcW w:w="4280" w:type="dxa"/>
            <w:vAlign w:val="bottom"/>
            <w:vMerge w:val="continue"/>
          </w:tcPr>
          <w:p>
            <w:pPr>
              <w:spacing w:after="0"/>
              <w:rPr>
                <w:sz w:val="19"/>
                <w:szCs w:val="19"/>
                <w:color w:val="auto"/>
              </w:rPr>
            </w:pPr>
          </w:p>
        </w:tc>
        <w:tc>
          <w:tcPr>
            <w:tcW w:w="1340" w:type="dxa"/>
            <w:vAlign w:val="bottom"/>
            <w:tcBorders>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19,683,162</w:t>
            </w:r>
          </w:p>
        </w:tc>
        <w:tc>
          <w:tcPr>
            <w:tcW w:w="280" w:type="dxa"/>
            <w:vAlign w:val="bottom"/>
            <w:gridSpan w:val="2"/>
            <w:vMerge w:val="continue"/>
          </w:tcPr>
          <w:p>
            <w:pPr>
              <w:spacing w:after="0"/>
              <w:rPr>
                <w:sz w:val="19"/>
                <w:szCs w:val="19"/>
                <w:color w:val="auto"/>
              </w:rPr>
            </w:pPr>
          </w:p>
        </w:tc>
        <w:tc>
          <w:tcPr>
            <w:tcW w:w="112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1340" w:type="dxa"/>
            <w:vAlign w:val="bottom"/>
            <w:vMerge w:val="continue"/>
          </w:tcPr>
          <w:p>
            <w:pPr>
              <w:spacing w:after="0"/>
              <w:rPr>
                <w:sz w:val="19"/>
                <w:szCs w:val="19"/>
                <w:color w:val="auto"/>
              </w:rPr>
            </w:pPr>
          </w:p>
        </w:tc>
        <w:tc>
          <w:tcPr>
            <w:tcW w:w="220" w:type="dxa"/>
            <w:vAlign w:val="bottom"/>
            <w:gridSpan w:val="2"/>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-1297940</wp:posOffset>
            </wp:positionV>
            <wp:extent cx="6283325" cy="13176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0">
                      <a:extLst>
                        <a:ext uri="{28A0092B-C50C-407E-A947-70E740481C1C}"/>
                      </a:extLst>
                    </a:blip>
                    <a:srcRect/>
                    <a:stretch>
                      <a:fillRect/>
                    </a:stretch>
                  </pic:blipFill>
                  <pic:spPr bwMode="auto">
                    <a:xfrm>
                      <a:off x="0" y="0"/>
                      <a:ext cx="6283325" cy="1317625"/>
                    </a:xfrm>
                    <a:prstGeom prst="rect">
                      <a:avLst/>
                    </a:prstGeom>
                    <a:noFill/>
                  </pic:spPr>
                </pic:pic>
              </a:graphicData>
            </a:graphic>
          </wp:anchor>
        </w:drawing>
      </w:r>
    </w:p>
    <w:p>
      <w:pPr>
        <w:spacing w:after="0" w:line="228" w:lineRule="exact"/>
        <w:rPr>
          <w:sz w:val="20"/>
          <w:szCs w:val="20"/>
          <w:color w:val="auto"/>
        </w:rPr>
      </w:pPr>
    </w:p>
    <w:p>
      <w:pPr>
        <w:jc w:val="both"/>
        <w:ind w:right="20" w:firstLine="720"/>
        <w:spacing w:after="0" w:line="260" w:lineRule="auto"/>
        <w:rPr>
          <w:sz w:val="20"/>
          <w:szCs w:val="20"/>
          <w:color w:val="auto"/>
        </w:rPr>
      </w:pPr>
      <w:r>
        <w:rPr>
          <w:rFonts w:ascii="Times New Roman" w:cs="Times New Roman" w:eastAsia="Times New Roman" w:hAnsi="Times New Roman"/>
          <w:sz w:val="20"/>
          <w:szCs w:val="20"/>
          <w:color w:val="auto"/>
        </w:rPr>
        <w:t>The Company’s stock options vest based on the terms in each award agreement, generally over four-year periods, and have a contractual term of ten years. As of December 31, 2025, the total unrecognized compensation expense related to unvested stock option awards was $65.9 million, which the Company expects to recognize over a weighted-average period of 3.0 years.</w:t>
      </w:r>
    </w:p>
    <w:p>
      <w:pPr>
        <w:sectPr>
          <w:pgSz w:w="12240" w:h="15840" w:orient="portrait"/>
          <w:cols w:equalWidth="0" w:num="1">
            <w:col w:w="9900"/>
          </w:cols>
          <w:pgMar w:left="1180" w:top="20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148</w:t>
      </w:r>
    </w:p>
    <w:p>
      <w:pPr>
        <w:sectPr>
          <w:pgSz w:w="12240" w:h="15840" w:orient="portrait"/>
          <w:cols w:equalWidth="0" w:num="1">
            <w:col w:w="9900"/>
          </w:cols>
          <w:pgMar w:left="1180" w:top="208" w:right="1160" w:bottom="0" w:gutter="0" w:footer="0" w:header="0"/>
          <w:type w:val="continuous"/>
        </w:sectPr>
      </w:pPr>
    </w:p>
    <w:bookmarkStart w:id="148" w:name="page149"/>
    <w:bookmarkEnd w:id="148"/>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Centessa Pharmaceuticals plc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243" w:lineRule="exact"/>
        <w:rPr>
          <w:sz w:val="20"/>
          <w:szCs w:val="20"/>
          <w:color w:val="auto"/>
        </w:rPr>
      </w:pPr>
    </w:p>
    <w:p>
      <w:pPr>
        <w:jc w:val="both"/>
        <w:ind w:right="20" w:firstLine="720"/>
        <w:spacing w:after="0" w:line="260" w:lineRule="auto"/>
        <w:rPr>
          <w:sz w:val="20"/>
          <w:szCs w:val="20"/>
          <w:color w:val="auto"/>
        </w:rPr>
      </w:pPr>
      <w:r>
        <w:rPr>
          <w:rFonts w:ascii="Times New Roman" w:cs="Times New Roman" w:eastAsia="Times New Roman" w:hAnsi="Times New Roman"/>
          <w:sz w:val="20"/>
          <w:szCs w:val="20"/>
          <w:color w:val="auto"/>
        </w:rPr>
        <w:t>Based on the trading price of $25.01 per ADS, which was the closing price as of December 31, 2025, the aggregate intrinsic value of options as of December 31, 2025 was $293.4 million. The total intrinsic value of options exercised during the years ended December 31, 2025 and December 31, 2024 were $35.1 million and $17.0 million, respectively.</w:t>
      </w:r>
    </w:p>
    <w:p>
      <w:pPr>
        <w:spacing w:after="0" w:line="203" w:lineRule="exact"/>
        <w:rPr>
          <w:sz w:val="20"/>
          <w:szCs w:val="20"/>
          <w:color w:val="auto"/>
        </w:rPr>
      </w:pPr>
    </w:p>
    <w:p>
      <w:pPr>
        <w:jc w:val="both"/>
        <w:ind w:right="20" w:firstLine="720"/>
        <w:spacing w:after="0" w:line="281" w:lineRule="auto"/>
        <w:rPr>
          <w:sz w:val="20"/>
          <w:szCs w:val="20"/>
          <w:color w:val="auto"/>
        </w:rPr>
      </w:pPr>
      <w:r>
        <w:rPr>
          <w:rFonts w:ascii="Times New Roman" w:cs="Times New Roman" w:eastAsia="Times New Roman" w:hAnsi="Times New Roman"/>
          <w:sz w:val="20"/>
          <w:szCs w:val="20"/>
          <w:color w:val="auto"/>
        </w:rPr>
        <w:t>The fair value of each option was estimated on the date of grant using the weighted average assumptions in the table below:</w:t>
      </w:r>
    </w:p>
    <w:p>
      <w:pPr>
        <w:spacing w:after="0" w:line="245" w:lineRule="exact"/>
        <w:rPr>
          <w:sz w:val="20"/>
          <w:szCs w:val="20"/>
          <w:color w:val="auto"/>
        </w:rPr>
      </w:pPr>
    </w:p>
    <w:tbl>
      <w:tblPr>
        <w:tblLayout w:type="fixed"/>
        <w:tblInd w:w="40" w:type="dxa"/>
        <w:tblCellMar>
          <w:top w:w="0" w:type="dxa"/>
          <w:left w:w="0" w:type="dxa"/>
          <w:bottom w:w="0" w:type="dxa"/>
          <w:right w:w="0" w:type="dxa"/>
        </w:tblCellMar>
      </w:tblPr>
      <w:tr>
        <w:trPr>
          <w:trHeight w:val="243"/>
        </w:trPr>
        <w:tc>
          <w:tcPr>
            <w:tcW w:w="6580" w:type="dxa"/>
            <w:vAlign w:val="bottom"/>
          </w:tcPr>
          <w:p>
            <w:pPr>
              <w:spacing w:after="0"/>
              <w:rPr>
                <w:sz w:val="21"/>
                <w:szCs w:val="21"/>
                <w:color w:val="auto"/>
              </w:rPr>
            </w:pPr>
          </w:p>
        </w:tc>
        <w:tc>
          <w:tcPr>
            <w:tcW w:w="3280" w:type="dxa"/>
            <w:vAlign w:val="bottom"/>
            <w:tcBorders>
              <w:bottom w:val="single" w:sz="8" w:color="auto"/>
            </w:tcBorders>
            <w:gridSpan w:val="3"/>
          </w:tcPr>
          <w:p>
            <w:pPr>
              <w:ind w:left="60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r>
      <w:tr>
        <w:trPr>
          <w:trHeight w:val="235"/>
        </w:trPr>
        <w:tc>
          <w:tcPr>
            <w:tcW w:w="6580" w:type="dxa"/>
            <w:vAlign w:val="bottom"/>
          </w:tcPr>
          <w:p>
            <w:pPr>
              <w:spacing w:after="0"/>
              <w:rPr>
                <w:sz w:val="20"/>
                <w:szCs w:val="20"/>
                <w:color w:val="auto"/>
              </w:rPr>
            </w:pPr>
          </w:p>
        </w:tc>
        <w:tc>
          <w:tcPr>
            <w:tcW w:w="160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 w:type="dxa"/>
            <w:vAlign w:val="bottom"/>
          </w:tcPr>
          <w:p>
            <w:pPr>
              <w:spacing w:after="0"/>
              <w:rPr>
                <w:sz w:val="20"/>
                <w:szCs w:val="20"/>
                <w:color w:val="auto"/>
              </w:rPr>
            </w:pPr>
          </w:p>
        </w:tc>
        <w:tc>
          <w:tcPr>
            <w:tcW w:w="1620" w:type="dxa"/>
            <w:vAlign w:val="bottom"/>
            <w:tcBorders>
              <w:bottom w:val="single" w:sz="8" w:color="auto"/>
            </w:tcBorders>
          </w:tcPr>
          <w:p>
            <w:pPr>
              <w:jc w:val="right"/>
              <w:ind w:right="545"/>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62"/>
        </w:trPr>
        <w:tc>
          <w:tcPr>
            <w:tcW w:w="6580" w:type="dxa"/>
            <w:vAlign w:val="bottom"/>
          </w:tcPr>
          <w:p>
            <w:pPr>
              <w:spacing w:after="0"/>
              <w:rPr>
                <w:sz w:val="20"/>
                <w:szCs w:val="20"/>
                <w:color w:val="auto"/>
              </w:rPr>
            </w:pPr>
            <w:r>
              <w:rPr>
                <w:rFonts w:ascii="Times New Roman" w:cs="Times New Roman" w:eastAsia="Times New Roman" w:hAnsi="Times New Roman"/>
                <w:sz w:val="20"/>
                <w:szCs w:val="20"/>
                <w:color w:val="auto"/>
              </w:rPr>
              <w:t>Weighted-average grant date fair value of options</w:t>
            </w:r>
          </w:p>
        </w:tc>
        <w:tc>
          <w:tcPr>
            <w:tcW w:w="16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$11.70</w:t>
            </w:r>
          </w:p>
        </w:tc>
        <w:tc>
          <w:tcPr>
            <w:tcW w:w="16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$6.54</w:t>
            </w:r>
          </w:p>
        </w:tc>
      </w:tr>
      <w:tr>
        <w:trPr>
          <w:trHeight w:val="285"/>
        </w:trPr>
        <w:tc>
          <w:tcPr>
            <w:tcW w:w="6580" w:type="dxa"/>
            <w:vAlign w:val="bottom"/>
          </w:tcPr>
          <w:p>
            <w:pPr>
              <w:spacing w:after="0"/>
              <w:rPr>
                <w:sz w:val="20"/>
                <w:szCs w:val="20"/>
                <w:color w:val="auto"/>
              </w:rPr>
            </w:pPr>
            <w:r>
              <w:rPr>
                <w:rFonts w:ascii="Times New Roman" w:cs="Times New Roman" w:eastAsia="Times New Roman" w:hAnsi="Times New Roman"/>
                <w:sz w:val="20"/>
                <w:szCs w:val="20"/>
                <w:color w:val="auto"/>
              </w:rPr>
              <w:t>Expected term</w:t>
            </w:r>
          </w:p>
        </w:tc>
        <w:tc>
          <w:tcPr>
            <w:tcW w:w="160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6.0 years</w:t>
            </w:r>
          </w:p>
        </w:tc>
        <w:tc>
          <w:tcPr>
            <w:tcW w:w="6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6.0 years</w:t>
            </w:r>
          </w:p>
        </w:tc>
      </w:tr>
      <w:tr>
        <w:trPr>
          <w:trHeight w:val="285"/>
        </w:trPr>
        <w:tc>
          <w:tcPr>
            <w:tcW w:w="6580" w:type="dxa"/>
            <w:vAlign w:val="bottom"/>
          </w:tcPr>
          <w:p>
            <w:pPr>
              <w:spacing w:after="0"/>
              <w:rPr>
                <w:sz w:val="20"/>
                <w:szCs w:val="20"/>
                <w:color w:val="auto"/>
              </w:rPr>
            </w:pPr>
            <w:r>
              <w:rPr>
                <w:rFonts w:ascii="Times New Roman" w:cs="Times New Roman" w:eastAsia="Times New Roman" w:hAnsi="Times New Roman"/>
                <w:sz w:val="20"/>
                <w:szCs w:val="20"/>
                <w:color w:val="auto"/>
              </w:rPr>
              <w:t>Expected stock price volatility</w:t>
            </w:r>
          </w:p>
        </w:tc>
        <w:tc>
          <w:tcPr>
            <w:tcW w:w="16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78.9%</w:t>
            </w:r>
          </w:p>
        </w:tc>
        <w:tc>
          <w:tcPr>
            <w:tcW w:w="16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76.2%</w:t>
            </w:r>
          </w:p>
        </w:tc>
      </w:tr>
      <w:tr>
        <w:trPr>
          <w:trHeight w:val="285"/>
        </w:trPr>
        <w:tc>
          <w:tcPr>
            <w:tcW w:w="6580" w:type="dxa"/>
            <w:vAlign w:val="bottom"/>
          </w:tcPr>
          <w:p>
            <w:pPr>
              <w:spacing w:after="0"/>
              <w:rPr>
                <w:sz w:val="20"/>
                <w:szCs w:val="20"/>
                <w:color w:val="auto"/>
              </w:rPr>
            </w:pPr>
            <w:r>
              <w:rPr>
                <w:rFonts w:ascii="Times New Roman" w:cs="Times New Roman" w:eastAsia="Times New Roman" w:hAnsi="Times New Roman"/>
                <w:sz w:val="20"/>
                <w:szCs w:val="20"/>
                <w:color w:val="auto"/>
              </w:rPr>
              <w:t>Risk-free interest rate</w:t>
            </w:r>
          </w:p>
        </w:tc>
        <w:tc>
          <w:tcPr>
            <w:tcW w:w="16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4.2%</w:t>
            </w:r>
          </w:p>
        </w:tc>
        <w:tc>
          <w:tcPr>
            <w:tcW w:w="16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4.0%</w:t>
            </w:r>
          </w:p>
        </w:tc>
      </w:tr>
      <w:tr>
        <w:trPr>
          <w:trHeight w:val="285"/>
        </w:trPr>
        <w:tc>
          <w:tcPr>
            <w:tcW w:w="6580" w:type="dxa"/>
            <w:vAlign w:val="bottom"/>
          </w:tcPr>
          <w:p>
            <w:pPr>
              <w:spacing w:after="0"/>
              <w:rPr>
                <w:sz w:val="20"/>
                <w:szCs w:val="20"/>
                <w:color w:val="auto"/>
              </w:rPr>
            </w:pPr>
            <w:r>
              <w:rPr>
                <w:rFonts w:ascii="Times New Roman" w:cs="Times New Roman" w:eastAsia="Times New Roman" w:hAnsi="Times New Roman"/>
                <w:sz w:val="20"/>
                <w:szCs w:val="20"/>
                <w:color w:val="auto"/>
              </w:rPr>
              <w:t>Expected dividend yield</w:t>
            </w:r>
          </w:p>
        </w:tc>
        <w:tc>
          <w:tcPr>
            <w:tcW w:w="16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0%</w:t>
            </w:r>
          </w:p>
        </w:tc>
        <w:tc>
          <w:tcPr>
            <w:tcW w:w="16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7"/>
              </w:rPr>
              <w:t>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-908685</wp:posOffset>
            </wp:positionV>
            <wp:extent cx="6311900" cy="9302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1">
                      <a:extLst>
                        <a:ext uri="{28A0092B-C50C-407E-A947-70E740481C1C}"/>
                      </a:extLst>
                    </a:blip>
                    <a:srcRect/>
                    <a:stretch>
                      <a:fillRect/>
                    </a:stretch>
                  </pic:blipFill>
                  <pic:spPr bwMode="auto">
                    <a:xfrm>
                      <a:off x="0" y="0"/>
                      <a:ext cx="6311900" cy="930275"/>
                    </a:xfrm>
                    <a:prstGeom prst="rect">
                      <a:avLst/>
                    </a:prstGeom>
                    <a:noFill/>
                  </pic:spPr>
                </pic:pic>
              </a:graphicData>
            </a:graphic>
          </wp:anchor>
        </w:drawing>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Restricted Share Awards and Units</w:t>
      </w:r>
    </w:p>
    <w:p>
      <w:pPr>
        <w:spacing w:after="0" w:line="134" w:lineRule="exact"/>
        <w:rPr>
          <w:sz w:val="20"/>
          <w:szCs w:val="20"/>
          <w:color w:val="auto"/>
        </w:rPr>
      </w:pPr>
    </w:p>
    <w:p>
      <w:pPr>
        <w:jc w:val="both"/>
        <w:ind w:right="20" w:firstLine="720"/>
        <w:spacing w:after="0" w:line="266" w:lineRule="auto"/>
        <w:rPr>
          <w:sz w:val="20"/>
          <w:szCs w:val="20"/>
          <w:color w:val="auto"/>
        </w:rPr>
      </w:pPr>
      <w:r>
        <w:rPr>
          <w:rFonts w:ascii="Times New Roman" w:cs="Times New Roman" w:eastAsia="Times New Roman" w:hAnsi="Times New Roman"/>
          <w:sz w:val="20"/>
          <w:szCs w:val="20"/>
          <w:color w:val="auto"/>
        </w:rPr>
        <w:t>In 2021, the Company issued 1,213,802 ordinary shares subject to future vesting under its Restricted Stock Awards program. There have been no restricted stock awards granted since the issuances in 2021. All restricted stock awards are fully vested as of December 31, 2025.</w:t>
      </w:r>
    </w:p>
    <w:p>
      <w:pPr>
        <w:spacing w:after="0" w:line="195" w:lineRule="exact"/>
        <w:rPr>
          <w:sz w:val="20"/>
          <w:szCs w:val="20"/>
          <w:color w:val="auto"/>
        </w:rPr>
      </w:pPr>
    </w:p>
    <w:p>
      <w:pPr>
        <w:jc w:val="both"/>
        <w:ind w:right="20" w:firstLine="720"/>
        <w:spacing w:after="0" w:line="266" w:lineRule="auto"/>
        <w:rPr>
          <w:sz w:val="20"/>
          <w:szCs w:val="20"/>
          <w:color w:val="auto"/>
        </w:rPr>
      </w:pPr>
      <w:r>
        <w:rPr>
          <w:rFonts w:ascii="Times New Roman" w:cs="Times New Roman" w:eastAsia="Times New Roman" w:hAnsi="Times New Roman"/>
          <w:sz w:val="20"/>
          <w:szCs w:val="20"/>
          <w:color w:val="auto"/>
        </w:rPr>
        <w:t>The Board, following the recommendations of the Company’s Compensation Committee, grants service-based restricted stock units under the Company’s Stock Incentive Plan to certain executive officers and employees of the Company to encourage employee retention.</w:t>
      </w:r>
    </w:p>
    <w:p>
      <w:pPr>
        <w:spacing w:after="0" w:line="19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following table summarizes ordinary share activity related to the restricted stock programs for the year ended</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December 31, 2025:</w:t>
      </w:r>
    </w:p>
    <w:p>
      <w:pPr>
        <w:spacing w:after="0" w:line="200" w:lineRule="exact"/>
        <w:rPr>
          <w:sz w:val="20"/>
          <w:szCs w:val="20"/>
          <w:color w:val="auto"/>
        </w:rPr>
      </w:pPr>
    </w:p>
    <w:p>
      <w:pPr>
        <w:spacing w:after="0" w:line="258" w:lineRule="exact"/>
        <w:rPr>
          <w:sz w:val="20"/>
          <w:szCs w:val="20"/>
          <w:color w:val="auto"/>
        </w:rPr>
      </w:pPr>
    </w:p>
    <w:tbl>
      <w:tblPr>
        <w:tblLayout w:type="fixed"/>
        <w:tblInd w:w="40" w:type="dxa"/>
        <w:tblCellMar>
          <w:top w:w="0" w:type="dxa"/>
          <w:left w:w="0" w:type="dxa"/>
          <w:bottom w:w="0" w:type="dxa"/>
          <w:right w:w="0" w:type="dxa"/>
        </w:tblCellMar>
      </w:tblPr>
      <w:tr>
        <w:trPr>
          <w:trHeight w:val="243"/>
        </w:trPr>
        <w:tc>
          <w:tcPr>
            <w:tcW w:w="374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2380" w:type="dxa"/>
            <w:vAlign w:val="bottom"/>
            <w:tcBorders>
              <w:bottom w:val="single" w:sz="8" w:color="auto"/>
            </w:tcBorders>
            <w:gridSpan w:val="3"/>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Restricted Stock Awards</w:t>
            </w:r>
          </w:p>
        </w:tc>
        <w:tc>
          <w:tcPr>
            <w:tcW w:w="30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2640" w:type="dxa"/>
            <w:vAlign w:val="bottom"/>
            <w:tcBorders>
              <w:bottom w:val="single" w:sz="8" w:color="auto"/>
            </w:tcBorders>
            <w:gridSpan w:val="4"/>
          </w:tcPr>
          <w:p>
            <w:pPr>
              <w:jc w:val="right"/>
              <w:ind w:right="563"/>
              <w:spacing w:after="0"/>
              <w:rPr>
                <w:sz w:val="20"/>
                <w:szCs w:val="20"/>
                <w:color w:val="auto"/>
              </w:rPr>
            </w:pPr>
            <w:r>
              <w:rPr>
                <w:rFonts w:ascii="Times New Roman" w:cs="Times New Roman" w:eastAsia="Times New Roman" w:hAnsi="Times New Roman"/>
                <w:sz w:val="18"/>
                <w:szCs w:val="18"/>
                <w:b w:val="1"/>
                <w:bCs w:val="1"/>
                <w:color w:val="auto"/>
              </w:rPr>
              <w:t>Restricted Stock Units</w:t>
            </w:r>
          </w:p>
        </w:tc>
        <w:tc>
          <w:tcPr>
            <w:tcW w:w="0" w:type="dxa"/>
            <w:vAlign w:val="bottom"/>
          </w:tcPr>
          <w:p>
            <w:pPr>
              <w:spacing w:after="0"/>
              <w:rPr>
                <w:sz w:val="1"/>
                <w:szCs w:val="1"/>
                <w:color w:val="auto"/>
              </w:rPr>
            </w:pPr>
          </w:p>
        </w:tc>
      </w:tr>
      <w:tr>
        <w:trPr>
          <w:trHeight w:val="550"/>
        </w:trPr>
        <w:tc>
          <w:tcPr>
            <w:tcW w:w="3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jc w:val="center"/>
              <w:ind w:right="123"/>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Average Grant</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Average Grant</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Date Fair Value</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 Fair Value</w:t>
            </w:r>
          </w:p>
        </w:tc>
        <w:tc>
          <w:tcPr>
            <w:tcW w:w="0" w:type="dxa"/>
            <w:vAlign w:val="bottom"/>
          </w:tcPr>
          <w:p>
            <w:pPr>
              <w:spacing w:after="0"/>
              <w:rPr>
                <w:sz w:val="1"/>
                <w:szCs w:val="1"/>
                <w:color w:val="auto"/>
              </w:rPr>
            </w:pPr>
          </w:p>
        </w:tc>
      </w:tr>
      <w:tr>
        <w:trPr>
          <w:trHeight w:val="243"/>
        </w:trPr>
        <w:tc>
          <w:tcPr>
            <w:tcW w:w="3740" w:type="dxa"/>
            <w:vAlign w:val="bottom"/>
          </w:tcPr>
          <w:p>
            <w:pPr>
              <w:spacing w:after="0"/>
              <w:rPr>
                <w:sz w:val="21"/>
                <w:szCs w:val="21"/>
                <w:color w:val="auto"/>
              </w:rPr>
            </w:pPr>
          </w:p>
        </w:tc>
        <w:tc>
          <w:tcPr>
            <w:tcW w:w="15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60" w:type="dxa"/>
            <w:vAlign w:val="bottom"/>
          </w:tcPr>
          <w:p>
            <w:pPr>
              <w:spacing w:after="0"/>
              <w:rPr>
                <w:sz w:val="21"/>
                <w:szCs w:val="21"/>
                <w:color w:val="auto"/>
              </w:rPr>
            </w:pPr>
          </w:p>
        </w:tc>
        <w:tc>
          <w:tcPr>
            <w:tcW w:w="1120" w:type="dxa"/>
            <w:vAlign w:val="bottom"/>
            <w:tcBorders>
              <w:bottom w:val="single" w:sz="8" w:color="auto"/>
            </w:tcBorders>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9"/>
              </w:rPr>
              <w:t>Per Share</w:t>
            </w:r>
          </w:p>
        </w:tc>
        <w:tc>
          <w:tcPr>
            <w:tcW w:w="30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15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center"/>
              <w:ind w:right="143"/>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0" w:type="dxa"/>
            <w:vAlign w:val="bottom"/>
          </w:tcPr>
          <w:p>
            <w:pPr>
              <w:spacing w:after="0"/>
              <w:rPr>
                <w:sz w:val="1"/>
                <w:szCs w:val="1"/>
                <w:color w:val="auto"/>
              </w:rPr>
            </w:pPr>
          </w:p>
        </w:tc>
      </w:tr>
      <w:tr>
        <w:trPr>
          <w:trHeight w:val="262"/>
        </w:trPr>
        <w:tc>
          <w:tcPr>
            <w:tcW w:w="3740" w:type="dxa"/>
            <w:vAlign w:val="bottom"/>
          </w:tcPr>
          <w:p>
            <w:pPr>
              <w:spacing w:after="0"/>
              <w:rPr>
                <w:sz w:val="20"/>
                <w:szCs w:val="20"/>
                <w:color w:val="auto"/>
              </w:rPr>
            </w:pPr>
            <w:r>
              <w:rPr>
                <w:rFonts w:ascii="Times New Roman" w:cs="Times New Roman" w:eastAsia="Times New Roman" w:hAnsi="Times New Roman"/>
                <w:sz w:val="20"/>
                <w:szCs w:val="20"/>
                <w:color w:val="auto"/>
              </w:rPr>
              <w:t>Unvested at January 1, 2025</w:t>
            </w:r>
          </w:p>
        </w:tc>
        <w:tc>
          <w:tcPr>
            <w:tcW w:w="360" w:type="dxa"/>
            <w:vAlign w:val="bottom"/>
          </w:tcPr>
          <w:p>
            <w:pPr>
              <w:spacing w:after="0"/>
              <w:rPr>
                <w:sz w:val="22"/>
                <w:szCs w:val="22"/>
                <w:color w:val="auto"/>
              </w:rPr>
            </w:pP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86,864</w:t>
            </w:r>
          </w:p>
        </w:tc>
        <w:tc>
          <w:tcPr>
            <w:tcW w:w="1180" w:type="dxa"/>
            <w:vAlign w:val="bottom"/>
            <w:gridSpan w:val="2"/>
          </w:tcPr>
          <w:p>
            <w:pPr>
              <w:jc w:val="right"/>
              <w:ind w:right="890"/>
              <w:spacing w:after="0"/>
              <w:rPr>
                <w:sz w:val="20"/>
                <w:szCs w:val="20"/>
                <w:color w:val="auto"/>
              </w:rPr>
            </w:pPr>
            <w:r>
              <w:rPr>
                <w:rFonts w:ascii="Times New Roman" w:cs="Times New Roman" w:eastAsia="Times New Roman" w:hAnsi="Times New Roman"/>
                <w:sz w:val="20"/>
                <w:szCs w:val="20"/>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20</w:t>
            </w: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1,510,077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6.14</w:t>
            </w:r>
          </w:p>
        </w:tc>
        <w:tc>
          <w:tcPr>
            <w:tcW w:w="0" w:type="dxa"/>
            <w:vAlign w:val="bottom"/>
          </w:tcPr>
          <w:p>
            <w:pPr>
              <w:spacing w:after="0"/>
              <w:rPr>
                <w:sz w:val="1"/>
                <w:szCs w:val="1"/>
                <w:color w:val="auto"/>
              </w:rPr>
            </w:pPr>
          </w:p>
        </w:tc>
      </w:tr>
      <w:tr>
        <w:trPr>
          <w:trHeight w:val="285"/>
        </w:trPr>
        <w:tc>
          <w:tcPr>
            <w:tcW w:w="3740" w:type="dxa"/>
            <w:vAlign w:val="bottom"/>
          </w:tcPr>
          <w:p>
            <w:pPr>
              <w:spacing w:after="0"/>
              <w:rPr>
                <w:sz w:val="20"/>
                <w:szCs w:val="20"/>
                <w:color w:val="auto"/>
              </w:rPr>
            </w:pPr>
            <w:r>
              <w:rPr>
                <w:rFonts w:ascii="Times New Roman" w:cs="Times New Roman" w:eastAsia="Times New Roman" w:hAnsi="Times New Roman"/>
                <w:sz w:val="20"/>
                <w:szCs w:val="20"/>
                <w:color w:val="auto"/>
              </w:rPr>
              <w:t>Granted</w:t>
            </w:r>
          </w:p>
        </w:tc>
        <w:tc>
          <w:tcPr>
            <w:tcW w:w="360" w:type="dxa"/>
            <w:vAlign w:val="bottom"/>
          </w:tcPr>
          <w:p>
            <w:pPr>
              <w:spacing w:after="0"/>
              <w:rPr>
                <w:sz w:val="24"/>
                <w:szCs w:val="24"/>
                <w:color w:val="auto"/>
              </w:rPr>
            </w:pP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123,610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16.45</w:t>
            </w:r>
          </w:p>
        </w:tc>
        <w:tc>
          <w:tcPr>
            <w:tcW w:w="0" w:type="dxa"/>
            <w:vAlign w:val="bottom"/>
          </w:tcPr>
          <w:p>
            <w:pPr>
              <w:spacing w:after="0"/>
              <w:rPr>
                <w:sz w:val="1"/>
                <w:szCs w:val="1"/>
                <w:color w:val="auto"/>
              </w:rPr>
            </w:pPr>
          </w:p>
        </w:tc>
      </w:tr>
      <w:tr>
        <w:trPr>
          <w:trHeight w:val="285"/>
        </w:trPr>
        <w:tc>
          <w:tcPr>
            <w:tcW w:w="3740" w:type="dxa"/>
            <w:vAlign w:val="bottom"/>
          </w:tcPr>
          <w:p>
            <w:pPr>
              <w:spacing w:after="0"/>
              <w:rPr>
                <w:sz w:val="20"/>
                <w:szCs w:val="20"/>
                <w:color w:val="auto"/>
              </w:rPr>
            </w:pPr>
            <w:r>
              <w:rPr>
                <w:rFonts w:ascii="Times New Roman" w:cs="Times New Roman" w:eastAsia="Times New Roman" w:hAnsi="Times New Roman"/>
                <w:sz w:val="20"/>
                <w:szCs w:val="20"/>
                <w:color w:val="auto"/>
              </w:rPr>
              <w:t>Vested</w:t>
            </w:r>
          </w:p>
        </w:tc>
        <w:tc>
          <w:tcPr>
            <w:tcW w:w="3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(86,864)</w:t>
            </w:r>
          </w:p>
        </w:tc>
        <w:tc>
          <w:tcPr>
            <w:tcW w:w="1180" w:type="dxa"/>
            <w:vAlign w:val="bottom"/>
            <w:gridSpan w:val="2"/>
          </w:tcPr>
          <w:p>
            <w:pPr>
              <w:jc w:val="right"/>
              <w:ind w:right="890"/>
              <w:spacing w:after="0"/>
              <w:rPr>
                <w:sz w:val="20"/>
                <w:szCs w:val="20"/>
                <w:color w:val="auto"/>
              </w:rPr>
            </w:pPr>
            <w:r>
              <w:rPr>
                <w:rFonts w:ascii="Times New Roman" w:cs="Times New Roman" w:eastAsia="Times New Roman" w:hAnsi="Times New Roman"/>
                <w:sz w:val="20"/>
                <w:szCs w:val="20"/>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20</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(453,960)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5.75</w:t>
            </w:r>
          </w:p>
        </w:tc>
        <w:tc>
          <w:tcPr>
            <w:tcW w:w="0" w:type="dxa"/>
            <w:vAlign w:val="bottom"/>
          </w:tcPr>
          <w:p>
            <w:pPr>
              <w:spacing w:after="0"/>
              <w:rPr>
                <w:sz w:val="1"/>
                <w:szCs w:val="1"/>
                <w:color w:val="auto"/>
              </w:rPr>
            </w:pPr>
          </w:p>
        </w:tc>
      </w:tr>
      <w:tr>
        <w:trPr>
          <w:trHeight w:val="288"/>
        </w:trPr>
        <w:tc>
          <w:tcPr>
            <w:tcW w:w="3740" w:type="dxa"/>
            <w:vAlign w:val="bottom"/>
          </w:tcPr>
          <w:p>
            <w:pPr>
              <w:spacing w:after="0"/>
              <w:rPr>
                <w:sz w:val="20"/>
                <w:szCs w:val="20"/>
                <w:color w:val="auto"/>
              </w:rPr>
            </w:pPr>
            <w:r>
              <w:rPr>
                <w:rFonts w:ascii="Times New Roman" w:cs="Times New Roman" w:eastAsia="Times New Roman" w:hAnsi="Times New Roman"/>
                <w:sz w:val="20"/>
                <w:szCs w:val="20"/>
                <w:color w:val="auto"/>
              </w:rPr>
              <w:t>Forfeited</w:t>
            </w: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(195,668)</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6.56</w:t>
            </w:r>
          </w:p>
        </w:tc>
        <w:tc>
          <w:tcPr>
            <w:tcW w:w="0" w:type="dxa"/>
            <w:vAlign w:val="bottom"/>
          </w:tcPr>
          <w:p>
            <w:pPr>
              <w:spacing w:after="0"/>
              <w:rPr>
                <w:sz w:val="1"/>
                <w:szCs w:val="1"/>
                <w:color w:val="auto"/>
              </w:rPr>
            </w:pPr>
          </w:p>
        </w:tc>
      </w:tr>
      <w:tr>
        <w:trPr>
          <w:trHeight w:val="245"/>
        </w:trPr>
        <w:tc>
          <w:tcPr>
            <w:tcW w:w="3740" w:type="dxa"/>
            <w:vAlign w:val="bottom"/>
          </w:tcPr>
          <w:p>
            <w:pPr>
              <w:spacing w:after="0"/>
              <w:rPr>
                <w:sz w:val="20"/>
                <w:szCs w:val="20"/>
                <w:color w:val="auto"/>
              </w:rPr>
            </w:pPr>
            <w:r>
              <w:rPr>
                <w:rFonts w:ascii="Times New Roman" w:cs="Times New Roman" w:eastAsia="Times New Roman" w:hAnsi="Times New Roman"/>
                <w:sz w:val="20"/>
                <w:szCs w:val="20"/>
                <w:color w:val="auto"/>
              </w:rPr>
              <w:t>Unvested at December 31, 2025</w:t>
            </w: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gridSpan w:val="2"/>
          </w:tcPr>
          <w:p>
            <w:pPr>
              <w:jc w:val="right"/>
              <w:ind w:right="890"/>
              <w:spacing w:after="0"/>
              <w:rPr>
                <w:sz w:val="20"/>
                <w:szCs w:val="20"/>
                <w:color w:val="auto"/>
              </w:rPr>
            </w:pPr>
            <w:r>
              <w:rPr>
                <w:rFonts w:ascii="Times New Roman" w:cs="Times New Roman" w:eastAsia="Times New Roman" w:hAnsi="Times New Roman"/>
                <w:sz w:val="20"/>
                <w:szCs w:val="20"/>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6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984,059</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7.53</w:t>
            </w:r>
          </w:p>
        </w:tc>
        <w:tc>
          <w:tcPr>
            <w:tcW w:w="0" w:type="dxa"/>
            <w:vAlign w:val="bottom"/>
          </w:tcPr>
          <w:p>
            <w:pPr>
              <w:spacing w:after="0"/>
              <w:rPr>
                <w:sz w:val="1"/>
                <w:szCs w:val="1"/>
                <w:color w:val="auto"/>
              </w:rPr>
            </w:pPr>
          </w:p>
        </w:tc>
      </w:tr>
      <w:tr>
        <w:trPr>
          <w:trHeight w:val="20"/>
        </w:trPr>
        <w:tc>
          <w:tcPr>
            <w:tcW w:w="37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Unrecognized compensation expense at</w:t>
            </w: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7"/>
        </w:trPr>
        <w:tc>
          <w:tcPr>
            <w:tcW w:w="37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3740" w:type="dxa"/>
            <w:vAlign w:val="bottom"/>
          </w:tcPr>
          <w:p>
            <w:pPr>
              <w:spacing w:after="0"/>
              <w:rPr>
                <w:sz w:val="20"/>
                <w:szCs w:val="20"/>
                <w:color w:val="auto"/>
              </w:rPr>
            </w:pPr>
            <w:r>
              <w:rPr>
                <w:rFonts w:ascii="Times New Roman" w:cs="Times New Roman" w:eastAsia="Times New Roman" w:hAnsi="Times New Roman"/>
                <w:sz w:val="20"/>
                <w:szCs w:val="20"/>
                <w:color w:val="auto"/>
              </w:rPr>
              <w:t>December 31, 2025 ($ in thousands)</w:t>
            </w:r>
          </w:p>
        </w:tc>
        <w:tc>
          <w:tcPr>
            <w:tcW w:w="3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40" w:type="dxa"/>
            <w:vAlign w:val="bottom"/>
            <w:gridSpan w:val="2"/>
          </w:tcPr>
          <w:p>
            <w:pPr>
              <w:jc w:val="right"/>
              <w:ind w:right="15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5,202</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0"/>
        </w:trPr>
        <w:tc>
          <w:tcPr>
            <w:tcW w:w="3740" w:type="dxa"/>
            <w:vAlign w:val="bottom"/>
          </w:tcPr>
          <w:p>
            <w:pPr>
              <w:spacing w:after="0"/>
              <w:rPr>
                <w:sz w:val="20"/>
                <w:szCs w:val="20"/>
                <w:color w:val="auto"/>
              </w:rPr>
            </w:pPr>
            <w:r>
              <w:rPr>
                <w:rFonts w:ascii="Times New Roman" w:cs="Times New Roman" w:eastAsia="Times New Roman" w:hAnsi="Times New Roman"/>
                <w:sz w:val="20"/>
                <w:szCs w:val="20"/>
                <w:color w:val="auto"/>
              </w:rPr>
              <w:t>Expected weighted average recognition</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3740" w:type="dxa"/>
            <w:vAlign w:val="bottom"/>
          </w:tcPr>
          <w:p>
            <w:pPr>
              <w:spacing w:after="0"/>
              <w:rPr>
                <w:sz w:val="20"/>
                <w:szCs w:val="20"/>
                <w:color w:val="auto"/>
              </w:rPr>
            </w:pPr>
            <w:r>
              <w:rPr>
                <w:rFonts w:ascii="Times New Roman" w:cs="Times New Roman" w:eastAsia="Times New Roman" w:hAnsi="Times New Roman"/>
                <w:sz w:val="20"/>
                <w:szCs w:val="20"/>
                <w:color w:val="auto"/>
              </w:rPr>
              <w:t>period</w:t>
            </w:r>
          </w:p>
        </w:tc>
        <w:tc>
          <w:tcPr>
            <w:tcW w:w="3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0.0 years</w:t>
            </w:r>
          </w:p>
        </w:tc>
        <w:tc>
          <w:tcPr>
            <w:tcW w:w="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 years</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-1823085</wp:posOffset>
            </wp:positionV>
            <wp:extent cx="6311900" cy="18446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2">
                      <a:extLst>
                        <a:ext uri="{28A0092B-C50C-407E-A947-70E740481C1C}"/>
                      </a:extLst>
                    </a:blip>
                    <a:srcRect/>
                    <a:stretch>
                      <a:fillRect/>
                    </a:stretch>
                  </pic:blipFill>
                  <pic:spPr bwMode="auto">
                    <a:xfrm>
                      <a:off x="0" y="0"/>
                      <a:ext cx="6311900" cy="1844675"/>
                    </a:xfrm>
                    <a:prstGeom prst="rect">
                      <a:avLst/>
                    </a:prstGeom>
                    <a:noFill/>
                  </pic:spPr>
                </pic:pic>
              </a:graphicData>
            </a:graphic>
          </wp:anchor>
        </w:drawing>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Centessa Pharmaceuticals plc 2021 Employee Share Purchase Plan</w:t>
      </w:r>
    </w:p>
    <w:p>
      <w:pPr>
        <w:spacing w:after="0" w:line="134" w:lineRule="exact"/>
        <w:rPr>
          <w:sz w:val="20"/>
          <w:szCs w:val="20"/>
          <w:color w:val="auto"/>
        </w:rPr>
      </w:pPr>
    </w:p>
    <w:p>
      <w:pPr>
        <w:jc w:val="both"/>
        <w:ind w:right="20" w:firstLine="720"/>
        <w:spacing w:after="0" w:line="266" w:lineRule="auto"/>
        <w:rPr>
          <w:sz w:val="20"/>
          <w:szCs w:val="20"/>
          <w:color w:val="auto"/>
        </w:rPr>
      </w:pPr>
      <w:r>
        <w:rPr>
          <w:rFonts w:ascii="Times New Roman" w:cs="Times New Roman" w:eastAsia="Times New Roman" w:hAnsi="Times New Roman"/>
          <w:sz w:val="20"/>
          <w:szCs w:val="20"/>
          <w:color w:val="auto"/>
        </w:rPr>
        <w:t>In January 2021, the Company’s board of directors approved the 2021 Employee Share Purchase Plan (the “2021 ESPP”). The initial number of shares reserved for issuance under the 2021 ESPP was 860,000. On January 1, 2022 and each January 1 thereafter, the number of Shares reserved and available for issuance under the ESPP shall be cumulatively</w:t>
      </w:r>
    </w:p>
    <w:p>
      <w:pPr>
        <w:sectPr>
          <w:pgSz w:w="12240" w:h="15840" w:orient="portrait"/>
          <w:cols w:equalWidth="0" w:num="1">
            <w:col w:w="9900"/>
          </w:cols>
          <w:pgMar w:left="1180" w:top="208" w:right="1160" w:bottom="0" w:gutter="0" w:footer="0" w:header="0"/>
        </w:sect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149</w:t>
      </w:r>
    </w:p>
    <w:p>
      <w:pPr>
        <w:sectPr>
          <w:pgSz w:w="12240" w:h="15840" w:orient="portrait"/>
          <w:cols w:equalWidth="0" w:num="1">
            <w:col w:w="9900"/>
          </w:cols>
          <w:pgMar w:left="1180" w:top="208" w:right="1160" w:bottom="0" w:gutter="0" w:footer="0" w:header="0"/>
          <w:type w:val="continuous"/>
        </w:sectPr>
      </w:pPr>
    </w:p>
    <w:bookmarkStart w:id="149" w:name="page150"/>
    <w:bookmarkEnd w:id="149"/>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Centessa Pharmaceuticals plc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243"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increased by a number of shares equal to the lesser of: (i) 1% of the number of Shares issued and outstanding on the immediately preceding December 31; (ii) two times the initial number of shares reserved or (iii) such number of Shares as determined by the board of directors. Remaining shares reserved as of December 31, 2025 were 2,708,415. There have been no shares issued under the ESPP plan.</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10. Income Taxes</w:t>
      </w:r>
    </w:p>
    <w:p>
      <w:pPr>
        <w:spacing w:after="0" w:line="137" w:lineRule="exact"/>
        <w:rPr>
          <w:sz w:val="20"/>
          <w:szCs w:val="20"/>
          <w:color w:val="auto"/>
        </w:rPr>
      </w:pPr>
    </w:p>
    <w:p>
      <w:pPr>
        <w:jc w:val="both"/>
        <w:ind w:right="20" w:firstLine="720"/>
        <w:spacing w:after="0" w:line="281" w:lineRule="auto"/>
        <w:rPr>
          <w:sz w:val="20"/>
          <w:szCs w:val="20"/>
          <w:color w:val="auto"/>
        </w:rPr>
      </w:pPr>
      <w:r>
        <w:rPr>
          <w:rFonts w:ascii="Times New Roman" w:cs="Times New Roman" w:eastAsia="Times New Roman" w:hAnsi="Times New Roman"/>
          <w:sz w:val="20"/>
          <w:szCs w:val="20"/>
          <w:color w:val="auto"/>
        </w:rPr>
        <w:t>The tax effects of temporary differences that gave rise to significant portions of the deferred tax assets and liabilities were as follows (amounts in thousands):</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43"/>
        </w:trPr>
        <w:tc>
          <w:tcPr>
            <w:tcW w:w="71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380" w:type="dxa"/>
            <w:vAlign w:val="bottom"/>
            <w:tcBorders>
              <w:bottom w:val="single" w:sz="8" w:color="auto"/>
            </w:tcBorders>
            <w:gridSpan w:val="4"/>
          </w:tcPr>
          <w:p>
            <w:pPr>
              <w:jc w:val="right"/>
              <w:ind w:right="721"/>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5"/>
        </w:trPr>
        <w:tc>
          <w:tcPr>
            <w:tcW w:w="71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62"/>
        </w:trPr>
        <w:tc>
          <w:tcPr>
            <w:tcW w:w="7160" w:type="dxa"/>
            <w:vAlign w:val="bottom"/>
          </w:tcPr>
          <w:p>
            <w:pPr>
              <w:spacing w:after="0"/>
              <w:rPr>
                <w:sz w:val="20"/>
                <w:szCs w:val="20"/>
                <w:color w:val="auto"/>
              </w:rPr>
            </w:pPr>
            <w:r>
              <w:rPr>
                <w:rFonts w:ascii="Times New Roman" w:cs="Times New Roman" w:eastAsia="Times New Roman" w:hAnsi="Times New Roman"/>
                <w:sz w:val="20"/>
                <w:szCs w:val="20"/>
                <w:color w:val="auto"/>
              </w:rPr>
              <w:t>Deferred tax assets:</w:t>
            </w:r>
          </w:p>
        </w:tc>
        <w:tc>
          <w:tcPr>
            <w:tcW w:w="3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85"/>
        </w:trPr>
        <w:tc>
          <w:tcPr>
            <w:tcW w:w="71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Tax loss carryforwards</w:t>
            </w:r>
          </w:p>
        </w:tc>
        <w:tc>
          <w:tcPr>
            <w:tcW w:w="3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144,366</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96,444</w:t>
            </w:r>
          </w:p>
        </w:tc>
      </w:tr>
      <w:tr>
        <w:trPr>
          <w:trHeight w:val="285"/>
        </w:trPr>
        <w:tc>
          <w:tcPr>
            <w:tcW w:w="71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Capitalized research and development</w:t>
            </w:r>
          </w:p>
        </w:tc>
        <w:tc>
          <w:tcPr>
            <w:tcW w:w="320" w:type="dxa"/>
            <w:vAlign w:val="bottom"/>
          </w:tcPr>
          <w:p>
            <w:pPr>
              <w:spacing w:after="0"/>
              <w:rPr>
                <w:sz w:val="24"/>
                <w:szCs w:val="24"/>
                <w:color w:val="auto"/>
              </w:rPr>
            </w:pP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8,239</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13,606</w:t>
            </w:r>
          </w:p>
        </w:tc>
      </w:tr>
      <w:tr>
        <w:trPr>
          <w:trHeight w:val="285"/>
        </w:trPr>
        <w:tc>
          <w:tcPr>
            <w:tcW w:w="71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Research and development credits</w:t>
            </w:r>
          </w:p>
        </w:tc>
        <w:tc>
          <w:tcPr>
            <w:tcW w:w="320" w:type="dxa"/>
            <w:vAlign w:val="bottom"/>
          </w:tcPr>
          <w:p>
            <w:pPr>
              <w:spacing w:after="0"/>
              <w:rPr>
                <w:sz w:val="24"/>
                <w:szCs w:val="24"/>
                <w:color w:val="auto"/>
              </w:rPr>
            </w:pP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13,557</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11,063</w:t>
            </w:r>
          </w:p>
        </w:tc>
      </w:tr>
      <w:tr>
        <w:trPr>
          <w:trHeight w:val="288"/>
        </w:trPr>
        <w:tc>
          <w:tcPr>
            <w:tcW w:w="71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Other</w:t>
            </w: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4,321</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3,068</w:t>
            </w:r>
          </w:p>
        </w:tc>
      </w:tr>
      <w:tr>
        <w:trPr>
          <w:trHeight w:val="262"/>
        </w:trPr>
        <w:tc>
          <w:tcPr>
            <w:tcW w:w="71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Total deferred tax assets</w:t>
            </w:r>
          </w:p>
        </w:tc>
        <w:tc>
          <w:tcPr>
            <w:tcW w:w="320" w:type="dxa"/>
            <w:vAlign w:val="bottom"/>
          </w:tcPr>
          <w:p>
            <w:pPr>
              <w:spacing w:after="0"/>
              <w:rPr>
                <w:sz w:val="22"/>
                <w:szCs w:val="22"/>
                <w:color w:val="auto"/>
              </w:rPr>
            </w:pP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170,483</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124,181</w:t>
            </w:r>
          </w:p>
        </w:tc>
      </w:tr>
      <w:tr>
        <w:trPr>
          <w:trHeight w:val="288"/>
        </w:trPr>
        <w:tc>
          <w:tcPr>
            <w:tcW w:w="71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Valuation allowance</w:t>
            </w: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(143,002)</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(94,894)</w:t>
            </w:r>
          </w:p>
        </w:tc>
      </w:tr>
      <w:tr>
        <w:trPr>
          <w:trHeight w:val="262"/>
        </w:trPr>
        <w:tc>
          <w:tcPr>
            <w:tcW w:w="716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Deferred tax assets, net of allowance</w:t>
            </w:r>
          </w:p>
        </w:tc>
        <w:tc>
          <w:tcPr>
            <w:tcW w:w="320" w:type="dxa"/>
            <w:vAlign w:val="bottom"/>
          </w:tcPr>
          <w:p>
            <w:pPr>
              <w:spacing w:after="0"/>
              <w:rPr>
                <w:sz w:val="22"/>
                <w:szCs w:val="22"/>
                <w:color w:val="auto"/>
              </w:rPr>
            </w:pP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27,481</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29,287</w:t>
            </w:r>
          </w:p>
        </w:tc>
      </w:tr>
      <w:tr>
        <w:trPr>
          <w:trHeight w:val="285"/>
        </w:trPr>
        <w:tc>
          <w:tcPr>
            <w:tcW w:w="7160" w:type="dxa"/>
            <w:vAlign w:val="bottom"/>
          </w:tcPr>
          <w:p>
            <w:pPr>
              <w:spacing w:after="0"/>
              <w:rPr>
                <w:sz w:val="20"/>
                <w:szCs w:val="20"/>
                <w:color w:val="auto"/>
              </w:rPr>
            </w:pPr>
            <w:r>
              <w:rPr>
                <w:rFonts w:ascii="Times New Roman" w:cs="Times New Roman" w:eastAsia="Times New Roman" w:hAnsi="Times New Roman"/>
                <w:sz w:val="20"/>
                <w:szCs w:val="20"/>
                <w:color w:val="auto"/>
              </w:rPr>
              <w:t>Deferred tax liabilities:</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88"/>
        </w:trPr>
        <w:tc>
          <w:tcPr>
            <w:tcW w:w="71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Other</w:t>
            </w: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(2,703)</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(2,701)</w:t>
            </w:r>
          </w:p>
        </w:tc>
      </w:tr>
      <w:tr>
        <w:trPr>
          <w:trHeight w:val="245"/>
        </w:trPr>
        <w:tc>
          <w:tcPr>
            <w:tcW w:w="716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Net deferred tax assets</w:t>
            </w:r>
          </w:p>
        </w:tc>
        <w:tc>
          <w:tcPr>
            <w:tcW w:w="3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24,778</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26,586</w:t>
            </w:r>
          </w:p>
        </w:tc>
      </w:tr>
      <w:tr>
        <w:trPr>
          <w:trHeight w:val="20"/>
        </w:trPr>
        <w:tc>
          <w:tcPr>
            <w:tcW w:w="7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-2021840</wp:posOffset>
            </wp:positionV>
            <wp:extent cx="6324600" cy="2197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3">
                      <a:extLst>
                        <a:ext uri="{28A0092B-C50C-407E-A947-70E740481C1C}"/>
                      </a:extLst>
                    </a:blip>
                    <a:srcRect/>
                    <a:stretch>
                      <a:fillRect/>
                    </a:stretch>
                  </pic:blipFill>
                  <pic:spPr bwMode="auto">
                    <a:xfrm>
                      <a:off x="0" y="0"/>
                      <a:ext cx="6324600" cy="2197100"/>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jc w:val="both"/>
        <w:ind w:right="20" w:firstLine="720"/>
        <w:spacing w:after="0" w:line="256" w:lineRule="auto"/>
        <w:rPr>
          <w:sz w:val="20"/>
          <w:szCs w:val="20"/>
          <w:color w:val="auto"/>
        </w:rPr>
      </w:pPr>
      <w:r>
        <w:rPr>
          <w:rFonts w:ascii="Times New Roman" w:cs="Times New Roman" w:eastAsia="Times New Roman" w:hAnsi="Times New Roman"/>
          <w:sz w:val="20"/>
          <w:szCs w:val="20"/>
          <w:color w:val="auto"/>
        </w:rPr>
        <w:t>The Company regularly assesses its ability to realize its deferred tax assets. Assessing the realization of deferred tax assets requires significant judgment. In determining whether its deferred tax assets are more likely than not realizable, the Company evaluated all available positive and negative evidence, and weighed the evidence based on its objectivity. After consideration of the evidence, including the Company's history of cumulative net losses in the UK, the Company has concluded that it is more likely than not that the Company will not realize the benefits of its UK deferred tax assets and accordingly the Company has provided a valuation allowance for the full amount of the net deferred tax assets in the UK.</w:t>
      </w:r>
    </w:p>
    <w:p>
      <w:pPr>
        <w:spacing w:after="0" w:line="208"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The Company has considered the history of cumulative net profits in an operating entity in the United States, which carries out services for other entities in the group and recognizes most of the interest income from cash, cash equivalents, and investments, and estimated that entity’s future taxable income and concluded that it is more likely than not that the Company will realize the benefits of the deferred tax assets in that entity, and has not provided a valuation allowance against the net deferred tax assets in that entity. For the year ended December 31, 2025, the consolidated valuation allowance increased by $48.1 million due to the increase in tax loss carryforward resulting from the current year operating losses.</w:t>
      </w:r>
    </w:p>
    <w:p>
      <w:pPr>
        <w:spacing w:after="0" w:line="210"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On July 4, 2025, the One Big Beautiful Bill Act (“OBBBA”) was enacted. Key income tax provisions of the OBBBA include the repeal of the mandatory capitalization of research and development (“R&amp;D”) expenditures under Internal Revenue Code Section 174, thereby reinstating full expensing of R&amp;D costs beginning in 2025, the extension of bonus depreciation, and certain revisions to international tax regimes. The Company recognized the income tax effects of the OBBBA in its consolidated financial statements for the year ended December 31, 2025, in accordance with ASC 740, Income Taxes. The enactment of the OBBBA resulted in a reduction to the Company’s income tax liability for the current fiscal year, primarily reflecting the accelerated recognition of the deferred tax asset related to previously capitalized R&amp;D expenditures. The provisions of the OBBBA did not have a material impact on the Company’s effective tax rate for the period.</w:t>
      </w:r>
    </w:p>
    <w:p>
      <w:pPr>
        <w:spacing w:after="0" w:line="20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Components of the Company’s pre-tax loss are as follows (amounts in thousands):</w:t>
      </w:r>
    </w:p>
    <w:p>
      <w:pPr>
        <w:sectPr>
          <w:pgSz w:w="12240" w:h="15840" w:orient="portrait"/>
          <w:cols w:equalWidth="0" w:num="1">
            <w:col w:w="9900"/>
          </w:cols>
          <w:pgMar w:left="1180" w:top="20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150</w:t>
      </w:r>
    </w:p>
    <w:p>
      <w:pPr>
        <w:sectPr>
          <w:pgSz w:w="12240" w:h="15840" w:orient="portrait"/>
          <w:cols w:equalWidth="0" w:num="1">
            <w:col w:w="9900"/>
          </w:cols>
          <w:pgMar w:left="1180" w:top="208" w:right="1160" w:bottom="0" w:gutter="0" w:footer="0" w:header="0"/>
          <w:type w:val="continuous"/>
        </w:sectPr>
      </w:pPr>
    </w:p>
    <w:bookmarkStart w:id="150" w:name="page151"/>
    <w:bookmarkEnd w:id="150"/>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Centessa Pharmaceuticals plc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480" w:type="dxa"/>
            <w:vAlign w:val="bottom"/>
            <w:tcBorders>
              <w:bottom w:val="single" w:sz="8" w:color="auto"/>
            </w:tcBorders>
            <w:gridSpan w:val="5"/>
          </w:tcPr>
          <w:p>
            <w:pPr>
              <w:jc w:val="right"/>
              <w:ind w:right="262"/>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0" w:type="dxa"/>
            <w:vAlign w:val="bottom"/>
          </w:tcPr>
          <w:p>
            <w:pPr>
              <w:spacing w:after="0"/>
              <w:rPr>
                <w:sz w:val="1"/>
                <w:szCs w:val="1"/>
                <w:color w:val="auto"/>
              </w:rPr>
            </w:pPr>
          </w:p>
        </w:tc>
      </w:tr>
      <w:tr>
        <w:trPr>
          <w:trHeight w:val="235"/>
        </w:trPr>
        <w:tc>
          <w:tcPr>
            <w:tcW w:w="7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36"/>
        </w:trPr>
        <w:tc>
          <w:tcPr>
            <w:tcW w:w="71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(Loss) Income before tax:</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712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UK</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(217,984)</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(248,649)</w:t>
            </w:r>
          </w:p>
        </w:tc>
        <w:tc>
          <w:tcPr>
            <w:tcW w:w="0" w:type="dxa"/>
            <w:vAlign w:val="bottom"/>
          </w:tcPr>
          <w:p>
            <w:pPr>
              <w:spacing w:after="0"/>
              <w:rPr>
                <w:sz w:val="1"/>
                <w:szCs w:val="1"/>
                <w:color w:val="auto"/>
              </w:rPr>
            </w:pPr>
          </w:p>
        </w:tc>
      </w:tr>
      <w:tr>
        <w:trPr>
          <w:trHeight w:val="254"/>
        </w:trPr>
        <w:tc>
          <w:tcPr>
            <w:tcW w:w="712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Non-UK</w:t>
            </w: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22,271</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15,736</w:t>
            </w:r>
          </w:p>
        </w:tc>
        <w:tc>
          <w:tcPr>
            <w:tcW w:w="0" w:type="dxa"/>
            <w:vAlign w:val="bottom"/>
          </w:tcPr>
          <w:p>
            <w:pPr>
              <w:spacing w:after="0"/>
              <w:rPr>
                <w:sz w:val="1"/>
                <w:szCs w:val="1"/>
                <w:color w:val="auto"/>
              </w:rPr>
            </w:pPr>
          </w:p>
        </w:tc>
      </w:tr>
      <w:tr>
        <w:trPr>
          <w:trHeight w:val="215"/>
        </w:trPr>
        <w:tc>
          <w:tcPr>
            <w:tcW w:w="7120" w:type="dxa"/>
            <w:vAlign w:val="bottom"/>
          </w:tcPr>
          <w:p>
            <w:pPr>
              <w:ind w:left="40"/>
              <w:spacing w:after="0" w:line="215" w:lineRule="exact"/>
              <w:rPr>
                <w:sz w:val="20"/>
                <w:szCs w:val="20"/>
                <w:color w:val="auto"/>
              </w:rPr>
            </w:pPr>
            <w:r>
              <w:rPr>
                <w:rFonts w:ascii="Times New Roman" w:cs="Times New Roman" w:eastAsia="Times New Roman" w:hAnsi="Times New Roman"/>
                <w:sz w:val="20"/>
                <w:szCs w:val="20"/>
                <w:color w:val="auto"/>
              </w:rPr>
              <w:t>Total</w:t>
            </w:r>
          </w:p>
        </w:tc>
        <w:tc>
          <w:tcPr>
            <w:tcW w:w="300" w:type="dxa"/>
            <w:vAlign w:val="bottom"/>
            <w:tcBorders>
              <w:bottom w:val="single" w:sz="8" w:color="auto"/>
            </w:tcBorders>
            <w:gridSpan w:val="2"/>
          </w:tcPr>
          <w:p>
            <w:pPr>
              <w:jc w:val="right"/>
              <w:ind w:right="60"/>
              <w:spacing w:after="0" w:line="215" w:lineRule="exact"/>
              <w:rPr>
                <w:sz w:val="20"/>
                <w:szCs w:val="20"/>
                <w:color w:val="auto"/>
              </w:rPr>
            </w:pPr>
            <w:r>
              <w:rPr>
                <w:rFonts w:ascii="Times New Roman" w:cs="Times New Roman" w:eastAsia="Times New Roman" w:hAnsi="Times New Roman"/>
                <w:sz w:val="20"/>
                <w:szCs w:val="20"/>
                <w:color w:val="auto"/>
              </w:rPr>
              <w:t>$</w:t>
            </w:r>
          </w:p>
        </w:tc>
        <w:tc>
          <w:tcPr>
            <w:tcW w:w="1000" w:type="dxa"/>
            <w:vAlign w:val="bottom"/>
            <w:tcBorders>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(195,713)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Borders>
              <w:bottom w:val="single" w:sz="8" w:color="auto"/>
            </w:tcBorders>
          </w:tcPr>
          <w:p>
            <w:pPr>
              <w:jc w:val="right"/>
              <w:ind w:right="60"/>
              <w:spacing w:after="0" w:line="215" w:lineRule="exact"/>
              <w:rPr>
                <w:sz w:val="20"/>
                <w:szCs w:val="20"/>
                <w:color w:val="auto"/>
              </w:rPr>
            </w:pPr>
            <w:r>
              <w:rPr>
                <w:rFonts w:ascii="Times New Roman" w:cs="Times New Roman" w:eastAsia="Times New Roman" w:hAnsi="Times New Roman"/>
                <w:sz w:val="20"/>
                <w:szCs w:val="20"/>
                <w:color w:val="auto"/>
              </w:rPr>
              <w:t>$</w:t>
            </w:r>
          </w:p>
        </w:tc>
        <w:tc>
          <w:tcPr>
            <w:tcW w:w="1000" w:type="dxa"/>
            <w:vAlign w:val="bottom"/>
            <w:tcBorders>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(232,913)</w:t>
            </w:r>
          </w:p>
        </w:tc>
        <w:tc>
          <w:tcPr>
            <w:tcW w:w="0" w:type="dxa"/>
            <w:vAlign w:val="bottom"/>
          </w:tcPr>
          <w:p>
            <w:pPr>
              <w:spacing w:after="0"/>
              <w:rPr>
                <w:sz w:val="1"/>
                <w:szCs w:val="1"/>
                <w:color w:val="auto"/>
              </w:rPr>
            </w:pPr>
          </w:p>
        </w:tc>
      </w:tr>
      <w:tr>
        <w:trPr>
          <w:trHeight w:val="20"/>
        </w:trPr>
        <w:tc>
          <w:tcPr>
            <w:tcW w:w="71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The income tax expense (benefit) consists of the following (amounts in thousands):</w:t>
            </w: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9"/>
        </w:trPr>
        <w:tc>
          <w:tcPr>
            <w:tcW w:w="71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7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5"/>
          </w:tcPr>
          <w:p>
            <w:pPr>
              <w:jc w:val="right"/>
              <w:ind w:right="722"/>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5"/>
        </w:trPr>
        <w:tc>
          <w:tcPr>
            <w:tcW w:w="7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62"/>
        </w:trPr>
        <w:tc>
          <w:tcPr>
            <w:tcW w:w="71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Federal - U.S.</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712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Current</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(40)</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(513)</w:t>
            </w:r>
          </w:p>
        </w:tc>
        <w:tc>
          <w:tcPr>
            <w:tcW w:w="0" w:type="dxa"/>
            <w:vAlign w:val="bottom"/>
          </w:tcPr>
          <w:p>
            <w:pPr>
              <w:spacing w:after="0"/>
              <w:rPr>
                <w:sz w:val="1"/>
                <w:szCs w:val="1"/>
                <w:color w:val="auto"/>
              </w:rPr>
            </w:pPr>
          </w:p>
        </w:tc>
      </w:tr>
      <w:tr>
        <w:trPr>
          <w:trHeight w:val="285"/>
        </w:trPr>
        <w:tc>
          <w:tcPr>
            <w:tcW w:w="712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Deferred</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2,491</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2,599</w:t>
            </w:r>
          </w:p>
        </w:tc>
        <w:tc>
          <w:tcPr>
            <w:tcW w:w="0" w:type="dxa"/>
            <w:vAlign w:val="bottom"/>
          </w:tcPr>
          <w:p>
            <w:pPr>
              <w:spacing w:after="0"/>
              <w:rPr>
                <w:sz w:val="1"/>
                <w:szCs w:val="1"/>
                <w:color w:val="auto"/>
              </w:rPr>
            </w:pPr>
          </w:p>
        </w:tc>
      </w:tr>
      <w:tr>
        <w:trPr>
          <w:trHeight w:val="285"/>
        </w:trPr>
        <w:tc>
          <w:tcPr>
            <w:tcW w:w="71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State - U.S.</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712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Current</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(659)</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702</w:t>
            </w:r>
          </w:p>
        </w:tc>
        <w:tc>
          <w:tcPr>
            <w:tcW w:w="0" w:type="dxa"/>
            <w:vAlign w:val="bottom"/>
          </w:tcPr>
          <w:p>
            <w:pPr>
              <w:spacing w:after="0"/>
              <w:rPr>
                <w:sz w:val="1"/>
                <w:szCs w:val="1"/>
                <w:color w:val="auto"/>
              </w:rPr>
            </w:pPr>
          </w:p>
        </w:tc>
      </w:tr>
      <w:tr>
        <w:trPr>
          <w:trHeight w:val="285"/>
        </w:trPr>
        <w:tc>
          <w:tcPr>
            <w:tcW w:w="712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Deferred</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18</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56</w:t>
            </w:r>
          </w:p>
        </w:tc>
        <w:tc>
          <w:tcPr>
            <w:tcW w:w="0" w:type="dxa"/>
            <w:vAlign w:val="bottom"/>
          </w:tcPr>
          <w:p>
            <w:pPr>
              <w:spacing w:after="0"/>
              <w:rPr>
                <w:sz w:val="1"/>
                <w:szCs w:val="1"/>
                <w:color w:val="auto"/>
              </w:rPr>
            </w:pPr>
          </w:p>
        </w:tc>
      </w:tr>
      <w:tr>
        <w:trPr>
          <w:trHeight w:val="285"/>
        </w:trPr>
        <w:tc>
          <w:tcPr>
            <w:tcW w:w="71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Foreign</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712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Current</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9</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88"/>
        </w:trPr>
        <w:tc>
          <w:tcPr>
            <w:tcW w:w="712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Deferred</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3"/>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tcPr>
          <w:p>
            <w:pPr>
              <w:spacing w:after="0"/>
              <w:rPr>
                <w:sz w:val="24"/>
                <w:szCs w:val="24"/>
                <w:color w:val="auto"/>
              </w:rPr>
            </w:pP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5"/>
        </w:trPr>
        <w:tc>
          <w:tcPr>
            <w:tcW w:w="71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Income tax expense (benefit)</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Borders>
              <w:top w:val="single" w:sz="8" w:color="auto"/>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1,819</w:t>
            </w:r>
          </w:p>
        </w:tc>
        <w:tc>
          <w:tcPr>
            <w:tcW w:w="6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2,844</w:t>
            </w:r>
          </w:p>
        </w:tc>
        <w:tc>
          <w:tcPr>
            <w:tcW w:w="0" w:type="dxa"/>
            <w:vAlign w:val="bottom"/>
          </w:tcPr>
          <w:p>
            <w:pPr>
              <w:spacing w:after="0"/>
              <w:rPr>
                <w:sz w:val="1"/>
                <w:szCs w:val="1"/>
                <w:color w:val="auto"/>
              </w:rPr>
            </w:pPr>
          </w:p>
        </w:tc>
      </w:tr>
      <w:tr>
        <w:trPr>
          <w:trHeight w:val="20"/>
        </w:trPr>
        <w:tc>
          <w:tcPr>
            <w:tcW w:w="7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-3180715</wp:posOffset>
            </wp:positionV>
            <wp:extent cx="6324600" cy="6985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4">
                      <a:extLst>
                        <a:ext uri="{28A0092B-C50C-407E-A947-70E740481C1C}"/>
                      </a:extLst>
                    </a:blip>
                    <a:srcRect/>
                    <a:stretch>
                      <a:fillRect/>
                    </a:stretch>
                  </pic:blipFill>
                  <pic:spPr bwMode="auto">
                    <a:xfrm>
                      <a:off x="0" y="0"/>
                      <a:ext cx="6324600" cy="69850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-1840865</wp:posOffset>
            </wp:positionV>
            <wp:extent cx="6324600" cy="18605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5">
                      <a:extLst>
                        <a:ext uri="{28A0092B-C50C-407E-A947-70E740481C1C}"/>
                      </a:extLst>
                    </a:blip>
                    <a:srcRect/>
                    <a:stretch>
                      <a:fillRect/>
                    </a:stretch>
                  </pic:blipFill>
                  <pic:spPr bwMode="auto">
                    <a:xfrm>
                      <a:off x="0" y="0"/>
                      <a:ext cx="6324600" cy="186055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reconciliation of the United Kingdom (“UK”) income tax rate to the Company’s effective tax rate is as follows:</w:t>
      </w:r>
    </w:p>
    <w:p>
      <w:pPr>
        <w:spacing w:after="0" w:line="313" w:lineRule="exact"/>
        <w:rPr>
          <w:sz w:val="20"/>
          <w:szCs w:val="20"/>
          <w:color w:val="auto"/>
        </w:rPr>
      </w:pPr>
    </w:p>
    <w:p>
      <w:pPr>
        <w:ind w:left="7380"/>
        <w:spacing w:after="0"/>
        <w:rPr>
          <w:sz w:val="20"/>
          <w:szCs w:val="20"/>
          <w:color w:val="auto"/>
        </w:rPr>
      </w:pPr>
      <w:r>
        <w:rPr>
          <w:rFonts w:ascii="Times New Roman" w:cs="Times New Roman" w:eastAsia="Times New Roman" w:hAnsi="Times New Roman"/>
          <w:sz w:val="18"/>
          <w:szCs w:val="18"/>
          <w:b w:val="1"/>
          <w:bCs w:val="1"/>
          <w:color w:val="auto"/>
        </w:rPr>
        <w:t>Years Ended December 31,</w:t>
      </w:r>
    </w:p>
    <w:p>
      <w:pPr>
        <w:spacing w:after="0" w:line="31" w:lineRule="exact"/>
        <w:rPr>
          <w:sz w:val="20"/>
          <w:szCs w:val="20"/>
          <w:color w:val="auto"/>
        </w:rPr>
      </w:pPr>
    </w:p>
    <w:tbl>
      <w:tblPr>
        <w:tblLayout w:type="fixed"/>
        <w:tblInd w:w="40" w:type="dxa"/>
        <w:tblCellMar>
          <w:top w:w="0" w:type="dxa"/>
          <w:left w:w="0" w:type="dxa"/>
          <w:bottom w:w="0" w:type="dxa"/>
          <w:right w:w="0" w:type="dxa"/>
        </w:tblCellMar>
      </w:tblPr>
      <w:tr>
        <w:trPr>
          <w:trHeight w:val="240"/>
        </w:trPr>
        <w:tc>
          <w:tcPr>
            <w:tcW w:w="6920" w:type="dxa"/>
            <w:vAlign w:val="bottom"/>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40" w:type="dxa"/>
            <w:vAlign w:val="bottom"/>
            <w:tcBorders>
              <w:top w:val="single" w:sz="8" w:color="auto"/>
              <w:bottom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440" w:type="dxa"/>
            <w:vAlign w:val="bottom"/>
            <w:tcBorders>
              <w:top w:val="single" w:sz="8" w:color="auto"/>
              <w:bottom w:val="single" w:sz="8" w:color="auto"/>
            </w:tcBorders>
          </w:tcPr>
          <w:p>
            <w:pPr>
              <w:jc w:val="right"/>
              <w:ind w:right="443"/>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62"/>
        </w:trPr>
        <w:tc>
          <w:tcPr>
            <w:tcW w:w="78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Statutory tax rate benefit</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25 %</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25 %</w:t>
            </w:r>
          </w:p>
        </w:tc>
      </w:tr>
      <w:tr>
        <w:trPr>
          <w:trHeight w:val="285"/>
        </w:trPr>
        <w:tc>
          <w:tcPr>
            <w:tcW w:w="78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Non-deductible share-based compensation</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w:t>
            </w:r>
          </w:p>
        </w:tc>
      </w:tr>
      <w:tr>
        <w:trPr>
          <w:trHeight w:val="285"/>
        </w:trPr>
        <w:tc>
          <w:tcPr>
            <w:tcW w:w="78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Other non-deductible expenses</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w:t>
            </w:r>
          </w:p>
        </w:tc>
      </w:tr>
      <w:tr>
        <w:trPr>
          <w:trHeight w:val="285"/>
        </w:trPr>
        <w:tc>
          <w:tcPr>
            <w:tcW w:w="78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Enhanced UK research and development expenses</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8 %</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6 %</w:t>
            </w:r>
          </w:p>
        </w:tc>
      </w:tr>
      <w:tr>
        <w:trPr>
          <w:trHeight w:val="285"/>
        </w:trPr>
        <w:tc>
          <w:tcPr>
            <w:tcW w:w="78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Losses surrendered for UK research tax incentive</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(13)%</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(18)%</w:t>
            </w:r>
          </w:p>
        </w:tc>
      </w:tr>
      <w:tr>
        <w:trPr>
          <w:trHeight w:val="285"/>
        </w:trPr>
        <w:tc>
          <w:tcPr>
            <w:tcW w:w="78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UK non-taxable research and development incentive</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3 %</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3 %</w:t>
            </w:r>
          </w:p>
        </w:tc>
      </w:tr>
      <w:tr>
        <w:trPr>
          <w:trHeight w:val="285"/>
        </w:trPr>
        <w:tc>
          <w:tcPr>
            <w:tcW w:w="78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U.S. research &amp; development tax credits</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1 %</w:t>
            </w:r>
          </w:p>
        </w:tc>
        <w:tc>
          <w:tcPr>
            <w:tcW w:w="6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w:t>
            </w:r>
          </w:p>
        </w:tc>
      </w:tr>
      <w:tr>
        <w:trPr>
          <w:trHeight w:val="285"/>
        </w:trPr>
        <w:tc>
          <w:tcPr>
            <w:tcW w:w="78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Return to provision adjustments</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1 %</w:t>
            </w:r>
          </w:p>
        </w:tc>
        <w:tc>
          <w:tcPr>
            <w:tcW w:w="6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w:t>
            </w:r>
          </w:p>
        </w:tc>
      </w:tr>
      <w:tr>
        <w:trPr>
          <w:trHeight w:val="288"/>
        </w:trPr>
        <w:tc>
          <w:tcPr>
            <w:tcW w:w="6920" w:type="dxa"/>
            <w:vAlign w:val="bottom"/>
          </w:tcPr>
          <w:p>
            <w:pPr>
              <w:spacing w:after="0"/>
              <w:rPr>
                <w:sz w:val="20"/>
                <w:szCs w:val="20"/>
                <w:color w:val="auto"/>
              </w:rPr>
            </w:pPr>
            <w:r>
              <w:rPr>
                <w:rFonts w:ascii="Times New Roman" w:cs="Times New Roman" w:eastAsia="Times New Roman" w:hAnsi="Times New Roman"/>
                <w:sz w:val="20"/>
                <w:szCs w:val="20"/>
                <w:color w:val="auto"/>
              </w:rPr>
              <w:t>Increase in valuation allowance</w:t>
            </w:r>
          </w:p>
        </w:tc>
        <w:tc>
          <w:tcPr>
            <w:tcW w:w="9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(22)%</w:t>
            </w:r>
          </w:p>
        </w:tc>
        <w:tc>
          <w:tcPr>
            <w:tcW w:w="60" w:type="dxa"/>
            <w:vAlign w:val="bottom"/>
          </w:tcPr>
          <w:p>
            <w:pPr>
              <w:spacing w:after="0"/>
              <w:rPr>
                <w:sz w:val="24"/>
                <w:szCs w:val="24"/>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w:t>
            </w:r>
          </w:p>
        </w:tc>
      </w:tr>
      <w:tr>
        <w:trPr>
          <w:trHeight w:val="265"/>
        </w:trPr>
        <w:tc>
          <w:tcPr>
            <w:tcW w:w="6920" w:type="dxa"/>
            <w:vAlign w:val="bottom"/>
          </w:tcPr>
          <w:p>
            <w:pPr>
              <w:spacing w:after="0"/>
              <w:rPr>
                <w:sz w:val="20"/>
                <w:szCs w:val="20"/>
                <w:color w:val="auto"/>
              </w:rPr>
            </w:pPr>
            <w:r>
              <w:rPr>
                <w:rFonts w:ascii="Times New Roman" w:cs="Times New Roman" w:eastAsia="Times New Roman" w:hAnsi="Times New Roman"/>
                <w:sz w:val="20"/>
                <w:szCs w:val="20"/>
                <w:color w:val="auto"/>
              </w:rPr>
              <w:t>Effective income tax rate</w:t>
            </w:r>
          </w:p>
        </w:tc>
        <w:tc>
          <w:tcPr>
            <w:tcW w:w="90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-1828165</wp:posOffset>
            </wp:positionV>
            <wp:extent cx="6311900" cy="18351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46">
                      <a:extLst>
                        <a:ext uri="{28A0092B-C50C-407E-A947-70E740481C1C}"/>
                      </a:extLst>
                    </a:blip>
                    <a:srcRect/>
                    <a:stretch>
                      <a:fillRect/>
                    </a:stretch>
                  </pic:blipFill>
                  <pic:spPr bwMode="auto">
                    <a:xfrm>
                      <a:off x="0" y="0"/>
                      <a:ext cx="6311900" cy="1835150"/>
                    </a:xfrm>
                    <a:prstGeom prst="rect">
                      <a:avLst/>
                    </a:prstGeom>
                    <a:noFill/>
                  </pic:spPr>
                </pic:pic>
              </a:graphicData>
            </a:graphic>
          </wp:anchor>
        </w:drawing>
      </w:r>
    </w:p>
    <w:p>
      <w:pPr>
        <w:spacing w:after="0" w:line="24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following table summarizes carryforwards of U.S. federal and UK net operating losses (NOL) and U.S.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research tax credits (amounts in thousands):</w:t>
      </w:r>
    </w:p>
    <w:p>
      <w:pPr>
        <w:spacing w:after="0" w:line="53" w:lineRule="exact"/>
        <w:rPr>
          <w:sz w:val="20"/>
          <w:szCs w:val="20"/>
          <w:color w:val="auto"/>
        </w:rPr>
      </w:pPr>
    </w:p>
    <w:tbl>
      <w:tblPr>
        <w:tblLayout w:type="fixed"/>
        <w:tblInd w:w="40" w:type="dxa"/>
        <w:tblCellMar>
          <w:top w:w="0" w:type="dxa"/>
          <w:left w:w="0" w:type="dxa"/>
          <w:bottom w:w="0" w:type="dxa"/>
          <w:right w:w="0" w:type="dxa"/>
        </w:tblCellMar>
      </w:tblPr>
      <w:tr>
        <w:trPr>
          <w:trHeight w:val="243"/>
        </w:trPr>
        <w:tc>
          <w:tcPr>
            <w:tcW w:w="71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380" w:type="dxa"/>
            <w:vAlign w:val="bottom"/>
            <w:tcBorders>
              <w:bottom w:val="single" w:sz="8" w:color="auto"/>
            </w:tcBorders>
            <w:gridSpan w:val="4"/>
          </w:tcPr>
          <w:p>
            <w:pPr>
              <w:jc w:val="right"/>
              <w:ind w:right="723"/>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5"/>
        </w:trPr>
        <w:tc>
          <w:tcPr>
            <w:tcW w:w="71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85"/>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62"/>
        </w:trPr>
        <w:tc>
          <w:tcPr>
            <w:tcW w:w="7160" w:type="dxa"/>
            <w:vAlign w:val="bottom"/>
          </w:tcPr>
          <w:p>
            <w:pPr>
              <w:spacing w:after="0"/>
              <w:rPr>
                <w:sz w:val="20"/>
                <w:szCs w:val="20"/>
                <w:color w:val="auto"/>
              </w:rPr>
            </w:pPr>
            <w:r>
              <w:rPr>
                <w:rFonts w:ascii="Times New Roman" w:cs="Times New Roman" w:eastAsia="Times New Roman" w:hAnsi="Times New Roman"/>
                <w:sz w:val="20"/>
                <w:szCs w:val="20"/>
                <w:color w:val="auto"/>
              </w:rPr>
              <w:t>UK</w:t>
            </w:r>
          </w:p>
        </w:tc>
        <w:tc>
          <w:tcPr>
            <w:tcW w:w="3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557,930</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365,638</w:t>
            </w:r>
          </w:p>
        </w:tc>
      </w:tr>
      <w:tr>
        <w:trPr>
          <w:trHeight w:val="285"/>
        </w:trPr>
        <w:tc>
          <w:tcPr>
            <w:tcW w:w="7160" w:type="dxa"/>
            <w:vAlign w:val="bottom"/>
          </w:tcPr>
          <w:p>
            <w:pPr>
              <w:spacing w:after="0"/>
              <w:rPr>
                <w:sz w:val="20"/>
                <w:szCs w:val="20"/>
                <w:color w:val="auto"/>
              </w:rPr>
            </w:pPr>
            <w:r>
              <w:rPr>
                <w:rFonts w:ascii="Times New Roman" w:cs="Times New Roman" w:eastAsia="Times New Roman" w:hAnsi="Times New Roman"/>
                <w:sz w:val="20"/>
                <w:szCs w:val="20"/>
                <w:color w:val="auto"/>
              </w:rPr>
              <w:t>U.S.</w:t>
            </w:r>
          </w:p>
        </w:tc>
        <w:tc>
          <w:tcPr>
            <w:tcW w:w="3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35,197</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33,423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-365760</wp:posOffset>
            </wp:positionV>
            <wp:extent cx="6311900" cy="3873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47">
                      <a:extLst>
                        <a:ext uri="{28A0092B-C50C-407E-A947-70E740481C1C}"/>
                      </a:extLst>
                    </a:blip>
                    <a:srcRect/>
                    <a:stretch>
                      <a:fillRect/>
                    </a:stretch>
                  </pic:blipFill>
                  <pic:spPr bwMode="auto">
                    <a:xfrm>
                      <a:off x="0" y="0"/>
                      <a:ext cx="6311900" cy="387350"/>
                    </a:xfrm>
                    <a:prstGeom prst="rect">
                      <a:avLst/>
                    </a:prstGeom>
                    <a:noFill/>
                  </pic:spPr>
                </pic:pic>
              </a:graphicData>
            </a:graphic>
          </wp:anchor>
        </w:drawing>
      </w:r>
    </w:p>
    <w:p>
      <w:pPr>
        <w:spacing w:after="0" w:line="271" w:lineRule="exact"/>
        <w:rPr>
          <w:sz w:val="20"/>
          <w:szCs w:val="20"/>
          <w:color w:val="auto"/>
        </w:rPr>
      </w:pPr>
    </w:p>
    <w:p>
      <w:pPr>
        <w:jc w:val="both"/>
        <w:ind w:right="20" w:firstLine="720"/>
        <w:spacing w:after="0" w:line="258" w:lineRule="auto"/>
        <w:rPr>
          <w:sz w:val="20"/>
          <w:szCs w:val="20"/>
          <w:color w:val="auto"/>
        </w:rPr>
      </w:pPr>
      <w:r>
        <w:rPr>
          <w:rFonts w:ascii="Times New Roman" w:cs="Times New Roman" w:eastAsia="Times New Roman" w:hAnsi="Times New Roman"/>
          <w:sz w:val="20"/>
          <w:szCs w:val="20"/>
          <w:color w:val="auto"/>
        </w:rPr>
        <w:t>UK income tax returns from 2023 remain open for examination and UK NOLs do not expire. In the US, income tax returns from 2022 and later remain open for examination and unutilized US NOLs and credit carryforwards are subject to examination until utilized. If not utilized prior to the specified dates, US federal NOLs totaling $3.2 million would expire in 2036, a US tax credit carryforward of $13.6 million would expire starting in 2039, and a $38.8 million of US state NOLs would expire beginning in 2036.</w:t>
      </w:r>
    </w:p>
    <w:p>
      <w:pPr>
        <w:sectPr>
          <w:pgSz w:w="12240" w:h="15840" w:orient="portrait"/>
          <w:cols w:equalWidth="0" w:num="1">
            <w:col w:w="9900"/>
          </w:cols>
          <w:pgMar w:left="1180" w:top="20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151</w:t>
      </w:r>
    </w:p>
    <w:p>
      <w:pPr>
        <w:sectPr>
          <w:pgSz w:w="12240" w:h="15840" w:orient="portrait"/>
          <w:cols w:equalWidth="0" w:num="1">
            <w:col w:w="9900"/>
          </w:cols>
          <w:pgMar w:left="1180" w:top="208" w:right="1160" w:bottom="0" w:gutter="0" w:footer="0" w:header="0"/>
          <w:type w:val="continuous"/>
        </w:sectPr>
      </w:pPr>
    </w:p>
    <w:bookmarkStart w:id="151" w:name="page152"/>
    <w:bookmarkEnd w:id="151"/>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Centessa Pharmaceuticals plc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243" w:lineRule="exact"/>
        <w:rPr>
          <w:sz w:val="20"/>
          <w:szCs w:val="20"/>
          <w:color w:val="auto"/>
        </w:rPr>
      </w:pPr>
    </w:p>
    <w:p>
      <w:pPr>
        <w:jc w:val="both"/>
        <w:ind w:right="20" w:firstLine="720"/>
        <w:spacing w:after="0" w:line="255" w:lineRule="auto"/>
        <w:rPr>
          <w:sz w:val="20"/>
          <w:szCs w:val="20"/>
          <w:color w:val="auto"/>
        </w:rPr>
      </w:pPr>
      <w:r>
        <w:rPr>
          <w:rFonts w:ascii="Times New Roman" w:cs="Times New Roman" w:eastAsia="Times New Roman" w:hAnsi="Times New Roman"/>
          <w:sz w:val="20"/>
          <w:szCs w:val="20"/>
          <w:color w:val="auto"/>
        </w:rPr>
        <w:t>Section 382 of the Internal Revenue Code of 1986, as amended (the “Code”) provides for limitation on the use of net operating loss and research and development tax credit carryforwards following certain ownership changes (as defined in Code) that could limit the Company’s ability to utilize these carryforwards, in relation to its principal operating unit in the U.S. Pursuant to Section 382 of the Code, an ownership change occurs when the stock ownership of a 5% stockholder increases by more than 50% over a three-year testing period. The Company’s U.S. entities may have experienced various ownership changes, as defined by the Code, as a result of past financings and may in the future experience an ownership change. Accordingly, the Company’s ability to utilize the aforementioned carryforwards may be limited.</w:t>
      </w:r>
    </w:p>
    <w:p>
      <w:pPr>
        <w:spacing w:after="0" w:line="210" w:lineRule="exact"/>
        <w:rPr>
          <w:sz w:val="20"/>
          <w:szCs w:val="20"/>
          <w:color w:val="auto"/>
        </w:rPr>
      </w:pPr>
    </w:p>
    <w:p>
      <w:pPr>
        <w:jc w:val="both"/>
        <w:ind w:right="20" w:firstLine="720"/>
        <w:spacing w:after="0" w:line="281" w:lineRule="auto"/>
        <w:rPr>
          <w:sz w:val="20"/>
          <w:szCs w:val="20"/>
          <w:color w:val="auto"/>
        </w:rPr>
      </w:pPr>
      <w:r>
        <w:rPr>
          <w:rFonts w:ascii="Times New Roman" w:cs="Times New Roman" w:eastAsia="Times New Roman" w:hAnsi="Times New Roman"/>
          <w:sz w:val="20"/>
          <w:szCs w:val="20"/>
          <w:color w:val="auto"/>
        </w:rPr>
        <w:t>A reconciliation of gross unrecognized tax benefits, as of December 31, 2025 and 2024 is as follows (amounts in thousands):</w:t>
      </w:r>
    </w:p>
    <w:p>
      <w:pPr>
        <w:spacing w:after="0" w:line="395" w:lineRule="exact"/>
        <w:rPr>
          <w:sz w:val="20"/>
          <w:szCs w:val="20"/>
          <w:color w:val="auto"/>
        </w:rPr>
      </w:pPr>
    </w:p>
    <w:tbl>
      <w:tblPr>
        <w:tblLayout w:type="fixed"/>
        <w:tblInd w:w="40" w:type="dxa"/>
        <w:tblCellMar>
          <w:top w:w="0" w:type="dxa"/>
          <w:left w:w="0" w:type="dxa"/>
          <w:bottom w:w="0" w:type="dxa"/>
          <w:right w:w="0" w:type="dxa"/>
        </w:tblCellMar>
      </w:tblPr>
      <w:tr>
        <w:trPr>
          <w:trHeight w:val="243"/>
        </w:trPr>
        <w:tc>
          <w:tcPr>
            <w:tcW w:w="6980" w:type="dxa"/>
            <w:vAlign w:val="bottom"/>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4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62"/>
        </w:trPr>
        <w:tc>
          <w:tcPr>
            <w:tcW w:w="6980" w:type="dxa"/>
            <w:vAlign w:val="bottom"/>
          </w:tcPr>
          <w:p>
            <w:pPr>
              <w:spacing w:after="0"/>
              <w:rPr>
                <w:sz w:val="20"/>
                <w:szCs w:val="20"/>
                <w:color w:val="auto"/>
              </w:rPr>
            </w:pPr>
            <w:r>
              <w:rPr>
                <w:rFonts w:ascii="Times New Roman" w:cs="Times New Roman" w:eastAsia="Times New Roman" w:hAnsi="Times New Roman"/>
                <w:sz w:val="20"/>
                <w:szCs w:val="20"/>
                <w:color w:val="auto"/>
              </w:rPr>
              <w:t>Gross unrecognized tax benefits at beginning of period</w:t>
            </w:r>
          </w:p>
        </w:tc>
        <w:tc>
          <w:tcPr>
            <w:tcW w:w="960" w:type="dxa"/>
            <w:vAlign w:val="bottom"/>
          </w:tcPr>
          <w:p>
            <w:pPr>
              <w:jc w:val="right"/>
              <w:ind w:right="703"/>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2,614</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2,614</w:t>
            </w:r>
          </w:p>
        </w:tc>
      </w:tr>
      <w:tr>
        <w:trPr>
          <w:trHeight w:val="288"/>
        </w:trPr>
        <w:tc>
          <w:tcPr>
            <w:tcW w:w="6980" w:type="dxa"/>
            <w:vAlign w:val="bottom"/>
          </w:tcPr>
          <w:p>
            <w:pPr>
              <w:spacing w:after="0"/>
              <w:rPr>
                <w:sz w:val="20"/>
                <w:szCs w:val="20"/>
                <w:color w:val="auto"/>
              </w:rPr>
            </w:pPr>
            <w:r>
              <w:rPr>
                <w:rFonts w:ascii="Times New Roman" w:cs="Times New Roman" w:eastAsia="Times New Roman" w:hAnsi="Times New Roman"/>
                <w:sz w:val="20"/>
                <w:szCs w:val="20"/>
                <w:color w:val="auto"/>
              </w:rPr>
              <w:t>Increase related to current year tax positions</w:t>
            </w:r>
          </w:p>
        </w:tc>
        <w:tc>
          <w:tcPr>
            <w:tcW w:w="9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w:t>
            </w:r>
          </w:p>
        </w:tc>
      </w:tr>
      <w:tr>
        <w:trPr>
          <w:trHeight w:val="245"/>
        </w:trPr>
        <w:tc>
          <w:tcPr>
            <w:tcW w:w="6980" w:type="dxa"/>
            <w:vAlign w:val="bottom"/>
          </w:tcPr>
          <w:p>
            <w:pPr>
              <w:spacing w:after="0"/>
              <w:rPr>
                <w:sz w:val="20"/>
                <w:szCs w:val="20"/>
                <w:color w:val="auto"/>
              </w:rPr>
            </w:pPr>
            <w:r>
              <w:rPr>
                <w:rFonts w:ascii="Times New Roman" w:cs="Times New Roman" w:eastAsia="Times New Roman" w:hAnsi="Times New Roman"/>
                <w:sz w:val="20"/>
                <w:szCs w:val="20"/>
                <w:color w:val="auto"/>
              </w:rPr>
              <w:t>Gross unrecognized tax benefits at end of period</w:t>
            </w:r>
          </w:p>
        </w:tc>
        <w:tc>
          <w:tcPr>
            <w:tcW w:w="960" w:type="dxa"/>
            <w:vAlign w:val="bottom"/>
          </w:tcPr>
          <w:p>
            <w:pPr>
              <w:jc w:val="right"/>
              <w:ind w:right="703"/>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2,614</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2,614</w:t>
            </w:r>
          </w:p>
        </w:tc>
      </w:tr>
      <w:tr>
        <w:trPr>
          <w:trHeight w:val="20"/>
        </w:trPr>
        <w:tc>
          <w:tcPr>
            <w:tcW w:w="69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-574040</wp:posOffset>
            </wp:positionV>
            <wp:extent cx="6324600" cy="59372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48">
                      <a:extLst>
                        <a:ext uri="{28A0092B-C50C-407E-A947-70E740481C1C}"/>
                      </a:extLst>
                    </a:blip>
                    <a:srcRect/>
                    <a:stretch>
                      <a:fillRect/>
                    </a:stretch>
                  </pic:blipFill>
                  <pic:spPr bwMode="auto">
                    <a:xfrm>
                      <a:off x="0" y="0"/>
                      <a:ext cx="6324600" cy="593725"/>
                    </a:xfrm>
                    <a:prstGeom prst="rect">
                      <a:avLst/>
                    </a:prstGeom>
                    <a:noFill/>
                  </pic:spPr>
                </pic:pic>
              </a:graphicData>
            </a:graphic>
          </wp:anchor>
        </w:drawing>
      </w:r>
    </w:p>
    <w:p>
      <w:pPr>
        <w:spacing w:after="0" w:line="228" w:lineRule="exact"/>
        <w:rPr>
          <w:sz w:val="20"/>
          <w:szCs w:val="20"/>
          <w:color w:val="auto"/>
        </w:rPr>
      </w:pPr>
    </w:p>
    <w:p>
      <w:pPr>
        <w:jc w:val="both"/>
        <w:ind w:right="20" w:firstLine="720"/>
        <w:spacing w:after="0" w:line="258" w:lineRule="auto"/>
        <w:rPr>
          <w:sz w:val="20"/>
          <w:szCs w:val="20"/>
          <w:color w:val="auto"/>
        </w:rPr>
      </w:pPr>
      <w:r>
        <w:rPr>
          <w:rFonts w:ascii="Times New Roman" w:cs="Times New Roman" w:eastAsia="Times New Roman" w:hAnsi="Times New Roman"/>
          <w:sz w:val="20"/>
          <w:szCs w:val="20"/>
          <w:color w:val="auto"/>
        </w:rPr>
        <w:t>As of December 31, 2025, the Company had a total of $2.6 million of unrecognized tax benefits which, if recognized, would impact the Company’s effective tax rate. The Company does not anticipate a significant change to this balance in the twelve months following December 31, 2025. The Company will recognize interest and penalties related to uncertain tax positions as a component of income tax expense. As of December 31, 2025, there was no accrued interest or penalties related to unrecognized tax benefits.</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11. Segment Information</w:t>
      </w:r>
    </w:p>
    <w:p>
      <w:pPr>
        <w:spacing w:after="0" w:line="137"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Centessa Pharmaceuticals plc is a clinical-stage pharmaceutical company with a mission to discover, develop and ultimately deliver medicines that are transformational for patients. While the Company received non-recurring revenue related to the out-license of Genmab and related antibodies in the year ended December 31, 2025, its ability to generate recurring product revenue and to become profitable will depend upon the ability to successfully develop, obtain regulatory approval and commercialize any current and future product candidates.</w:t>
      </w:r>
    </w:p>
    <w:p>
      <w:pPr>
        <w:spacing w:after="0" w:line="204" w:lineRule="exact"/>
        <w:rPr>
          <w:sz w:val="20"/>
          <w:szCs w:val="20"/>
          <w:color w:val="auto"/>
        </w:rPr>
      </w:pPr>
    </w:p>
    <w:p>
      <w:pPr>
        <w:jc w:val="both"/>
        <w:ind w:right="20" w:firstLine="720"/>
        <w:spacing w:after="0" w:line="254" w:lineRule="auto"/>
        <w:rPr>
          <w:sz w:val="20"/>
          <w:szCs w:val="20"/>
          <w:color w:val="auto"/>
        </w:rPr>
      </w:pPr>
      <w:r>
        <w:rPr>
          <w:rFonts w:ascii="Times New Roman" w:cs="Times New Roman" w:eastAsia="Times New Roman" w:hAnsi="Times New Roman"/>
          <w:sz w:val="20"/>
          <w:szCs w:val="20"/>
          <w:color w:val="auto"/>
        </w:rPr>
        <w:t>The Company manages the business as one segment. Its operating results are regularly reviewed by the Company’s Chief Executive Officer, who is the chief operating decision-maker (“CODM”), based on available financial information prepared on a consolidated basis. The CODM evaluates its performance based primarily on research and development efforts and the results of clinical trials. The CODM also utilizes the Company’s long-range plan as a strategic tool to allocate resources according to the Company’s strategic objectives. The consolidated net loss is used to monitor budget versus actual results in assessing segment performance and the allocation of resources. Assets provided to the CODM are consistent with those reported on the Consolidated Balance Sheets with particular emphasis on the Company’s available liquidity, including its cash, cash equivalents, and investments.</w:t>
      </w:r>
    </w:p>
    <w:p>
      <w:pPr>
        <w:sectPr>
          <w:pgSz w:w="12240" w:h="15840" w:orient="portrait"/>
          <w:cols w:equalWidth="0" w:num="1">
            <w:col w:w="9900"/>
          </w:cols>
          <w:pgMar w:left="1180" w:top="20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152</w:t>
      </w:r>
    </w:p>
    <w:p>
      <w:pPr>
        <w:sectPr>
          <w:pgSz w:w="12240" w:h="15840" w:orient="portrait"/>
          <w:cols w:equalWidth="0" w:num="1">
            <w:col w:w="9900"/>
          </w:cols>
          <w:pgMar w:left="1180" w:top="208" w:right="1160" w:bottom="0" w:gutter="0" w:footer="0" w:header="0"/>
          <w:type w:val="continuous"/>
        </w:sectPr>
      </w:pPr>
    </w:p>
    <w:bookmarkStart w:id="152" w:name="page153"/>
    <w:bookmarkEnd w:id="152"/>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Centessa Pharmaceuticals plc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243" w:lineRule="exact"/>
        <w:rPr>
          <w:sz w:val="20"/>
          <w:szCs w:val="20"/>
          <w:color w:val="auto"/>
        </w:rPr>
      </w:pPr>
    </w:p>
    <w:p>
      <w:pPr>
        <w:jc w:val="both"/>
        <w:ind w:right="20" w:firstLine="720"/>
        <w:spacing w:after="0" w:line="266" w:lineRule="auto"/>
        <w:rPr>
          <w:sz w:val="20"/>
          <w:szCs w:val="20"/>
          <w:color w:val="auto"/>
        </w:rPr>
      </w:pPr>
      <w:r>
        <w:rPr>
          <w:rFonts w:ascii="Times New Roman" w:cs="Times New Roman" w:eastAsia="Times New Roman" w:hAnsi="Times New Roman"/>
          <w:sz w:val="20"/>
          <w:szCs w:val="20"/>
          <w:color w:val="auto"/>
        </w:rPr>
        <w:t>The following table presents reportable segment loss, including significant expenses regularly provided to the CODM, attributable to the Company’s reportable segment for the years ended December 31, 2025 and December 31, 2024 (in thousands):</w:t>
      </w:r>
    </w:p>
    <w:p>
      <w:pPr>
        <w:spacing w:after="0" w:line="145" w:lineRule="exact"/>
        <w:rPr>
          <w:sz w:val="20"/>
          <w:szCs w:val="20"/>
          <w:color w:val="auto"/>
        </w:rPr>
      </w:pPr>
    </w:p>
    <w:tbl>
      <w:tblPr>
        <w:tblLayout w:type="fixed"/>
        <w:tblInd w:w="40" w:type="dxa"/>
        <w:tblCellMar>
          <w:top w:w="0" w:type="dxa"/>
          <w:left w:w="0" w:type="dxa"/>
          <w:bottom w:w="0" w:type="dxa"/>
          <w:right w:w="0" w:type="dxa"/>
        </w:tblCellMar>
      </w:tblPr>
      <w:tr>
        <w:trPr>
          <w:trHeight w:val="267"/>
        </w:trPr>
        <w:tc>
          <w:tcPr>
            <w:tcW w:w="680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2800" w:type="dxa"/>
            <w:vAlign w:val="bottom"/>
            <w:tcBorders>
              <w:bottom w:val="single" w:sz="8" w:color="auto"/>
            </w:tcBorders>
            <w:gridSpan w:val="4"/>
          </w:tcPr>
          <w:p>
            <w:pPr>
              <w:jc w:val="right"/>
              <w:ind w:right="280"/>
              <w:spacing w:after="0"/>
              <w:rPr>
                <w:sz w:val="20"/>
                <w:szCs w:val="20"/>
                <w:color w:val="auto"/>
              </w:rPr>
            </w:pPr>
            <w:r>
              <w:rPr>
                <w:rFonts w:ascii="Times New Roman" w:cs="Times New Roman" w:eastAsia="Times New Roman" w:hAnsi="Times New Roman"/>
                <w:sz w:val="20"/>
                <w:szCs w:val="20"/>
                <w:b w:val="1"/>
                <w:bCs w:val="1"/>
                <w:color w:val="auto"/>
              </w:rPr>
              <w:t>Years Ended December 31,</w:t>
            </w:r>
          </w:p>
        </w:tc>
      </w:tr>
      <w:tr>
        <w:trPr>
          <w:trHeight w:val="265"/>
        </w:trPr>
        <w:tc>
          <w:tcPr>
            <w:tcW w:w="680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20"/>
                <w:szCs w:val="20"/>
                <w:b w:val="1"/>
                <w:bCs w:val="1"/>
                <w:color w:val="auto"/>
              </w:rPr>
              <w:t>2025</w:t>
            </w:r>
          </w:p>
        </w:tc>
        <w:tc>
          <w:tcPr>
            <w:tcW w:w="6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20"/>
                <w:szCs w:val="20"/>
                <w:b w:val="1"/>
                <w:bCs w:val="1"/>
                <w:color w:val="auto"/>
              </w:rPr>
              <w:t>2024</w:t>
            </w:r>
          </w:p>
        </w:tc>
      </w:tr>
      <w:tr>
        <w:trPr>
          <w:trHeight w:val="267"/>
        </w:trPr>
        <w:tc>
          <w:tcPr>
            <w:tcW w:w="6800" w:type="dxa"/>
            <w:vAlign w:val="bottom"/>
          </w:tcPr>
          <w:p>
            <w:pPr>
              <w:spacing w:after="0"/>
              <w:rPr>
                <w:sz w:val="20"/>
                <w:szCs w:val="20"/>
                <w:color w:val="auto"/>
              </w:rPr>
            </w:pPr>
            <w:r>
              <w:rPr>
                <w:rFonts w:ascii="Times New Roman" w:cs="Times New Roman" w:eastAsia="Times New Roman" w:hAnsi="Times New Roman"/>
                <w:sz w:val="20"/>
                <w:szCs w:val="20"/>
                <w:color w:val="auto"/>
              </w:rPr>
              <w:t>Revenue</w:t>
            </w:r>
          </w:p>
        </w:tc>
        <w:tc>
          <w:tcPr>
            <w:tcW w:w="2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15,000</w:t>
            </w:r>
          </w:p>
        </w:tc>
        <w:tc>
          <w:tcPr>
            <w:tcW w:w="400" w:type="dxa"/>
            <w:vAlign w:val="bottom"/>
            <w:gridSpan w:val="2"/>
          </w:tcPr>
          <w:p>
            <w:pPr>
              <w:ind w:left="100"/>
              <w:spacing w:after="0"/>
              <w:rPr>
                <w:sz w:val="20"/>
                <w:szCs w:val="20"/>
                <w:color w:val="auto"/>
              </w:rPr>
            </w:pPr>
            <w:r>
              <w:rPr>
                <w:rFonts w:ascii="Arial" w:cs="Arial" w:eastAsia="Arial" w:hAnsi="Arial"/>
                <w:sz w:val="20"/>
                <w:szCs w:val="20"/>
                <w:b w:val="1"/>
                <w:bCs w:val="1"/>
                <w:color w:val="auto"/>
              </w:rPr>
              <w:t>$</w:t>
            </w:r>
          </w:p>
        </w:tc>
        <w:tc>
          <w:tcPr>
            <w:tcW w:w="1160" w:type="dxa"/>
            <w:vAlign w:val="bottom"/>
          </w:tcPr>
          <w:p>
            <w:pPr>
              <w:jc w:val="right"/>
              <w:spacing w:after="0"/>
              <w:rPr>
                <w:sz w:val="20"/>
                <w:szCs w:val="20"/>
                <w:color w:val="auto"/>
              </w:rPr>
            </w:pPr>
            <w:r>
              <w:rPr>
                <w:rFonts w:ascii="Arial" w:cs="Arial" w:eastAsia="Arial" w:hAnsi="Arial"/>
                <w:sz w:val="20"/>
                <w:szCs w:val="20"/>
                <w:b w:val="1"/>
                <w:bCs w:val="1"/>
                <w:color w:val="auto"/>
              </w:rPr>
              <w:t>—</w:t>
            </w:r>
          </w:p>
        </w:tc>
      </w:tr>
      <w:tr>
        <w:trPr>
          <w:trHeight w:val="280"/>
        </w:trPr>
        <w:tc>
          <w:tcPr>
            <w:tcW w:w="68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Less:</w:t>
            </w: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85"/>
        </w:trPr>
        <w:tc>
          <w:tcPr>
            <w:tcW w:w="68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cleminorexton¹</w:t>
            </w:r>
          </w:p>
        </w:tc>
        <w:tc>
          <w:tcPr>
            <w:tcW w:w="2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(78,479)</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(31,876)</w:t>
            </w:r>
          </w:p>
        </w:tc>
      </w:tr>
      <w:tr>
        <w:trPr>
          <w:trHeight w:val="285"/>
        </w:trPr>
        <w:tc>
          <w:tcPr>
            <w:tcW w:w="68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Other Orexin program expenses¹</w:t>
            </w:r>
          </w:p>
        </w:tc>
        <w:tc>
          <w:tcPr>
            <w:tcW w:w="2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(50,969)</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(9,567)</w:t>
            </w:r>
          </w:p>
        </w:tc>
      </w:tr>
      <w:tr>
        <w:trPr>
          <w:trHeight w:val="285"/>
        </w:trPr>
        <w:tc>
          <w:tcPr>
            <w:tcW w:w="68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LockBody technology platform expenses</w:t>
            </w:r>
          </w:p>
        </w:tc>
        <w:tc>
          <w:tcPr>
            <w:tcW w:w="2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(11,970)</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(10,886)</w:t>
            </w:r>
          </w:p>
        </w:tc>
      </w:tr>
      <w:tr>
        <w:trPr>
          <w:trHeight w:val="285"/>
        </w:trPr>
        <w:tc>
          <w:tcPr>
            <w:tcW w:w="68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Discontinued R&amp;D program expenses</w:t>
            </w:r>
          </w:p>
        </w:tc>
        <w:tc>
          <w:tcPr>
            <w:tcW w:w="2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(3,698)</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(90,261)</w:t>
            </w:r>
          </w:p>
        </w:tc>
      </w:tr>
      <w:tr>
        <w:trPr>
          <w:trHeight w:val="285"/>
        </w:trPr>
        <w:tc>
          <w:tcPr>
            <w:tcW w:w="68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Non-program specific expenses:</w:t>
            </w: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85"/>
        </w:trPr>
        <w:tc>
          <w:tcPr>
            <w:tcW w:w="680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Personnel expenses¹</w:t>
            </w:r>
          </w:p>
        </w:tc>
        <w:tc>
          <w:tcPr>
            <w:tcW w:w="2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(29,932)</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(21,580)</w:t>
            </w:r>
          </w:p>
        </w:tc>
      </w:tr>
      <w:tr>
        <w:trPr>
          <w:trHeight w:val="285"/>
        </w:trPr>
        <w:tc>
          <w:tcPr>
            <w:tcW w:w="680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Research tax incentives</w:t>
            </w:r>
          </w:p>
        </w:tc>
        <w:tc>
          <w:tcPr>
            <w:tcW w:w="2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22,669</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30,942</w:t>
            </w:r>
          </w:p>
        </w:tc>
      </w:tr>
      <w:tr>
        <w:trPr>
          <w:trHeight w:val="285"/>
        </w:trPr>
        <w:tc>
          <w:tcPr>
            <w:tcW w:w="680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Other internal R&amp;D expenses</w:t>
            </w:r>
          </w:p>
        </w:tc>
        <w:tc>
          <w:tcPr>
            <w:tcW w:w="2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(4,260)</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(2,149)</w:t>
            </w:r>
          </w:p>
        </w:tc>
      </w:tr>
      <w:tr>
        <w:trPr>
          <w:trHeight w:val="285"/>
        </w:trPr>
        <w:tc>
          <w:tcPr>
            <w:tcW w:w="68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General and administrative expenses²</w:t>
            </w:r>
          </w:p>
        </w:tc>
        <w:tc>
          <w:tcPr>
            <w:tcW w:w="2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(35,091)</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(32,132)</w:t>
            </w:r>
          </w:p>
        </w:tc>
      </w:tr>
      <w:tr>
        <w:trPr>
          <w:trHeight w:val="285"/>
        </w:trPr>
        <w:tc>
          <w:tcPr>
            <w:tcW w:w="68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Share-based compensation</w:t>
            </w:r>
          </w:p>
        </w:tc>
        <w:tc>
          <w:tcPr>
            <w:tcW w:w="2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(30,962)</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(33,546)</w:t>
            </w:r>
          </w:p>
        </w:tc>
      </w:tr>
      <w:tr>
        <w:trPr>
          <w:trHeight w:val="315"/>
        </w:trPr>
        <w:tc>
          <w:tcPr>
            <w:tcW w:w="68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Interest income</w:t>
            </w:r>
          </w:p>
        </w:tc>
        <w:tc>
          <w:tcPr>
            <w:tcW w:w="2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20,527</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14,016</w:t>
            </w:r>
          </w:p>
        </w:tc>
      </w:tr>
      <w:tr>
        <w:trPr>
          <w:trHeight w:val="315"/>
        </w:trPr>
        <w:tc>
          <w:tcPr>
            <w:tcW w:w="68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Interest expense</w:t>
            </w:r>
          </w:p>
        </w:tc>
        <w:tc>
          <w:tcPr>
            <w:tcW w:w="2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(11,459)</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(10,090)</w:t>
            </w:r>
          </w:p>
        </w:tc>
      </w:tr>
      <w:tr>
        <w:trPr>
          <w:trHeight w:val="315"/>
        </w:trPr>
        <w:tc>
          <w:tcPr>
            <w:tcW w:w="68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Loss on extinguishment of debt</w:t>
            </w:r>
          </w:p>
        </w:tc>
        <w:tc>
          <w:tcPr>
            <w:tcW w:w="2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(34,097)</w:t>
            </w:r>
          </w:p>
        </w:tc>
      </w:tr>
      <w:tr>
        <w:trPr>
          <w:trHeight w:val="340"/>
        </w:trPr>
        <w:tc>
          <w:tcPr>
            <w:tcW w:w="68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Other segment items</w:t>
            </w:r>
            <w:r>
              <w:rPr>
                <w:rFonts w:ascii="Times New Roman" w:cs="Times New Roman" w:eastAsia="Times New Roman" w:hAnsi="Times New Roman"/>
                <w:sz w:val="26"/>
                <w:szCs w:val="26"/>
                <w:color w:val="auto"/>
                <w:vertAlign w:val="superscript"/>
              </w:rPr>
              <w:t>3</w:t>
            </w:r>
          </w:p>
        </w:tc>
        <w:tc>
          <w:tcPr>
            <w:tcW w:w="2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2,911</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(1,687)</w:t>
            </w:r>
          </w:p>
        </w:tc>
      </w:tr>
      <w:tr>
        <w:trPr>
          <w:trHeight w:val="263"/>
        </w:trPr>
        <w:tc>
          <w:tcPr>
            <w:tcW w:w="68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Income tax (expense) benefit</w:t>
            </w:r>
          </w:p>
        </w:tc>
        <w:tc>
          <w:tcPr>
            <w:tcW w:w="2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(1,819)</w:t>
            </w:r>
          </w:p>
        </w:tc>
        <w:tc>
          <w:tcPr>
            <w:tcW w:w="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(2,844)</w:t>
            </w:r>
          </w:p>
        </w:tc>
      </w:tr>
      <w:tr>
        <w:trPr>
          <w:trHeight w:val="265"/>
        </w:trPr>
        <w:tc>
          <w:tcPr>
            <w:tcW w:w="6800" w:type="dxa"/>
            <w:vAlign w:val="bottom"/>
          </w:tcPr>
          <w:p>
            <w:pPr>
              <w:spacing w:after="0"/>
              <w:rPr>
                <w:sz w:val="20"/>
                <w:szCs w:val="20"/>
                <w:color w:val="auto"/>
              </w:rPr>
            </w:pPr>
            <w:r>
              <w:rPr>
                <w:rFonts w:ascii="Times New Roman" w:cs="Times New Roman" w:eastAsia="Times New Roman" w:hAnsi="Times New Roman"/>
                <w:sz w:val="20"/>
                <w:szCs w:val="20"/>
                <w:color w:val="auto"/>
              </w:rPr>
              <w:t>Consolidated net loss</w:t>
            </w:r>
          </w:p>
        </w:tc>
        <w:tc>
          <w:tcPr>
            <w:tcW w:w="2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(197,532)</w:t>
            </w:r>
          </w:p>
        </w:tc>
        <w:tc>
          <w:tcPr>
            <w:tcW w:w="60" w:type="dxa"/>
            <w:vAlign w:val="bottom"/>
          </w:tcPr>
          <w:p>
            <w:pPr>
              <w:spacing w:after="0"/>
              <w:rPr>
                <w:sz w:val="23"/>
                <w:szCs w:val="23"/>
                <w:color w:val="auto"/>
              </w:rPr>
            </w:pPr>
          </w:p>
        </w:tc>
        <w:tc>
          <w:tcPr>
            <w:tcW w:w="3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(235,757)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-3352165</wp:posOffset>
            </wp:positionV>
            <wp:extent cx="6311900" cy="44354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49">
                      <a:extLst>
                        <a:ext uri="{28A0092B-C50C-407E-A947-70E740481C1C}"/>
                      </a:extLst>
                    </a:blip>
                    <a:srcRect/>
                    <a:stretch>
                      <a:fillRect/>
                    </a:stretch>
                  </pic:blipFill>
                  <pic:spPr bwMode="auto">
                    <a:xfrm>
                      <a:off x="0" y="0"/>
                      <a:ext cx="6311900" cy="4435475"/>
                    </a:xfrm>
                    <a:prstGeom prst="rect">
                      <a:avLst/>
                    </a:prstGeom>
                    <a:noFill/>
                  </pic:spPr>
                </pic:pic>
              </a:graphicData>
            </a:graphic>
          </wp:anchor>
        </w:drawing>
      </w:r>
    </w:p>
    <w:p>
      <w:pPr>
        <w:spacing w:after="0" w:line="390" w:lineRule="exact"/>
        <w:rPr>
          <w:sz w:val="20"/>
          <w:szCs w:val="20"/>
          <w:color w:val="auto"/>
        </w:rPr>
      </w:pPr>
    </w:p>
    <w:p>
      <w:pPr>
        <w:ind w:left="40" w:right="3140" w:firstLine="3"/>
        <w:spacing w:after="0" w:line="224" w:lineRule="auto"/>
        <w:tabs>
          <w:tab w:leader="none" w:pos="128"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Beginning December 31, 2025, expenses related to the cleminorexton trial have been identified as significant segment expenses. The expenses for this trial have been recast for periods prior to December 31, 2025. These amounts were previously combined and disclosed under “OX2R program expenses” for the year ended December 31, 2024.</w:t>
      </w:r>
    </w:p>
    <w:p>
      <w:pPr>
        <w:spacing w:after="0" w:line="78" w:lineRule="exact"/>
        <w:rPr>
          <w:sz w:val="20"/>
          <w:szCs w:val="20"/>
          <w:color w:val="auto"/>
        </w:rPr>
      </w:pPr>
    </w:p>
    <w:p>
      <w:pPr>
        <w:ind w:left="140" w:hanging="97"/>
        <w:spacing w:after="0"/>
        <w:tabs>
          <w:tab w:leader="none" w:pos="140"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share-based compensation which is presented separately below</w:t>
      </w:r>
    </w:p>
    <w:p>
      <w:pPr>
        <w:spacing w:after="0" w:line="101" w:lineRule="exact"/>
        <w:rPr>
          <w:rFonts w:ascii="Times New Roman" w:cs="Times New Roman" w:eastAsia="Times New Roman" w:hAnsi="Times New Roman"/>
          <w:sz w:val="16"/>
          <w:szCs w:val="16"/>
          <w:color w:val="auto"/>
        </w:rPr>
      </w:pPr>
    </w:p>
    <w:p>
      <w:pPr>
        <w:ind w:left="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20"/>
          <w:szCs w:val="20"/>
          <w:color w:val="auto"/>
          <w:vertAlign w:val="superscript"/>
        </w:rPr>
        <w:t>3</w:t>
      </w:r>
      <w:r>
        <w:rPr>
          <w:rFonts w:ascii="Times New Roman" w:cs="Times New Roman" w:eastAsia="Times New Roman" w:hAnsi="Times New Roman"/>
          <w:sz w:val="16"/>
          <w:szCs w:val="16"/>
          <w:color w:val="auto"/>
        </w:rPr>
        <w:t xml:space="preserve"> Other segment items includes Other non-operating income (expense), net</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12. Subsequent Events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Transaction Agreement</w:t>
      </w:r>
    </w:p>
    <w:p>
      <w:pPr>
        <w:spacing w:after="0" w:line="134" w:lineRule="exact"/>
        <w:rPr>
          <w:sz w:val="20"/>
          <w:szCs w:val="20"/>
          <w:color w:val="auto"/>
        </w:rPr>
      </w:pPr>
    </w:p>
    <w:p>
      <w:pPr>
        <w:jc w:val="both"/>
        <w:ind w:firstLine="720"/>
        <w:spacing w:after="0" w:line="260" w:lineRule="auto"/>
        <w:rPr>
          <w:sz w:val="20"/>
          <w:szCs w:val="20"/>
          <w:color w:val="auto"/>
        </w:rPr>
      </w:pPr>
      <w:r>
        <w:rPr>
          <w:rFonts w:ascii="Times New Roman" w:cs="Times New Roman" w:eastAsia="Times New Roman" w:hAnsi="Times New Roman"/>
          <w:sz w:val="20"/>
          <w:szCs w:val="20"/>
          <w:color w:val="auto"/>
        </w:rPr>
        <w:t>On March 31, 2026, we entered into a Transaction Agreement with Lilly and Purchaser. Under the terms of the Transaction Agreement, Purchaser (and/or at Parent’s election, its nominee(s)) will acquire the entire issued and to be issued share capital of the Company (the “Acquisition”) by means of the Scheme of Arrangement. Upon the Scheme of Arrangement becoming effective, the Company will become a wholly owned subsidiary of Purchaser.</w:t>
      </w:r>
    </w:p>
    <w:p>
      <w:pPr>
        <w:spacing w:after="0" w:line="83" w:lineRule="exact"/>
        <w:rPr>
          <w:sz w:val="20"/>
          <w:szCs w:val="20"/>
          <w:color w:val="auto"/>
        </w:rPr>
      </w:pPr>
    </w:p>
    <w:p>
      <w:pPr>
        <w:jc w:val="both"/>
        <w:ind w:right="20" w:firstLine="720"/>
        <w:spacing w:after="0" w:line="255" w:lineRule="auto"/>
        <w:rPr>
          <w:sz w:val="20"/>
          <w:szCs w:val="20"/>
          <w:color w:val="auto"/>
        </w:rPr>
      </w:pPr>
      <w:r>
        <w:rPr>
          <w:rFonts w:ascii="Times New Roman" w:cs="Times New Roman" w:eastAsia="Times New Roman" w:hAnsi="Times New Roman"/>
          <w:sz w:val="20"/>
          <w:szCs w:val="20"/>
          <w:color w:val="auto"/>
        </w:rPr>
        <w:t>At the effective time of the Scheme of Arrangement (the “Effective Time”), holders of the Company Shares (including Company Shares represented by our ADSs), will be entitled to receive (i) $38.00 in cash per Company Share, without interest (the “Cash Consideration”), plus (ii) one non-transferable contingent value right entitling the holders to receive contingent cash payments of up to an aggregate of $9.00 per Company Share, contingent upon the achievement of specified milestones set forth in the CVR Agreement. The Acquisition and the Scheme of Arrangement have been recommended by the board of directors of the Company (the “Company Board”) and the boards of directors of Parent and Purchaser.</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Treatment of Company Equity Awards</w:t>
      </w:r>
    </w:p>
    <w:p>
      <w:pPr>
        <w:spacing w:after="0" w:line="134" w:lineRule="exact"/>
        <w:rPr>
          <w:sz w:val="20"/>
          <w:szCs w:val="20"/>
          <w:color w:val="auto"/>
        </w:rPr>
      </w:pPr>
    </w:p>
    <w:p>
      <w:pPr>
        <w:jc w:val="both"/>
        <w:ind w:right="20" w:firstLine="720"/>
        <w:spacing w:after="0" w:line="281" w:lineRule="auto"/>
        <w:rPr>
          <w:sz w:val="20"/>
          <w:szCs w:val="20"/>
          <w:color w:val="auto"/>
        </w:rPr>
      </w:pPr>
      <w:r>
        <w:rPr>
          <w:rFonts w:ascii="Times New Roman" w:cs="Times New Roman" w:eastAsia="Times New Roman" w:hAnsi="Times New Roman"/>
          <w:sz w:val="20"/>
          <w:szCs w:val="20"/>
          <w:color w:val="auto"/>
        </w:rPr>
        <w:t>Pursuant to the Transaction Agreement, at the Effective Time: (i) each outstanding option with an exercise price below the cash consideration (each such option, a “Company Cash-Out Option”), whether vested or unvested, will be</w:t>
      </w:r>
    </w:p>
    <w:p>
      <w:pPr>
        <w:sectPr>
          <w:pgSz w:w="12240" w:h="15840" w:orient="portrait"/>
          <w:cols w:equalWidth="0" w:num="1">
            <w:col w:w="9900"/>
          </w:cols>
          <w:pgMar w:left="1180" w:top="208" w:right="1160" w:bottom="0" w:gutter="0" w:footer="0" w:header="0"/>
        </w:sect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153</w:t>
      </w:r>
    </w:p>
    <w:p>
      <w:pPr>
        <w:sectPr>
          <w:pgSz w:w="12240" w:h="15840" w:orient="portrait"/>
          <w:cols w:equalWidth="0" w:num="1">
            <w:col w:w="9900"/>
          </w:cols>
          <w:pgMar w:left="1180" w:top="208" w:right="1160" w:bottom="0" w:gutter="0" w:footer="0" w:header="0"/>
          <w:type w:val="continuous"/>
        </w:sectPr>
      </w:pPr>
    </w:p>
    <w:bookmarkStart w:id="153" w:name="page154"/>
    <w:bookmarkEnd w:id="153"/>
    <w:p>
      <w:pPr>
        <w:ind w:left="10"/>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3"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b w:val="1"/>
          <w:bCs w:val="1"/>
          <w:color w:val="auto"/>
        </w:rPr>
        <w:t>Centessa Pharmaceuticals plc</w:t>
      </w:r>
    </w:p>
    <w:p>
      <w:pPr>
        <w:spacing w:after="0" w:line="34"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243" w:lineRule="exact"/>
        <w:rPr>
          <w:sz w:val="20"/>
          <w:szCs w:val="20"/>
          <w:color w:val="auto"/>
        </w:rPr>
      </w:pPr>
    </w:p>
    <w:p>
      <w:pPr>
        <w:jc w:val="both"/>
        <w:ind w:left="10"/>
        <w:spacing w:after="0" w:line="254" w:lineRule="auto"/>
        <w:rPr>
          <w:sz w:val="20"/>
          <w:szCs w:val="20"/>
          <w:color w:val="auto"/>
        </w:rPr>
      </w:pPr>
      <w:r>
        <w:rPr>
          <w:rFonts w:ascii="Times New Roman" w:cs="Times New Roman" w:eastAsia="Times New Roman" w:hAnsi="Times New Roman"/>
          <w:sz w:val="20"/>
          <w:szCs w:val="20"/>
          <w:color w:val="auto"/>
        </w:rPr>
        <w:t>canceled and converted into the right to receive (A) a cash payment equal to the excess of the cash consideration over the exercise price, multiplied by the number of shares underlying such Company Cash-Out Option (less applicable withholding), and (B) one CVR per underlying Company Cash-Out Option; (ii) each outstanding option with an exercise price equal to or above the cash consideration (each such option, a “Company Underwater Option”) will fully vest prior to the Effective Time and will be exercisable prior to the Effective Time, with any portion remaining unexercised as of the Effective Time canceled for no consideration; and (iii) each outstanding restricted stock unit otherwise (each such restricted stock unit, a “Company RSU”) will fully vest and, at the Effective Time, will be canceled and converted into the right to receive (A) a cash payment equal to the cash consideration multiplied by the number of shares underlying such Company RSU (less applicable withholding) and (B) one CVR per underlying Company RSU.</w:t>
      </w:r>
    </w:p>
    <w:p>
      <w:pPr>
        <w:spacing w:after="0" w:line="8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Conditions to Completion of the Acquisition</w:t>
      </w:r>
    </w:p>
    <w:p>
      <w:pPr>
        <w:spacing w:after="0" w:line="134" w:lineRule="exact"/>
        <w:rPr>
          <w:sz w:val="20"/>
          <w:szCs w:val="20"/>
          <w:color w:val="auto"/>
        </w:rPr>
      </w:pPr>
    </w:p>
    <w:p>
      <w:pPr>
        <w:jc w:val="both"/>
        <w:ind w:left="10" w:right="20" w:firstLine="720"/>
        <w:spacing w:after="0" w:line="253" w:lineRule="auto"/>
        <w:rPr>
          <w:sz w:val="20"/>
          <w:szCs w:val="20"/>
          <w:color w:val="auto"/>
        </w:rPr>
      </w:pPr>
      <w:r>
        <w:rPr>
          <w:rFonts w:ascii="Times New Roman" w:cs="Times New Roman" w:eastAsia="Times New Roman" w:hAnsi="Times New Roman"/>
          <w:sz w:val="20"/>
          <w:szCs w:val="20"/>
          <w:color w:val="auto"/>
        </w:rPr>
        <w:t>The Acquisition is subject to customary closing conditions, including, among other things: (a) the approval of the Scheme of Arrangement by a majority in number representing not less than three-fourths (75%) in value of the members or class of members (as the case may be) present and voting (either in person or by proxy) at the Scheme Meeting (as defined in the Transaction Agreement) (including any separate class meeting which may be required by the High Court of Justice of England and Wales (the “Court”)) and the passing of the Company Shareholder Resolution (as defined in the Transaction Agreement) by members representing not less than three-fourths (75%) of the total voting rights of eligible members present and voting (either in person or by proxy) at the Company GM (as defined in the Transaction Agreement),</w:t>
      </w:r>
    </w:p>
    <w:p>
      <w:pPr>
        <w:spacing w:after="0" w:line="3" w:lineRule="exact"/>
        <w:rPr>
          <w:sz w:val="20"/>
          <w:szCs w:val="20"/>
          <w:color w:val="auto"/>
        </w:rPr>
      </w:pPr>
    </w:p>
    <w:p>
      <w:pPr>
        <w:jc w:val="both"/>
        <w:ind w:left="10" w:right="20" w:hanging="10"/>
        <w:spacing w:after="0" w:line="251" w:lineRule="auto"/>
        <w:tabs>
          <w:tab w:leader="none" w:pos="301"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sanctioning of the Scheme of Arrangement by the Court, (c) the expiration or termination of the applicable waiting period (and any extension thereof) under the Hart-Scott-Rodino Antitrust Improvements Act of 1976, as amended (the “HSR Act”), (d) the absence of any order, decree or ruling that remains in effect and enjoins, prevents, prohibits, or makes illegal the consummation of the Contemplated Transactions, (e) that each party’s respective representations and warranties, subject to certain customary materiality standards set forth in the Transaction Agreement, shall be true and correct as of the Effective Time, (f) the performance or compliance in all material respects with the other party’s obligations under the Transaction Agreement, and (g) no Company Material Adverse Effect (as defined in the Transaction Agreement) having occurred that is continuing at the Effective Time.</w:t>
      </w:r>
    </w:p>
    <w:p>
      <w:pPr>
        <w:spacing w:after="0" w:line="9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Representations and Warranties; Covenants</w:t>
      </w:r>
    </w:p>
    <w:p>
      <w:pPr>
        <w:spacing w:after="0" w:line="134" w:lineRule="exact"/>
        <w:rPr>
          <w:sz w:val="20"/>
          <w:szCs w:val="20"/>
          <w:color w:val="auto"/>
        </w:rPr>
      </w:pPr>
    </w:p>
    <w:p>
      <w:pPr>
        <w:jc w:val="both"/>
        <w:ind w:left="10" w:firstLine="720"/>
        <w:spacing w:after="0" w:line="253" w:lineRule="auto"/>
        <w:rPr>
          <w:sz w:val="20"/>
          <w:szCs w:val="20"/>
          <w:color w:val="auto"/>
        </w:rPr>
      </w:pPr>
      <w:r>
        <w:rPr>
          <w:rFonts w:ascii="Times New Roman" w:cs="Times New Roman" w:eastAsia="Times New Roman" w:hAnsi="Times New Roman"/>
          <w:sz w:val="20"/>
          <w:szCs w:val="20"/>
          <w:color w:val="auto"/>
        </w:rPr>
        <w:t>The Transaction Agreement includes customary representations, warranties and covenants of the Company, Parent and Purchaser. The Company has agreed, among other things, to use commercially reasonable efforts to operate its business in the ordinary course until the earlier of the Effective Time or the date the Transaction Agreement is terminated, and not to engage in specified types of transactions during such period. The Company has also agreed to customary non-solicitation restrictions, including not to initiate, solicit, knowingly encourage or knowingly facilitate discussions with third parties regarding other proposals for alternative business combination transactions involving the Company or change the recommendation of the Company Board to the Company’s shareholders regarding the Scheme of Arrangement, in each case, except as otherwise permitted by the Transaction Agreement, including to enter into an alternative transaction that constitutes a Superior Proposal (as defined in the Transaction Agreement) in compliance with the Company Board’s fiduciary duties under applicable law and subject to payment of a termination fee. Parent, Purchaser and the Company have agreed to use reasonable best efforts to take actions that may be required in order to obtain antitrust approval of the proposed transaction, subject to certain limitations.</w:t>
      </w:r>
    </w:p>
    <w:p>
      <w:pPr>
        <w:spacing w:after="0" w:line="8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Termination and Termination Fee</w:t>
      </w:r>
    </w:p>
    <w:p>
      <w:pPr>
        <w:spacing w:after="0" w:line="134" w:lineRule="exact"/>
        <w:rPr>
          <w:sz w:val="20"/>
          <w:szCs w:val="20"/>
          <w:color w:val="auto"/>
        </w:rPr>
      </w:pPr>
    </w:p>
    <w:p>
      <w:pPr>
        <w:jc w:val="both"/>
        <w:ind w:left="10" w:firstLine="720"/>
        <w:spacing w:after="0" w:line="253" w:lineRule="auto"/>
        <w:rPr>
          <w:sz w:val="20"/>
          <w:szCs w:val="20"/>
          <w:color w:val="auto"/>
        </w:rPr>
      </w:pPr>
      <w:r>
        <w:rPr>
          <w:rFonts w:ascii="Times New Roman" w:cs="Times New Roman" w:eastAsia="Times New Roman" w:hAnsi="Times New Roman"/>
          <w:sz w:val="20"/>
          <w:szCs w:val="20"/>
          <w:color w:val="auto"/>
        </w:rPr>
        <w:t>The Transaction Agreement also includes customary termination provisions for both the Company and Parent, including, among others, the right of both parties to terminate for failure to consummate the transactions contemplated by the Transaction Agreement and the Scheme of Arrangement (together, the “Contemplated Transactions”) on or before September 30, 2026, which date shall be extended to March 31, 2027 if the closing condition regarding the expiration of the waiting period (and any extension thereof) under the HSR Act remains unsatisfied. If the Transaction Agreement is terminated under certain circumstances specified in the Transaction Agreement, the Company will be required to pay Parent a termination fee of approximately $63 million (including under specified circumstances in connection with the Company’s entry into an agreement with respect to a Superior Proposal or the Company Board’s change of recommendation in favor of the Acquisition). The parties to the Transaction Agreement are also entitled to specifically enforce the terms and provisions of the Transaction Agreement.</w:t>
      </w:r>
    </w:p>
    <w:p>
      <w:pPr>
        <w:spacing w:after="0" w:line="9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Voting and Support Agreements</w:t>
      </w:r>
    </w:p>
    <w:p>
      <w:pPr>
        <w:spacing w:after="0" w:line="134" w:lineRule="exact"/>
        <w:rPr>
          <w:sz w:val="20"/>
          <w:szCs w:val="20"/>
          <w:color w:val="auto"/>
        </w:rPr>
      </w:pPr>
    </w:p>
    <w:p>
      <w:pPr>
        <w:jc w:val="both"/>
        <w:ind w:left="10" w:right="20" w:firstLine="720"/>
        <w:spacing w:after="0" w:line="281" w:lineRule="auto"/>
        <w:rPr>
          <w:sz w:val="20"/>
          <w:szCs w:val="20"/>
          <w:color w:val="auto"/>
        </w:rPr>
      </w:pPr>
      <w:r>
        <w:rPr>
          <w:rFonts w:ascii="Times New Roman" w:cs="Times New Roman" w:eastAsia="Times New Roman" w:hAnsi="Times New Roman"/>
          <w:sz w:val="20"/>
          <w:szCs w:val="20"/>
          <w:color w:val="auto"/>
        </w:rPr>
        <w:t>On March 31, 2026, in connection with the execution and delivery of the Transaction Agreement, entities affiliated with Medicxi Ventures, Index Ventures and affiliates of General Atlantic (collectively, the “Supporting</w:t>
      </w:r>
    </w:p>
    <w:p>
      <w:pPr>
        <w:sectPr>
          <w:pgSz w:w="12240" w:h="15840" w:orient="portrait"/>
          <w:cols w:equalWidth="0" w:num="1">
            <w:col w:w="9910"/>
          </w:cols>
          <w:pgMar w:left="1170" w:top="208" w:right="1160" w:bottom="0" w:gutter="0" w:footer="0" w:header="0"/>
        </w:sectPr>
      </w:pPr>
    </w:p>
    <w:p>
      <w:pPr>
        <w:spacing w:after="0" w:line="200" w:lineRule="exact"/>
        <w:rPr>
          <w:sz w:val="20"/>
          <w:szCs w:val="20"/>
          <w:color w:val="auto"/>
        </w:rPr>
      </w:pPr>
    </w:p>
    <w:p>
      <w:pPr>
        <w:spacing w:after="0" w:line="250"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color w:val="auto"/>
        </w:rPr>
        <w:t>154</w:t>
      </w:r>
    </w:p>
    <w:p>
      <w:pPr>
        <w:sectPr>
          <w:pgSz w:w="12240" w:h="15840" w:orient="portrait"/>
          <w:cols w:equalWidth="0" w:num="1">
            <w:col w:w="9910"/>
          </w:cols>
          <w:pgMar w:left="1170" w:top="208" w:right="1160" w:bottom="0" w:gutter="0" w:footer="0" w:header="0"/>
          <w:type w:val="continuous"/>
        </w:sectPr>
      </w:pPr>
    </w:p>
    <w:bookmarkStart w:id="154" w:name="page155"/>
    <w:bookmarkEnd w:id="154"/>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Centessa Pharmaceuticals plc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243"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Shareholders”), solely in their respective capacities as shareholders of the Company, each entered into a voting and support agreement (collectively, the “Voting Agreements”) with Parent and the Company, pursuant to which each Supporting Shareholder agreed, among other things, (i) to vote (or cause to vote) in favor of the Scheme of Arrangement and the Company Shareholder Resolution, (ii) to vote against other proposals to acquire the Company and (iii) to certain other restrictions on its ability to take actions with respect to the Company and its Company Shares.</w:t>
      </w:r>
    </w:p>
    <w:p>
      <w:pPr>
        <w:spacing w:after="0" w:line="84" w:lineRule="exact"/>
        <w:rPr>
          <w:sz w:val="20"/>
          <w:szCs w:val="20"/>
          <w:color w:val="auto"/>
        </w:rPr>
      </w:pPr>
    </w:p>
    <w:p>
      <w:pPr>
        <w:jc w:val="both"/>
        <w:ind w:firstLine="720"/>
        <w:spacing w:after="0" w:line="266" w:lineRule="auto"/>
        <w:rPr>
          <w:sz w:val="20"/>
          <w:szCs w:val="20"/>
          <w:color w:val="auto"/>
        </w:rPr>
      </w:pPr>
      <w:r>
        <w:rPr>
          <w:rFonts w:ascii="Times New Roman" w:cs="Times New Roman" w:eastAsia="Times New Roman" w:hAnsi="Times New Roman"/>
          <w:sz w:val="20"/>
          <w:szCs w:val="20"/>
          <w:color w:val="auto"/>
        </w:rPr>
        <w:t>The Voting Agreements have been included to provide information regarding their terms. They are not intended to modify or supplement any factual disclosures about the applicable Supporting Shareholder or the Company in any public reports filed with the SEC by the Company.</w:t>
      </w:r>
    </w:p>
    <w:p>
      <w:pPr>
        <w:spacing w:after="0" w:line="75" w:lineRule="exact"/>
        <w:rPr>
          <w:sz w:val="20"/>
          <w:szCs w:val="20"/>
          <w:color w:val="auto"/>
        </w:rPr>
      </w:pPr>
    </w:p>
    <w:p>
      <w:pPr>
        <w:jc w:val="both"/>
        <w:ind w:right="20" w:firstLine="720"/>
        <w:spacing w:after="0" w:line="281" w:lineRule="auto"/>
        <w:rPr>
          <w:sz w:val="20"/>
          <w:szCs w:val="20"/>
          <w:color w:val="auto"/>
        </w:rPr>
      </w:pPr>
      <w:r>
        <w:rPr>
          <w:rFonts w:ascii="Times New Roman" w:cs="Times New Roman" w:eastAsia="Times New Roman" w:hAnsi="Times New Roman"/>
          <w:sz w:val="20"/>
          <w:szCs w:val="20"/>
          <w:color w:val="auto"/>
        </w:rPr>
        <w:t>The foregoing description of the Voting Agreements is qualified in all respects by reference to the full copy of the form of Voting Agreement.</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Contingent Value Rights Agreement</w:t>
      </w:r>
    </w:p>
    <w:p>
      <w:pPr>
        <w:spacing w:after="0" w:line="134"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At or prior to the Effective Time, Parent, Purchaser and Computershare Inc., a Delaware Corporation, and its affiliate, Computershare Trust Company, N.A., a federally chartered trust company, will enter into the CVR Agreement. Pursuant to the Transaction Agreement, each holder of Company Shares (including Company Shares represented by the ADS) and each holder of Company Covered Award (as defined in the CVR Agreement) will be entitled to receive one CVR for each Company Share or Company Covered Award, as applicable, which represents the right to receive contingent cash payments of up to an aggregate of $9.00 per Company Share, without interest and less any applicable tax withholding upon the achievement of specified regulatory milestones for cleminorexton (formerly ORX750) or ORX142 (the “Milestones”). The Milestones include receipt of U.S. regulatory approval for ORX750 or ORX142 for the treatment of idiopathic hypersomnia, any indication and narcolepsy type 2, respectively, in each case prior to the applicable milestone deadline. The CVR will be subject to the terms and conditions set forth in the CVR Agreement. Each CVR represents a contractual right only. The CVRs will not be transferable, except in the limited circumstances specified in the CVR Agreement, will not be evidenced by certificate or other instrument and will not be registered or listed for trading. The CVRs will not have any voting or dividend rights and will not represent any equity or ownership interest in Purchaser or the Company.</w:t>
      </w:r>
    </w:p>
    <w:p>
      <w:pPr>
        <w:spacing w:after="0" w:line="99" w:lineRule="exact"/>
        <w:rPr>
          <w:sz w:val="20"/>
          <w:szCs w:val="20"/>
          <w:color w:val="auto"/>
        </w:rPr>
      </w:pPr>
    </w:p>
    <w:p>
      <w:pPr>
        <w:jc w:val="both"/>
        <w:ind w:right="20" w:firstLine="720"/>
        <w:spacing w:after="0" w:line="281" w:lineRule="auto"/>
        <w:rPr>
          <w:sz w:val="20"/>
          <w:szCs w:val="20"/>
          <w:color w:val="auto"/>
        </w:rPr>
      </w:pPr>
      <w:r>
        <w:rPr>
          <w:rFonts w:ascii="Times New Roman" w:cs="Times New Roman" w:eastAsia="Times New Roman" w:hAnsi="Times New Roman"/>
          <w:sz w:val="20"/>
          <w:szCs w:val="20"/>
          <w:color w:val="auto"/>
        </w:rPr>
        <w:t>Any potential payout of the CVR is subject to various risks and uncertainties related to the development of cleminorexton or ORX142 and U.S. Food and Drug Administration clearances.</w:t>
      </w:r>
    </w:p>
    <w:p>
      <w:pPr>
        <w:spacing w:after="0" w:line="61" w:lineRule="exact"/>
        <w:rPr>
          <w:sz w:val="20"/>
          <w:szCs w:val="20"/>
          <w:color w:val="auto"/>
        </w:rPr>
      </w:pPr>
    </w:p>
    <w:p>
      <w:pPr>
        <w:jc w:val="both"/>
        <w:ind w:right="20" w:firstLine="720"/>
        <w:spacing w:after="0" w:line="281" w:lineRule="auto"/>
        <w:rPr>
          <w:sz w:val="20"/>
          <w:szCs w:val="20"/>
          <w:color w:val="auto"/>
        </w:rPr>
      </w:pPr>
      <w:r>
        <w:rPr>
          <w:rFonts w:ascii="Times New Roman" w:cs="Times New Roman" w:eastAsia="Times New Roman" w:hAnsi="Times New Roman"/>
          <w:sz w:val="20"/>
          <w:szCs w:val="20"/>
          <w:color w:val="auto"/>
        </w:rPr>
        <w:t>There can be no assurance that the Milestones will be achieved prior to their expiration or termination of the CVR Agreement, or that payment will be required of Parent with respect to the Milestones.</w:t>
      </w:r>
    </w:p>
    <w:p>
      <w:pPr>
        <w:spacing w:after="0" w:line="61" w:lineRule="exact"/>
        <w:rPr>
          <w:sz w:val="20"/>
          <w:szCs w:val="20"/>
          <w:color w:val="auto"/>
        </w:rPr>
      </w:pPr>
    </w:p>
    <w:p>
      <w:pPr>
        <w:jc w:val="both"/>
        <w:ind w:right="20" w:firstLine="720"/>
        <w:spacing w:after="0" w:line="281" w:lineRule="auto"/>
        <w:rPr>
          <w:sz w:val="20"/>
          <w:szCs w:val="20"/>
          <w:color w:val="auto"/>
        </w:rPr>
      </w:pPr>
      <w:r>
        <w:rPr>
          <w:rFonts w:ascii="Times New Roman" w:cs="Times New Roman" w:eastAsia="Times New Roman" w:hAnsi="Times New Roman"/>
          <w:sz w:val="20"/>
          <w:szCs w:val="20"/>
          <w:color w:val="auto"/>
        </w:rPr>
        <w:t>The foregoing description of the CVR Agreement does not purport to be complete and is subject to, and is qualified in its entirety by, the full text of the form of the CVR Agreement.</w:t>
      </w:r>
    </w:p>
    <w:p>
      <w:pPr>
        <w:sectPr>
          <w:pgSz w:w="12240" w:h="15840" w:orient="portrait"/>
          <w:cols w:equalWidth="0" w:num="1">
            <w:col w:w="9900"/>
          </w:cols>
          <w:pgMar w:left="1180" w:top="20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155</w:t>
      </w:r>
    </w:p>
    <w:p>
      <w:pPr>
        <w:sectPr>
          <w:pgSz w:w="12240" w:h="15840" w:orient="portrait"/>
          <w:cols w:equalWidth="0" w:num="1">
            <w:col w:w="9900"/>
          </w:cols>
          <w:pgMar w:left="1180" w:top="208" w:right="1160" w:bottom="0" w:gutter="0" w:footer="0" w:header="0"/>
          <w:type w:val="continuous"/>
        </w:sectPr>
      </w:pPr>
    </w:p>
    <w:bookmarkStart w:id="155" w:name="page156"/>
    <w:bookmarkEnd w:id="155"/>
    <w:p>
      <w:pPr>
        <w:ind w:left="10"/>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9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Item 9. Changes in and Disagreements With Accountants on Accounting and Financial Disclosures</w:t>
      </w:r>
    </w:p>
    <w:p>
      <w:pPr>
        <w:spacing w:after="0" w:line="257" w:lineRule="exact"/>
        <w:rPr>
          <w:sz w:val="20"/>
          <w:szCs w:val="20"/>
          <w:color w:val="auto"/>
        </w:rPr>
      </w:pPr>
    </w:p>
    <w:p>
      <w:pPr>
        <w:ind w:left="730"/>
        <w:spacing w:after="0"/>
        <w:rPr>
          <w:sz w:val="20"/>
          <w:szCs w:val="20"/>
          <w:color w:val="auto"/>
        </w:rPr>
      </w:pPr>
      <w:r>
        <w:rPr>
          <w:rFonts w:ascii="Times New Roman" w:cs="Times New Roman" w:eastAsia="Times New Roman" w:hAnsi="Times New Roman"/>
          <w:sz w:val="20"/>
          <w:szCs w:val="20"/>
          <w:color w:val="auto"/>
        </w:rPr>
        <w:t>None</w:t>
      </w:r>
    </w:p>
    <w:p>
      <w:pPr>
        <w:spacing w:after="0" w:line="36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Item 9A. Controls and Procedures</w:t>
      </w:r>
    </w:p>
    <w:p>
      <w:pPr>
        <w:spacing w:after="0" w:line="13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Evaluation of Disclosure Controls and Procedures</w:t>
      </w:r>
    </w:p>
    <w:p>
      <w:pPr>
        <w:spacing w:after="0" w:line="137" w:lineRule="exact"/>
        <w:rPr>
          <w:sz w:val="20"/>
          <w:szCs w:val="20"/>
          <w:color w:val="auto"/>
        </w:rPr>
      </w:pPr>
    </w:p>
    <w:p>
      <w:pPr>
        <w:jc w:val="both"/>
        <w:ind w:left="10" w:firstLine="720"/>
        <w:spacing w:after="0" w:line="253" w:lineRule="auto"/>
        <w:rPr>
          <w:sz w:val="20"/>
          <w:szCs w:val="20"/>
          <w:color w:val="auto"/>
        </w:rPr>
      </w:pPr>
      <w:r>
        <w:rPr>
          <w:rFonts w:ascii="Times New Roman" w:cs="Times New Roman" w:eastAsia="Times New Roman" w:hAnsi="Times New Roman"/>
          <w:sz w:val="20"/>
          <w:szCs w:val="20"/>
          <w:color w:val="auto"/>
        </w:rPr>
        <w:t>Our management, with the participation of our Chief Executive Officer and Chief Financial Officer (our principal executive officer and our principal financial officer, respectively), evaluated the effectiveness of our disclosure controls and procedures as of December 31, 2025. The term “disclosure controls and procedures,” as defined in Rules 13a-15(e) and 15d-15(e) under the Securities Exchange Act of 1934, as amended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and that such information is accumulated and communicated to management, including our Chief Executive Officer and Chief Financial Officer, as appropriate, to allow timely decisions regarding required disclosure. 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208" w:lineRule="exact"/>
        <w:rPr>
          <w:sz w:val="20"/>
          <w:szCs w:val="20"/>
          <w:color w:val="auto"/>
        </w:rPr>
      </w:pPr>
    </w:p>
    <w:p>
      <w:pPr>
        <w:jc w:val="both"/>
        <w:ind w:left="10" w:right="20" w:firstLine="720"/>
        <w:spacing w:after="0" w:line="266" w:lineRule="auto"/>
        <w:rPr>
          <w:sz w:val="20"/>
          <w:szCs w:val="20"/>
          <w:color w:val="auto"/>
        </w:rPr>
      </w:pPr>
      <w:r>
        <w:rPr>
          <w:rFonts w:ascii="Times New Roman" w:cs="Times New Roman" w:eastAsia="Times New Roman" w:hAnsi="Times New Roman"/>
          <w:sz w:val="20"/>
          <w:szCs w:val="20"/>
          <w:color w:val="auto"/>
        </w:rPr>
        <w:t>Based on the evaluation of our disclosure controls and procedures as of December 31, 2025, our Chief Executive Officer and Chief Financial Officer concluded that, as of such date, our disclosure controls and procedures were effective at the reasonable assurance level.</w:t>
      </w:r>
    </w:p>
    <w:p>
      <w:pPr>
        <w:spacing w:after="0" w:line="30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Management’s Annual Report on Internal Control Over Financial Reporting</w:t>
      </w:r>
    </w:p>
    <w:p>
      <w:pPr>
        <w:spacing w:after="0" w:line="137" w:lineRule="exact"/>
        <w:rPr>
          <w:sz w:val="20"/>
          <w:szCs w:val="20"/>
          <w:color w:val="auto"/>
        </w:rPr>
      </w:pPr>
    </w:p>
    <w:p>
      <w:pPr>
        <w:jc w:val="both"/>
        <w:ind w:left="10" w:right="20" w:firstLine="720"/>
        <w:spacing w:after="0" w:line="257" w:lineRule="auto"/>
        <w:rPr>
          <w:sz w:val="20"/>
          <w:szCs w:val="20"/>
          <w:color w:val="auto"/>
        </w:rPr>
      </w:pPr>
      <w:r>
        <w:rPr>
          <w:rFonts w:ascii="Times New Roman" w:cs="Times New Roman" w:eastAsia="Times New Roman" w:hAnsi="Times New Roman"/>
          <w:sz w:val="20"/>
          <w:szCs w:val="20"/>
          <w:color w:val="auto"/>
        </w:rPr>
        <w:t>Our management is responsible for establishing and maintaining adequate internal control over financial reporting for the company in accordance with Rules 13a-15(f) and 15d-15(f) under the Exchange Act. Our internal control over financial reporting is designed to provide reasonable assurance regarding the (i) effectiveness and efficiency of operations,</w:t>
      </w:r>
    </w:p>
    <w:p>
      <w:pPr>
        <w:spacing w:after="0" w:line="1" w:lineRule="exact"/>
        <w:rPr>
          <w:sz w:val="20"/>
          <w:szCs w:val="20"/>
          <w:color w:val="auto"/>
        </w:rPr>
      </w:pPr>
    </w:p>
    <w:p>
      <w:pPr>
        <w:jc w:val="both"/>
        <w:ind w:left="10" w:right="20" w:hanging="10"/>
        <w:spacing w:after="0" w:line="252" w:lineRule="auto"/>
        <w:tabs>
          <w:tab w:leader="none" w:pos="325"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reliability of financial reporting and the preparation of financial statements for external purposes in accordance with generally accepted accounting principles, and (iii) compliance with applicable laws and regulations. Our internal controls framework is based on the criteria set forth in the Internal Control - Integrated Framework that was issued in 2013 by the Committee of Sponsoring Organizations of the Treadway Commission (“COSO”). Under the supervision of our Chief Executive Officer and Chief Financial Officer (our principal executive officer and principal financial officer, respectively), we evaluated the effectiveness of our internal control over financial reporting as of December 31, 2025. Based on that evaluation, management concluded that internal control over financial reporting was effective as of December 31, 2025.</w:t>
      </w:r>
    </w:p>
    <w:p>
      <w:pPr>
        <w:spacing w:after="0" w:line="209" w:lineRule="exact"/>
        <w:rPr>
          <w:sz w:val="20"/>
          <w:szCs w:val="20"/>
          <w:color w:val="auto"/>
        </w:rPr>
      </w:pPr>
    </w:p>
    <w:p>
      <w:pPr>
        <w:jc w:val="both"/>
        <w:ind w:left="10" w:right="20" w:firstLine="720"/>
        <w:spacing w:after="0" w:line="260" w:lineRule="auto"/>
        <w:rPr>
          <w:sz w:val="20"/>
          <w:szCs w:val="20"/>
          <w:color w:val="auto"/>
        </w:rPr>
      </w:pPr>
      <w:r>
        <w:rPr>
          <w:rFonts w:ascii="Times New Roman" w:cs="Times New Roman" w:eastAsia="Times New Roman" w:hAnsi="Times New Roman"/>
          <w:sz w:val="20"/>
          <w:szCs w:val="20"/>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1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Attestation Report of the Registered Public Accounting Firm</w:t>
      </w:r>
    </w:p>
    <w:p>
      <w:pPr>
        <w:spacing w:after="0" w:line="137" w:lineRule="exact"/>
        <w:rPr>
          <w:sz w:val="20"/>
          <w:szCs w:val="20"/>
          <w:color w:val="auto"/>
        </w:rPr>
      </w:pPr>
    </w:p>
    <w:p>
      <w:pPr>
        <w:ind w:left="10" w:right="200" w:firstLine="688"/>
        <w:spacing w:after="0" w:line="266" w:lineRule="auto"/>
        <w:rPr>
          <w:sz w:val="20"/>
          <w:szCs w:val="20"/>
          <w:color w:val="auto"/>
        </w:rPr>
      </w:pPr>
      <w:r>
        <w:rPr>
          <w:rFonts w:ascii="Times New Roman" w:cs="Times New Roman" w:eastAsia="Times New Roman" w:hAnsi="Times New Roman"/>
          <w:sz w:val="20"/>
          <w:szCs w:val="20"/>
          <w:color w:val="auto"/>
        </w:rPr>
        <w:t>This Annual Report on Form 10-K does not include an attestation report of our registered public accounting firm regarding our internal control over financial reporting due to an exemption provided by the JOBS Act for “emerging growth companies.”</w:t>
      </w:r>
    </w:p>
    <w:p>
      <w:pPr>
        <w:spacing w:after="0" w:line="30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Changes in Internal Control over Financial Reporting</w:t>
      </w:r>
    </w:p>
    <w:p>
      <w:pPr>
        <w:spacing w:after="0" w:line="137" w:lineRule="exact"/>
        <w:rPr>
          <w:sz w:val="20"/>
          <w:szCs w:val="20"/>
          <w:color w:val="auto"/>
        </w:rPr>
      </w:pPr>
    </w:p>
    <w:p>
      <w:pPr>
        <w:jc w:val="both"/>
        <w:ind w:left="10" w:firstLine="720"/>
        <w:spacing w:after="0" w:line="258" w:lineRule="auto"/>
        <w:rPr>
          <w:sz w:val="20"/>
          <w:szCs w:val="20"/>
          <w:color w:val="auto"/>
        </w:rPr>
      </w:pPr>
      <w:r>
        <w:rPr>
          <w:rFonts w:ascii="Times New Roman" w:cs="Times New Roman" w:eastAsia="Times New Roman" w:hAnsi="Times New Roman"/>
          <w:sz w:val="20"/>
          <w:szCs w:val="20"/>
          <w:color w:val="auto"/>
        </w:rPr>
        <w:t>We continuously seek to improve the efficiency and effectiveness of our internal controls, which may result in changes to our systems and refinements to our processes. However, there were no changes in our internal control over financial reporting (as defined in Rules 13a-15(f) and 15d-15(f) under the Exchange Act) occurred during the three months ended December 31, 2025 that has materially affected, or is reasonably likely to materially affect, our internal control over financial reporting.</w:t>
      </w:r>
    </w:p>
    <w:p>
      <w:pPr>
        <w:sectPr>
          <w:pgSz w:w="12240" w:h="15840" w:orient="portrait"/>
          <w:cols w:equalWidth="0" w:num="1">
            <w:col w:w="9910"/>
          </w:cols>
          <w:pgMar w:left="1170" w:top="20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color w:val="auto"/>
        </w:rPr>
        <w:t>156</w:t>
      </w:r>
    </w:p>
    <w:p>
      <w:pPr>
        <w:sectPr>
          <w:pgSz w:w="12240" w:h="15840" w:orient="portrait"/>
          <w:cols w:equalWidth="0" w:num="1">
            <w:col w:w="9910"/>
          </w:cols>
          <w:pgMar w:left="1170" w:top="208" w:right="1160" w:bottom="0" w:gutter="0" w:footer="0" w:header="0"/>
          <w:type w:val="continuous"/>
        </w:sectPr>
      </w:pPr>
    </w:p>
    <w:bookmarkStart w:id="156" w:name="page157"/>
    <w:bookmarkEnd w:id="156"/>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9B. Other Information</w:t>
      </w:r>
    </w:p>
    <w:p>
      <w:pPr>
        <w:spacing w:after="0" w:line="137"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Our policy governing transactions in our securities by our directors, officers and employees permits our officers, directors and certain other persons to enter into trading plans complying with Rule 10b5-1 under the Exchange Act. Consistent with such regulation, our policy permits such plans to be entered into only when that person confirms they are not in possession of material non-public information. Our policy also requires a waiting period after a trading plan is created before shares can be traded under the plan. Our open trading windows are established in consultation with legal counsel. A number of our directors, officers and employees have entered into trading plans in accordance with Rule 10b5-1 and our policy governing transactions in our securities.</w:t>
      </w:r>
    </w:p>
    <w:p>
      <w:pPr>
        <w:spacing w:after="0" w:line="90" w:lineRule="exact"/>
        <w:rPr>
          <w:sz w:val="20"/>
          <w:szCs w:val="20"/>
          <w:color w:val="auto"/>
        </w:rPr>
      </w:pPr>
    </w:p>
    <w:p>
      <w:pPr>
        <w:jc w:val="both"/>
        <w:ind w:firstLine="720"/>
        <w:spacing w:after="0" w:line="260" w:lineRule="auto"/>
        <w:rPr>
          <w:sz w:val="20"/>
          <w:szCs w:val="20"/>
          <w:color w:val="auto"/>
        </w:rPr>
      </w:pPr>
      <w:r>
        <w:rPr>
          <w:rFonts w:ascii="Times New Roman" w:cs="Times New Roman" w:eastAsia="Times New Roman" w:hAnsi="Times New Roman"/>
          <w:sz w:val="20"/>
          <w:szCs w:val="20"/>
          <w:color w:val="auto"/>
        </w:rPr>
        <w:t>On November 12, 2025, Gregory Weinhoff, our Chief Business Officer, adopted a trading arrangement for the sale of the Company's ADSs, or a Rule 10b5-1 Trading Plan, that is intended to satisfy the affirmative defense conditions of Securities Exchange Act Rule 10b5-1(c). Dr. Weinhoff's Rule 10b5-1 Trading Plan, which has a plan end date of March 1, 2027, provides for the sale of up to 111,569 ADSs pursuant to the terms of the plan.</w:t>
      </w:r>
    </w:p>
    <w:p>
      <w:pPr>
        <w:spacing w:after="0" w:line="83" w:lineRule="exact"/>
        <w:rPr>
          <w:sz w:val="20"/>
          <w:szCs w:val="20"/>
          <w:color w:val="auto"/>
        </w:rPr>
      </w:pPr>
    </w:p>
    <w:p>
      <w:pPr>
        <w:jc w:val="both"/>
        <w:ind w:firstLine="720"/>
        <w:spacing w:after="0" w:line="260" w:lineRule="auto"/>
        <w:rPr>
          <w:sz w:val="20"/>
          <w:szCs w:val="20"/>
          <w:color w:val="auto"/>
        </w:rPr>
      </w:pPr>
      <w:r>
        <w:rPr>
          <w:rFonts w:ascii="Times New Roman" w:cs="Times New Roman" w:eastAsia="Times New Roman" w:hAnsi="Times New Roman"/>
          <w:sz w:val="20"/>
          <w:szCs w:val="20"/>
          <w:color w:val="auto"/>
        </w:rPr>
        <w:t>On November 12, 2025, Karen Anderson, our Chief People Officer, adopted a trading arrangement for the sale of the Company's ADSs, or a Rule 10b5-1 Trading Plan, that is intended to satisfy the affirmative defense conditions of Securities Exchange Act Rule 10b5-1(c). Ms. Anderson’s Rule 10b5-1 Trading Plan, which has a plan end date of December 31, 2026 provides for the sale of up to 244,319 ADSs pursuant to the terms of the plan.</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9C. Disclosure Regarding Foreign Jurisdictions that Prevent Inspections.</w:t>
      </w:r>
    </w:p>
    <w:p>
      <w:pPr>
        <w:spacing w:after="0" w:line="13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Not applicable.</w:t>
      </w:r>
    </w:p>
    <w:p>
      <w:pPr>
        <w:sectPr>
          <w:pgSz w:w="12240" w:h="15840" w:orient="portrait"/>
          <w:cols w:equalWidth="0" w:num="1">
            <w:col w:w="9880"/>
          </w:cols>
          <w:pgMar w:left="1180" w:top="20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157</w:t>
      </w:r>
    </w:p>
    <w:p>
      <w:pPr>
        <w:sectPr>
          <w:pgSz w:w="12240" w:h="15840" w:orient="portrait"/>
          <w:cols w:equalWidth="0" w:num="1">
            <w:col w:w="9880"/>
          </w:cols>
          <w:pgMar w:left="1180" w:top="208" w:right="1180" w:bottom="0" w:gutter="0" w:footer="0" w:header="0"/>
          <w:type w:val="continuous"/>
        </w:sectPr>
      </w:pPr>
    </w:p>
    <w:bookmarkStart w:id="157" w:name="page158"/>
    <w:bookmarkEnd w:id="157"/>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9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Part III</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10. Directors, Executive Officers and Corporate Governance</w:t>
      </w:r>
    </w:p>
    <w:p>
      <w:pPr>
        <w:spacing w:after="0" w:line="137" w:lineRule="exact"/>
        <w:rPr>
          <w:sz w:val="20"/>
          <w:szCs w:val="20"/>
          <w:color w:val="auto"/>
        </w:rPr>
      </w:pPr>
    </w:p>
    <w:p>
      <w:pPr>
        <w:jc w:val="both"/>
        <w:ind w:firstLine="720"/>
        <w:spacing w:after="0" w:line="266" w:lineRule="auto"/>
        <w:rPr>
          <w:sz w:val="20"/>
          <w:szCs w:val="20"/>
          <w:color w:val="auto"/>
        </w:rPr>
      </w:pPr>
      <w:r>
        <w:rPr>
          <w:rFonts w:ascii="Times New Roman" w:cs="Times New Roman" w:eastAsia="Times New Roman" w:hAnsi="Times New Roman"/>
          <w:sz w:val="20"/>
          <w:szCs w:val="20"/>
          <w:color w:val="auto"/>
        </w:rPr>
        <w:t>The information regarding directors required by this Item 10 will be included in our 2026 Proxy Statement and is incorporated herein by reference. We expect this information to be provided under “Board of Directors and Corporate Governance” and “Executive Officers of the Company.”</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11. Executive Compensation</w:t>
      </w:r>
    </w:p>
    <w:p>
      <w:pPr>
        <w:spacing w:after="0" w:line="137" w:lineRule="exact"/>
        <w:rPr>
          <w:sz w:val="20"/>
          <w:szCs w:val="20"/>
          <w:color w:val="auto"/>
        </w:rPr>
      </w:pPr>
    </w:p>
    <w:p>
      <w:pPr>
        <w:jc w:val="both"/>
        <w:ind w:right="20" w:firstLine="720"/>
        <w:spacing w:after="0" w:line="266" w:lineRule="auto"/>
        <w:rPr>
          <w:sz w:val="20"/>
          <w:szCs w:val="20"/>
          <w:color w:val="auto"/>
        </w:rPr>
      </w:pPr>
      <w:r>
        <w:rPr>
          <w:rFonts w:ascii="Times New Roman" w:cs="Times New Roman" w:eastAsia="Times New Roman" w:hAnsi="Times New Roman"/>
          <w:sz w:val="20"/>
          <w:szCs w:val="20"/>
          <w:color w:val="auto"/>
        </w:rPr>
        <w:t>The information required by this Item 11 will be included in the 2026 Proxy Statement and is incorporated herein by reference. We expect this information to be provided under “Director Compensation,” “Director Compensation Table,” and “Named Executive Officer Compensation.”</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12. Security Ownership of Certain Beneficial Owner and Management and Related Stockholder Matters</w:t>
      </w:r>
    </w:p>
    <w:p>
      <w:pPr>
        <w:spacing w:after="0" w:line="137" w:lineRule="exact"/>
        <w:rPr>
          <w:sz w:val="20"/>
          <w:szCs w:val="20"/>
          <w:color w:val="auto"/>
        </w:rPr>
      </w:pPr>
    </w:p>
    <w:p>
      <w:pPr>
        <w:jc w:val="both"/>
        <w:ind w:right="20" w:firstLine="720"/>
        <w:spacing w:after="0" w:line="266" w:lineRule="auto"/>
        <w:rPr>
          <w:sz w:val="20"/>
          <w:szCs w:val="20"/>
          <w:color w:val="auto"/>
        </w:rPr>
      </w:pPr>
      <w:r>
        <w:rPr>
          <w:rFonts w:ascii="Times New Roman" w:cs="Times New Roman" w:eastAsia="Times New Roman" w:hAnsi="Times New Roman"/>
          <w:sz w:val="20"/>
          <w:szCs w:val="20"/>
          <w:color w:val="auto"/>
        </w:rPr>
        <w:t>The information required by this Item 12 will be included in the 2026 Proxy Statement and is incorporated herein by reference. We expect this information to be provided under “Security Ownership of Certain Beneficial Owners and Management” and “Securities Authorized for Issuance under Equity Compensation Plans.”</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13. Certain Relationships and Related Transactions, and Director Independence</w:t>
      </w:r>
    </w:p>
    <w:p>
      <w:pPr>
        <w:spacing w:after="0" w:line="137" w:lineRule="exact"/>
        <w:rPr>
          <w:sz w:val="20"/>
          <w:szCs w:val="20"/>
          <w:color w:val="auto"/>
        </w:rPr>
      </w:pPr>
    </w:p>
    <w:p>
      <w:pPr>
        <w:jc w:val="both"/>
        <w:ind w:right="20" w:firstLine="720"/>
        <w:spacing w:after="0" w:line="266" w:lineRule="auto"/>
        <w:rPr>
          <w:sz w:val="20"/>
          <w:szCs w:val="20"/>
          <w:color w:val="auto"/>
        </w:rPr>
      </w:pPr>
      <w:r>
        <w:rPr>
          <w:rFonts w:ascii="Times New Roman" w:cs="Times New Roman" w:eastAsia="Times New Roman" w:hAnsi="Times New Roman"/>
          <w:sz w:val="20"/>
          <w:szCs w:val="20"/>
          <w:color w:val="auto"/>
        </w:rPr>
        <w:t>The information required by this Item 13 will be included in the 2026 Proxy Statement and is incorporated herein by reference. We expect this information to be provided under “Certain Relationships and Transactions with Related Persons.”</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14. Principal Accounting Fees and Services</w:t>
      </w:r>
    </w:p>
    <w:p>
      <w:pPr>
        <w:spacing w:after="0" w:line="137" w:lineRule="exact"/>
        <w:rPr>
          <w:sz w:val="20"/>
          <w:szCs w:val="20"/>
          <w:color w:val="auto"/>
        </w:rPr>
      </w:pPr>
    </w:p>
    <w:p>
      <w:pPr>
        <w:jc w:val="both"/>
        <w:ind w:right="20" w:firstLine="720"/>
        <w:spacing w:after="0" w:line="260" w:lineRule="auto"/>
        <w:rPr>
          <w:sz w:val="20"/>
          <w:szCs w:val="20"/>
          <w:color w:val="auto"/>
        </w:rPr>
      </w:pPr>
      <w:r>
        <w:rPr>
          <w:rFonts w:ascii="Times New Roman" w:cs="Times New Roman" w:eastAsia="Times New Roman" w:hAnsi="Times New Roman"/>
          <w:sz w:val="20"/>
          <w:szCs w:val="20"/>
          <w:color w:val="auto"/>
        </w:rPr>
        <w:t>The information required by this Item 14 will be included in the 2026 Proxy Statement and is incorporated herein by reference. We expect this information to be provided under “Ratification of the Re-Appointment of KPMG LLP, a Delaware Limited Liability Partnership, as the Company’s Independent Registered Public Accounting Firm For The Financial Year Ending December 31, 2026.”</w:t>
      </w:r>
    </w:p>
    <w:p>
      <w:pPr>
        <w:sectPr>
          <w:pgSz w:w="12240" w:h="15840" w:orient="portrait"/>
          <w:cols w:equalWidth="0" w:num="1">
            <w:col w:w="9900"/>
          </w:cols>
          <w:pgMar w:left="1180" w:top="20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158</w:t>
      </w:r>
    </w:p>
    <w:p>
      <w:pPr>
        <w:sectPr>
          <w:pgSz w:w="12240" w:h="15840" w:orient="portrait"/>
          <w:cols w:equalWidth="0" w:num="1">
            <w:col w:w="9900"/>
          </w:cols>
          <w:pgMar w:left="1180" w:top="208" w:right="1160" w:bottom="0" w:gutter="0" w:footer="0" w:header="0"/>
          <w:type w:val="continuous"/>
        </w:sectPr>
      </w:pPr>
    </w:p>
    <w:bookmarkStart w:id="158" w:name="page159"/>
    <w:bookmarkEnd w:id="158"/>
    <w:p>
      <w:pPr>
        <w:ind w:left="10"/>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93" w:lineRule="exact"/>
        <w:rPr>
          <w:sz w:val="20"/>
          <w:szCs w:val="20"/>
          <w:color w:val="auto"/>
        </w:rPr>
      </w:pPr>
    </w:p>
    <w:p>
      <w:pPr>
        <w:jc w:val="center"/>
        <w:ind w:right="-269"/>
        <w:spacing w:after="0"/>
        <w:rPr>
          <w:sz w:val="20"/>
          <w:szCs w:val="20"/>
          <w:color w:val="auto"/>
        </w:rPr>
      </w:pPr>
      <w:r>
        <w:rPr>
          <w:rFonts w:ascii="Times New Roman" w:cs="Times New Roman" w:eastAsia="Times New Roman" w:hAnsi="Times New Roman"/>
          <w:sz w:val="20"/>
          <w:szCs w:val="20"/>
          <w:b w:val="1"/>
          <w:bCs w:val="1"/>
          <w:color w:val="auto"/>
        </w:rPr>
        <w:t>Part IV</w:t>
      </w:r>
    </w:p>
    <w:p>
      <w:pPr>
        <w:spacing w:after="0" w:line="37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Item 15. Exhibits and Financial Statement Schedules.</w:t>
      </w:r>
    </w:p>
    <w:p>
      <w:pPr>
        <w:spacing w:after="0" w:line="133" w:lineRule="exact"/>
        <w:rPr>
          <w:sz w:val="20"/>
          <w:szCs w:val="20"/>
          <w:color w:val="auto"/>
        </w:rPr>
      </w:pPr>
    </w:p>
    <w:p>
      <w:pPr>
        <w:ind w:left="450" w:hanging="450"/>
        <w:spacing w:after="0"/>
        <w:tabs>
          <w:tab w:leader="none" w:pos="450" w:val="left"/>
        </w:tabs>
        <w:numPr>
          <w:ilvl w:val="0"/>
          <w:numId w:val="77"/>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Exhibits:</w:t>
      </w:r>
    </w:p>
    <w:p>
      <w:pPr>
        <w:spacing w:after="0" w:line="192" w:lineRule="exact"/>
        <w:rPr>
          <w:sz w:val="20"/>
          <w:szCs w:val="20"/>
          <w:color w:val="auto"/>
        </w:rPr>
      </w:pPr>
    </w:p>
    <w:tbl>
      <w:tblPr>
        <w:tblLayout w:type="fixed"/>
        <w:tblInd w:w="10" w:type="dxa"/>
        <w:tblCellMar>
          <w:top w:w="0" w:type="dxa"/>
          <w:left w:w="0" w:type="dxa"/>
          <w:bottom w:w="0" w:type="dxa"/>
          <w:right w:w="0" w:type="dxa"/>
        </w:tblCellMar>
      </w:tblPr>
      <w:tr>
        <w:trPr>
          <w:trHeight w:val="184"/>
        </w:trPr>
        <w:tc>
          <w:tcPr>
            <w:tcW w:w="1160" w:type="dxa"/>
            <w:vAlign w:val="bottom"/>
            <w:gridSpan w:val="3"/>
          </w:tcPr>
          <w:p>
            <w:pPr>
              <w:ind w:left="24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5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80" w:type="dxa"/>
            <w:vAlign w:val="bottom"/>
            <w:gridSpan w:val="16"/>
            <w:vMerge w:val="restart"/>
          </w:tcPr>
          <w:p>
            <w:pPr>
              <w:ind w:left="300"/>
              <w:spacing w:after="0"/>
              <w:rPr>
                <w:sz w:val="20"/>
                <w:szCs w:val="20"/>
                <w:color w:val="auto"/>
              </w:rPr>
            </w:pPr>
            <w:r>
              <w:rPr>
                <w:rFonts w:ascii="Times New Roman" w:cs="Times New Roman" w:eastAsia="Times New Roman" w:hAnsi="Times New Roman"/>
                <w:sz w:val="16"/>
                <w:szCs w:val="16"/>
                <w:b w:val="1"/>
                <w:bCs w:val="1"/>
                <w:color w:val="auto"/>
              </w:rPr>
              <w:t>Description of exhibit</w:t>
            </w:r>
          </w:p>
        </w:tc>
        <w:tc>
          <w:tcPr>
            <w:tcW w:w="0" w:type="dxa"/>
            <w:vAlign w:val="bottom"/>
          </w:tcPr>
          <w:p>
            <w:pPr>
              <w:spacing w:after="0"/>
              <w:rPr>
                <w:sz w:val="1"/>
                <w:szCs w:val="1"/>
                <w:color w:val="auto"/>
              </w:rPr>
            </w:pPr>
          </w:p>
        </w:tc>
      </w:tr>
      <w:tr>
        <w:trPr>
          <w:trHeight w:val="214"/>
        </w:trPr>
        <w:tc>
          <w:tcPr>
            <w:tcW w:w="1160" w:type="dxa"/>
            <w:vAlign w:val="bottom"/>
            <w:gridSpan w:val="3"/>
          </w:tcPr>
          <w:p>
            <w:pPr>
              <w:ind w:left="22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5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80" w:type="dxa"/>
            <w:vAlign w:val="bottom"/>
            <w:gridSpan w:val="16"/>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33"/>
        </w:trPr>
        <w:tc>
          <w:tcPr>
            <w:tcW w:w="10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2.1^***</w:t>
            </w:r>
          </w:p>
        </w:tc>
        <w:tc>
          <w:tcPr>
            <w:tcW w:w="10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7880" w:type="dxa"/>
            <w:vAlign w:val="bottom"/>
            <w:tcBorders>
              <w:top w:val="single" w:sz="8" w:color="auto"/>
              <w:bottom w:val="single" w:sz="8" w:color="0000FF"/>
            </w:tcBorders>
            <w:gridSpan w:val="14"/>
          </w:tcPr>
          <w:p>
            <w:pPr>
              <w:spacing w:after="0"/>
              <w:rPr>
                <w:sz w:val="20"/>
                <w:szCs w:val="20"/>
                <w:color w:val="auto"/>
              </w:rPr>
            </w:pPr>
            <w:r>
              <w:rPr>
                <w:rFonts w:ascii="Times New Roman" w:cs="Times New Roman" w:eastAsia="Times New Roman" w:hAnsi="Times New Roman"/>
                <w:sz w:val="20"/>
                <w:szCs w:val="20"/>
                <w:color w:val="0000FF"/>
              </w:rPr>
              <w:t>Transaction Agreement, dated as of March 31, 2026 by and between the Parent, Purchaser and the</w:t>
            </w:r>
          </w:p>
        </w:tc>
        <w:tc>
          <w:tcPr>
            <w:tcW w:w="540" w:type="dxa"/>
            <w:vAlign w:val="bottom"/>
            <w:tcBorders>
              <w:top w:val="single" w:sz="8" w:color="auto"/>
            </w:tcBorders>
            <w:gridSpan w:val="7"/>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20" w:type="dxa"/>
            <w:vAlign w:val="bottom"/>
            <w:gridSpan w:val="21"/>
          </w:tcPr>
          <w:p>
            <w:pPr>
              <w:spacing w:after="0" w:line="204" w:lineRule="exact"/>
              <w:rPr>
                <w:sz w:val="20"/>
                <w:szCs w:val="20"/>
                <w:color w:val="auto"/>
              </w:rPr>
            </w:pPr>
            <w:r>
              <w:rPr>
                <w:rFonts w:ascii="Times New Roman" w:cs="Times New Roman" w:eastAsia="Times New Roman" w:hAnsi="Times New Roman"/>
                <w:sz w:val="20"/>
                <w:szCs w:val="20"/>
                <w:color w:val="0000FF"/>
              </w:rPr>
              <w:t>Registrant (incorporated by reference to Exhibit 2.1 to the Registrant’s Current Report on Form 8-K</w:t>
            </w:r>
          </w:p>
        </w:tc>
        <w:tc>
          <w:tcPr>
            <w:tcW w:w="0" w:type="dxa"/>
            <w:vAlign w:val="bottom"/>
          </w:tcPr>
          <w:p>
            <w:pPr>
              <w:spacing w:after="0"/>
              <w:rPr>
                <w:sz w:val="1"/>
                <w:szCs w:val="1"/>
                <w:color w:val="auto"/>
              </w:rPr>
            </w:pPr>
          </w:p>
        </w:tc>
      </w:tr>
      <w:tr>
        <w:trPr>
          <w:trHeight w:val="204"/>
        </w:trPr>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40" w:type="dxa"/>
            <w:vAlign w:val="bottom"/>
            <w:tcBorders>
              <w:top w:val="single" w:sz="8" w:color="0000FF"/>
            </w:tcBorders>
            <w:gridSpan w:val="15"/>
          </w:tcPr>
          <w:p>
            <w:pPr>
              <w:spacing w:after="0" w:line="204" w:lineRule="exact"/>
              <w:rPr>
                <w:sz w:val="20"/>
                <w:szCs w:val="20"/>
                <w:color w:val="auto"/>
              </w:rPr>
            </w:pPr>
            <w:r>
              <w:rPr>
                <w:rFonts w:ascii="Times New Roman" w:cs="Times New Roman" w:eastAsia="Times New Roman" w:hAnsi="Times New Roman"/>
                <w:sz w:val="20"/>
                <w:szCs w:val="20"/>
                <w:color w:val="0000FF"/>
              </w:rPr>
              <w:t>filed on March 31, 2026 (File No. 001-40445)</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94967277"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7"/>
        </w:trPr>
        <w:tc>
          <w:tcPr>
            <w:tcW w:w="10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3.1</w:t>
            </w: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26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20"/>
                <w:szCs w:val="20"/>
                <w:color w:val="0000FF"/>
              </w:rPr>
              <w:t>Articles of Association of the registrant, as currently in effect (incorporated by reference to Exhibit 3.1</w:t>
            </w:r>
          </w:p>
        </w:tc>
        <w:tc>
          <w:tcPr>
            <w:tcW w:w="160" w:type="dxa"/>
            <w:vAlign w:val="bottom"/>
            <w:gridSpan w:val="3"/>
          </w:tcPr>
          <w:p>
            <w:pPr>
              <w:spacing w:after="0"/>
              <w:rPr>
                <w:sz w:val="23"/>
                <w:szCs w:val="23"/>
                <w:color w:val="auto"/>
              </w:rPr>
            </w:pPr>
          </w:p>
        </w:tc>
        <w:tc>
          <w:tcPr>
            <w:tcW w:w="0" w:type="dxa"/>
            <w:vAlign w:val="bottom"/>
          </w:tcPr>
          <w:p>
            <w:pPr>
              <w:spacing w:after="0"/>
              <w:rPr>
                <w:sz w:val="1"/>
                <w:szCs w:val="1"/>
                <w:color w:val="auto"/>
              </w:rPr>
            </w:pPr>
          </w:p>
        </w:tc>
      </w:tr>
      <w:tr>
        <w:trPr>
          <w:trHeight w:val="220"/>
        </w:trPr>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740" w:type="dxa"/>
            <w:vAlign w:val="bottom"/>
            <w:tcBorders>
              <w:bottom w:val="single" w:sz="8" w:color="0000FF"/>
            </w:tcBorders>
            <w:gridSpan w:val="13"/>
          </w:tcPr>
          <w:p>
            <w:pPr>
              <w:spacing w:after="0" w:line="220" w:lineRule="exact"/>
              <w:rPr>
                <w:sz w:val="20"/>
                <w:szCs w:val="20"/>
                <w:color w:val="auto"/>
              </w:rPr>
            </w:pPr>
            <w:r>
              <w:rPr>
                <w:rFonts w:ascii="Times New Roman" w:cs="Times New Roman" w:eastAsia="Times New Roman" w:hAnsi="Times New Roman"/>
                <w:sz w:val="20"/>
                <w:szCs w:val="20"/>
                <w:color w:val="0000FF"/>
              </w:rPr>
              <w:t>to the Registrant’s Current Report on Form 8-K filed on October 6, 2022 (File No. 001-40445)).</w:t>
            </w:r>
          </w:p>
        </w:tc>
        <w:tc>
          <w:tcPr>
            <w:tcW w:w="680" w:type="dxa"/>
            <w:vAlign w:val="bottom"/>
            <w:gridSpan w:val="8"/>
          </w:tcPr>
          <w:p>
            <w:pPr>
              <w:spacing w:after="0"/>
              <w:rPr>
                <w:sz w:val="19"/>
                <w:szCs w:val="19"/>
                <w:color w:val="auto"/>
              </w:rPr>
            </w:pPr>
          </w:p>
        </w:tc>
        <w:tc>
          <w:tcPr>
            <w:tcW w:w="0" w:type="dxa"/>
            <w:vAlign w:val="bottom"/>
          </w:tcPr>
          <w:p>
            <w:pPr>
              <w:spacing w:after="0"/>
              <w:rPr>
                <w:sz w:val="1"/>
                <w:szCs w:val="1"/>
                <w:color w:val="auto"/>
              </w:rPr>
            </w:pPr>
          </w:p>
        </w:tc>
      </w:tr>
      <w:tr>
        <w:trPr>
          <w:trHeight w:val="475"/>
        </w:trPr>
        <w:tc>
          <w:tcPr>
            <w:tcW w:w="10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4.1</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16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20"/>
                <w:szCs w:val="20"/>
                <w:color w:val="0000FF"/>
              </w:rPr>
              <w:t>Form of Deposit Agreement (incorporated by reference to Exhibit 4.1 to the Registrant’s Registration</w:t>
            </w:r>
          </w:p>
        </w:tc>
        <w:tc>
          <w:tcPr>
            <w:tcW w:w="26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20" w:type="dxa"/>
            <w:vAlign w:val="bottom"/>
            <w:gridSpan w:val="21"/>
          </w:tcPr>
          <w:p>
            <w:pPr>
              <w:spacing w:after="0" w:line="220" w:lineRule="exact"/>
              <w:rPr>
                <w:sz w:val="20"/>
                <w:szCs w:val="20"/>
                <w:color w:val="auto"/>
              </w:rPr>
            </w:pPr>
            <w:r>
              <w:rPr>
                <w:rFonts w:ascii="Times New Roman" w:cs="Times New Roman" w:eastAsia="Times New Roman" w:hAnsi="Times New Roman"/>
                <w:sz w:val="20"/>
                <w:szCs w:val="20"/>
                <w:color w:val="0000FF"/>
              </w:rPr>
              <w:t>Statement on Form S-1 (File No. 333-255393)).</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5"/>
        </w:trPr>
        <w:tc>
          <w:tcPr>
            <w:tcW w:w="10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4.2</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14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20"/>
                <w:szCs w:val="20"/>
                <w:color w:val="0000FF"/>
              </w:rPr>
              <w:t>Form of American Depositary Receipt (included in Exhibit 4.1) (incorporated by reference to Exhibit</w:t>
            </w:r>
          </w:p>
        </w:tc>
        <w:tc>
          <w:tcPr>
            <w:tcW w:w="28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20" w:type="dxa"/>
            <w:vAlign w:val="bottom"/>
            <w:gridSpan w:val="21"/>
          </w:tcPr>
          <w:p>
            <w:pPr>
              <w:spacing w:after="0" w:line="220" w:lineRule="exact"/>
              <w:rPr>
                <w:sz w:val="20"/>
                <w:szCs w:val="20"/>
                <w:color w:val="auto"/>
              </w:rPr>
            </w:pPr>
            <w:r>
              <w:rPr>
                <w:rFonts w:ascii="Times New Roman" w:cs="Times New Roman" w:eastAsia="Times New Roman" w:hAnsi="Times New Roman"/>
                <w:sz w:val="20"/>
                <w:szCs w:val="20"/>
                <w:color w:val="0000FF"/>
              </w:rPr>
              <w:t>4.</w:t>
            </w:r>
            <w:r>
              <w:rPr>
                <w:rFonts w:ascii="Times New Roman" w:cs="Times New Roman" w:eastAsia="Times New Roman" w:hAnsi="Times New Roman"/>
                <w:sz w:val="20"/>
                <w:szCs w:val="20"/>
                <w:u w:val="single" w:color="auto"/>
                <w:color w:val="0000FF"/>
              </w:rPr>
              <w:t>2</w:t>
            </w:r>
            <w:r>
              <w:rPr>
                <w:rFonts w:ascii="Times New Roman" w:cs="Times New Roman" w:eastAsia="Times New Roman" w:hAnsi="Times New Roman"/>
                <w:sz w:val="20"/>
                <w:szCs w:val="20"/>
                <w:color w:val="0000FF"/>
              </w:rPr>
              <w:t xml:space="preserve"> to the Registrant’s Registration Statement on Form S-1 (File No. 333-255393)).</w:t>
            </w:r>
          </w:p>
        </w:tc>
        <w:tc>
          <w:tcPr>
            <w:tcW w:w="0" w:type="dxa"/>
            <w:vAlign w:val="bottom"/>
          </w:tcPr>
          <w:p>
            <w:pPr>
              <w:spacing w:after="0"/>
              <w:rPr>
                <w:sz w:val="1"/>
                <w:szCs w:val="1"/>
                <w:color w:val="auto"/>
              </w:rPr>
            </w:pPr>
          </w:p>
        </w:tc>
      </w:tr>
      <w:tr>
        <w:trPr>
          <w:trHeight w:val="475"/>
        </w:trPr>
        <w:tc>
          <w:tcPr>
            <w:tcW w:w="10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4.3*</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20"/>
                <w:szCs w:val="20"/>
                <w:color w:val="0000FF"/>
                <w:w w:val="99"/>
              </w:rPr>
              <w:t>Description of Registrant’s Securities</w:t>
            </w:r>
          </w:p>
        </w:tc>
        <w:tc>
          <w:tcPr>
            <w:tcW w:w="3660" w:type="dxa"/>
            <w:vAlign w:val="bottom"/>
            <w:tcBorders>
              <w:top w:val="single" w:sz="8" w:color="0000FF"/>
            </w:tcBorders>
            <w:gridSpan w:val="8"/>
          </w:tcPr>
          <w:p>
            <w:pPr>
              <w:spacing w:after="0"/>
              <w:rPr>
                <w:sz w:val="24"/>
                <w:szCs w:val="24"/>
                <w:color w:val="auto"/>
              </w:rPr>
            </w:pPr>
          </w:p>
        </w:tc>
        <w:tc>
          <w:tcPr>
            <w:tcW w:w="176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595"/>
        </w:trPr>
        <w:tc>
          <w:tcPr>
            <w:tcW w:w="10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10.1</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2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20"/>
                <w:szCs w:val="20"/>
                <w:color w:val="0000FF"/>
              </w:rPr>
              <w:t>Registration Rights Agreement by and among the registrant and the Investors listed therein, dated</w:t>
            </w:r>
          </w:p>
        </w:tc>
        <w:tc>
          <w:tcPr>
            <w:tcW w:w="0" w:type="dxa"/>
            <w:vAlign w:val="bottom"/>
          </w:tcPr>
          <w:p>
            <w:pPr>
              <w:spacing w:after="0"/>
              <w:rPr>
                <w:sz w:val="1"/>
                <w:szCs w:val="1"/>
                <w:color w:val="auto"/>
              </w:rPr>
            </w:pPr>
          </w:p>
        </w:tc>
      </w:tr>
      <w:tr>
        <w:trPr>
          <w:trHeight w:val="204"/>
        </w:trPr>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20" w:type="dxa"/>
            <w:vAlign w:val="bottom"/>
            <w:tcBorders>
              <w:bottom w:val="single" w:sz="8" w:color="0000FF"/>
            </w:tcBorders>
            <w:gridSpan w:val="21"/>
          </w:tcPr>
          <w:p>
            <w:pPr>
              <w:spacing w:after="0" w:line="204" w:lineRule="exact"/>
              <w:rPr>
                <w:sz w:val="20"/>
                <w:szCs w:val="20"/>
                <w:color w:val="auto"/>
              </w:rPr>
            </w:pPr>
            <w:r>
              <w:rPr>
                <w:rFonts w:ascii="Times New Roman" w:cs="Times New Roman" w:eastAsia="Times New Roman" w:hAnsi="Times New Roman"/>
                <w:sz w:val="20"/>
                <w:szCs w:val="20"/>
                <w:color w:val="0000FF"/>
              </w:rPr>
              <w:t>January 29, 2021 (incorporated by reference to Exhibit 10.1 to the Registrant’s Registration Statement</w:t>
            </w:r>
          </w:p>
        </w:tc>
        <w:tc>
          <w:tcPr>
            <w:tcW w:w="0" w:type="dxa"/>
            <w:vAlign w:val="bottom"/>
          </w:tcPr>
          <w:p>
            <w:pPr>
              <w:spacing w:after="0"/>
              <w:rPr>
                <w:sz w:val="1"/>
                <w:szCs w:val="1"/>
                <w:color w:val="auto"/>
              </w:rPr>
            </w:pPr>
          </w:p>
        </w:tc>
      </w:tr>
      <w:tr>
        <w:trPr>
          <w:trHeight w:val="204"/>
        </w:trPr>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980" w:type="dxa"/>
            <w:vAlign w:val="bottom"/>
            <w:tcBorders>
              <w:bottom w:val="single" w:sz="8" w:color="0000FF"/>
            </w:tcBorders>
            <w:gridSpan w:val="2"/>
          </w:tcPr>
          <w:p>
            <w:pPr>
              <w:spacing w:after="0" w:line="204" w:lineRule="exact"/>
              <w:rPr>
                <w:sz w:val="20"/>
                <w:szCs w:val="20"/>
                <w:color w:val="auto"/>
              </w:rPr>
            </w:pPr>
            <w:r>
              <w:rPr>
                <w:rFonts w:ascii="Times New Roman" w:cs="Times New Roman" w:eastAsia="Times New Roman" w:hAnsi="Times New Roman"/>
                <w:sz w:val="20"/>
                <w:szCs w:val="20"/>
                <w:color w:val="0000FF"/>
                <w:w w:val="99"/>
              </w:rPr>
              <w:t>on Form S-1 (File No. 333-255393)).</w:t>
            </w:r>
          </w:p>
        </w:tc>
        <w:tc>
          <w:tcPr>
            <w:tcW w:w="544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477"/>
        </w:trPr>
        <w:tc>
          <w:tcPr>
            <w:tcW w:w="10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10.2#</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20" w:type="dxa"/>
            <w:vAlign w:val="bottom"/>
            <w:gridSpan w:val="21"/>
          </w:tcPr>
          <w:p>
            <w:pPr>
              <w:spacing w:after="0"/>
              <w:rPr>
                <w:sz w:val="20"/>
                <w:szCs w:val="20"/>
                <w:color w:val="auto"/>
              </w:rPr>
            </w:pPr>
            <w:r>
              <w:rPr>
                <w:rFonts w:ascii="Times New Roman" w:cs="Times New Roman" w:eastAsia="Times New Roman" w:hAnsi="Times New Roman"/>
                <w:sz w:val="20"/>
                <w:szCs w:val="20"/>
                <w:color w:val="0000FF"/>
              </w:rPr>
              <w:t>Senior Executive Cash Incentive Bonus Plan (incorporated by reference to Exhibit 10.2 to the</w:t>
            </w:r>
          </w:p>
        </w:tc>
        <w:tc>
          <w:tcPr>
            <w:tcW w:w="0" w:type="dxa"/>
            <w:vAlign w:val="bottom"/>
          </w:tcPr>
          <w:p>
            <w:pPr>
              <w:spacing w:after="0"/>
              <w:rPr>
                <w:sz w:val="1"/>
                <w:szCs w:val="1"/>
                <w:color w:val="auto"/>
              </w:rPr>
            </w:pPr>
          </w:p>
        </w:tc>
      </w:tr>
      <w:tr>
        <w:trPr>
          <w:trHeight w:val="204"/>
        </w:trPr>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920" w:type="dxa"/>
            <w:vAlign w:val="bottom"/>
            <w:tcBorders>
              <w:top w:val="single" w:sz="8" w:color="0000FF"/>
              <w:bottom w:val="single" w:sz="8" w:color="0000FF"/>
            </w:tcBorders>
            <w:gridSpan w:val="9"/>
          </w:tcPr>
          <w:p>
            <w:pPr>
              <w:spacing w:after="0" w:line="204" w:lineRule="exact"/>
              <w:rPr>
                <w:sz w:val="20"/>
                <w:szCs w:val="20"/>
                <w:color w:val="auto"/>
              </w:rPr>
            </w:pPr>
            <w:r>
              <w:rPr>
                <w:rFonts w:ascii="Times New Roman" w:cs="Times New Roman" w:eastAsia="Times New Roman" w:hAnsi="Times New Roman"/>
                <w:sz w:val="20"/>
                <w:szCs w:val="20"/>
                <w:color w:val="0000FF"/>
              </w:rPr>
              <w:t>Registrant’s Registration Statement on Form S-1 (File No. 333-255393)).</w:t>
            </w:r>
          </w:p>
        </w:tc>
        <w:tc>
          <w:tcPr>
            <w:tcW w:w="2520" w:type="dxa"/>
            <w:vAlign w:val="bottom"/>
            <w:tcBorders>
              <w:top w:val="single" w:sz="8" w:color="0000FF"/>
            </w:tcBorders>
            <w:gridSpan w:val="11"/>
          </w:tcPr>
          <w:p>
            <w:pPr>
              <w:spacing w:after="0"/>
              <w:rPr>
                <w:sz w:val="17"/>
                <w:szCs w:val="17"/>
                <w:color w:val="auto"/>
              </w:rPr>
            </w:pPr>
          </w:p>
        </w:tc>
        <w:tc>
          <w:tcPr>
            <w:tcW w:w="4294967277"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1"/>
        </w:trPr>
        <w:tc>
          <w:tcPr>
            <w:tcW w:w="10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10.3#</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2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20"/>
                <w:szCs w:val="20"/>
                <w:color w:val="0000FF"/>
              </w:rPr>
              <w:t>2021 Employee Share Purchase Plan (incorporated by reference to Exhibit 10.3 to the Registrant’s</w:t>
            </w:r>
          </w:p>
        </w:tc>
        <w:tc>
          <w:tcPr>
            <w:tcW w:w="0" w:type="dxa"/>
            <w:vAlign w:val="bottom"/>
          </w:tcPr>
          <w:p>
            <w:pPr>
              <w:spacing w:after="0"/>
              <w:rPr>
                <w:sz w:val="1"/>
                <w:szCs w:val="1"/>
                <w:color w:val="auto"/>
              </w:rPr>
            </w:pPr>
          </w:p>
        </w:tc>
      </w:tr>
      <w:tr>
        <w:trPr>
          <w:trHeight w:val="204"/>
        </w:trPr>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60" w:type="dxa"/>
            <w:vAlign w:val="bottom"/>
            <w:tcBorders>
              <w:bottom w:val="single" w:sz="8" w:color="0000FF"/>
            </w:tcBorders>
            <w:gridSpan w:val="8"/>
          </w:tcPr>
          <w:p>
            <w:pPr>
              <w:spacing w:after="0" w:line="204" w:lineRule="exact"/>
              <w:rPr>
                <w:sz w:val="20"/>
                <w:szCs w:val="20"/>
                <w:color w:val="auto"/>
              </w:rPr>
            </w:pPr>
            <w:r>
              <w:rPr>
                <w:rFonts w:ascii="Times New Roman" w:cs="Times New Roman" w:eastAsia="Times New Roman" w:hAnsi="Times New Roman"/>
                <w:sz w:val="20"/>
                <w:szCs w:val="20"/>
                <w:color w:val="0000FF"/>
                <w:w w:val="99"/>
              </w:rPr>
              <w:t>Registration Statement on Form S-1 (File No. 333-255393)).</w:t>
            </w:r>
          </w:p>
        </w:tc>
        <w:tc>
          <w:tcPr>
            <w:tcW w:w="356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476"/>
        </w:trPr>
        <w:tc>
          <w:tcPr>
            <w:tcW w:w="10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10.4#</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2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20"/>
                <w:szCs w:val="20"/>
                <w:color w:val="0000FF"/>
              </w:rPr>
              <w:t>2021 Share Option Plan and forms of award agreements thereunder (incorporated by reference to</w:t>
            </w:r>
          </w:p>
        </w:tc>
        <w:tc>
          <w:tcPr>
            <w:tcW w:w="0" w:type="dxa"/>
            <w:vAlign w:val="bottom"/>
          </w:tcPr>
          <w:p>
            <w:pPr>
              <w:spacing w:after="0"/>
              <w:rPr>
                <w:sz w:val="1"/>
                <w:szCs w:val="1"/>
                <w:color w:val="auto"/>
              </w:rPr>
            </w:pPr>
          </w:p>
        </w:tc>
      </w:tr>
      <w:tr>
        <w:trPr>
          <w:trHeight w:val="204"/>
        </w:trPr>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60" w:type="dxa"/>
            <w:vAlign w:val="bottom"/>
            <w:tcBorders>
              <w:bottom w:val="single" w:sz="8" w:color="0000FF"/>
            </w:tcBorders>
            <w:gridSpan w:val="12"/>
          </w:tcPr>
          <w:p>
            <w:pPr>
              <w:spacing w:after="0" w:line="204" w:lineRule="exact"/>
              <w:rPr>
                <w:sz w:val="20"/>
                <w:szCs w:val="20"/>
                <w:color w:val="auto"/>
              </w:rPr>
            </w:pPr>
            <w:r>
              <w:rPr>
                <w:rFonts w:ascii="Times New Roman" w:cs="Times New Roman" w:eastAsia="Times New Roman" w:hAnsi="Times New Roman"/>
                <w:sz w:val="20"/>
                <w:szCs w:val="20"/>
                <w:color w:val="0000FF"/>
              </w:rPr>
              <w:t>Exhibit 10.4 to the Registrant’s Registration Statement on Form S-1 (File No. 333-255393)).</w:t>
            </w:r>
          </w:p>
        </w:tc>
        <w:tc>
          <w:tcPr>
            <w:tcW w:w="96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476"/>
        </w:trPr>
        <w:tc>
          <w:tcPr>
            <w:tcW w:w="10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10.5#</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20" w:type="dxa"/>
            <w:vAlign w:val="bottom"/>
            <w:gridSpan w:val="21"/>
          </w:tcPr>
          <w:p>
            <w:pPr>
              <w:spacing w:after="0"/>
              <w:rPr>
                <w:sz w:val="20"/>
                <w:szCs w:val="20"/>
                <w:color w:val="auto"/>
              </w:rPr>
            </w:pPr>
            <w:r>
              <w:rPr>
                <w:rFonts w:ascii="Times New Roman" w:cs="Times New Roman" w:eastAsia="Times New Roman" w:hAnsi="Times New Roman"/>
                <w:sz w:val="20"/>
                <w:szCs w:val="20"/>
                <w:color w:val="0000FF"/>
              </w:rPr>
              <w:t>Employment Agreement, dated as of March 30, 2022, between the registrant and Saurabh Saha</w:t>
            </w:r>
          </w:p>
        </w:tc>
        <w:tc>
          <w:tcPr>
            <w:tcW w:w="0" w:type="dxa"/>
            <w:vAlign w:val="bottom"/>
          </w:tcPr>
          <w:p>
            <w:pPr>
              <w:spacing w:after="0"/>
              <w:rPr>
                <w:sz w:val="1"/>
                <w:szCs w:val="1"/>
                <w:color w:val="auto"/>
              </w:rPr>
            </w:pPr>
          </w:p>
        </w:tc>
      </w:tr>
      <w:tr>
        <w:trPr>
          <w:trHeight w:val="204"/>
        </w:trPr>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20" w:type="dxa"/>
            <w:vAlign w:val="bottom"/>
            <w:tcBorders>
              <w:top w:val="single" w:sz="8" w:color="0000FF"/>
              <w:bottom w:val="single" w:sz="8" w:color="0000FF"/>
            </w:tcBorders>
            <w:gridSpan w:val="19"/>
          </w:tcPr>
          <w:p>
            <w:pPr>
              <w:spacing w:after="0" w:line="204" w:lineRule="exact"/>
              <w:rPr>
                <w:sz w:val="20"/>
                <w:szCs w:val="20"/>
                <w:color w:val="auto"/>
              </w:rPr>
            </w:pPr>
            <w:r>
              <w:rPr>
                <w:rFonts w:ascii="Times New Roman" w:cs="Times New Roman" w:eastAsia="Times New Roman" w:hAnsi="Times New Roman"/>
                <w:sz w:val="20"/>
                <w:szCs w:val="20"/>
                <w:color w:val="0000FF"/>
              </w:rPr>
              <w:t>(incorporated by reference to Exhibit 10.5 to the Registrant's Annual Report on Form 10-K filed on</w:t>
            </w:r>
          </w:p>
        </w:tc>
        <w:tc>
          <w:tcPr>
            <w:tcW w:w="0" w:type="dxa"/>
            <w:vAlign w:val="bottom"/>
            <w:tcBorders>
              <w:bottom w:val="single" w:sz="8" w:color="0000FF"/>
            </w:tcBorders>
            <w:gridSpan w:val="2"/>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140" w:type="dxa"/>
            <w:vAlign w:val="bottom"/>
            <w:tcBorders>
              <w:bottom w:val="single" w:sz="8" w:color="0000FF"/>
            </w:tcBorders>
            <w:gridSpan w:val="5"/>
          </w:tcPr>
          <w:p>
            <w:pPr>
              <w:spacing w:after="0" w:line="204" w:lineRule="exact"/>
              <w:rPr>
                <w:sz w:val="20"/>
                <w:szCs w:val="20"/>
                <w:color w:val="auto"/>
              </w:rPr>
            </w:pPr>
            <w:r>
              <w:rPr>
                <w:rFonts w:ascii="Times New Roman" w:cs="Times New Roman" w:eastAsia="Times New Roman" w:hAnsi="Times New Roman"/>
                <w:sz w:val="20"/>
                <w:szCs w:val="20"/>
                <w:color w:val="0000FF"/>
                <w:w w:val="99"/>
              </w:rPr>
              <w:t>March 30, 2022 (File No. 001-40445)).</w:t>
            </w:r>
          </w:p>
        </w:tc>
        <w:tc>
          <w:tcPr>
            <w:tcW w:w="528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297"/>
        </w:trPr>
        <w:tc>
          <w:tcPr>
            <w:tcW w:w="10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10.6#</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2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20"/>
                <w:szCs w:val="20"/>
                <w:color w:val="0000FF"/>
              </w:rPr>
              <w:t>Form of Deed of Indemnity between the registrant and each of its directors and executive officers</w:t>
            </w:r>
          </w:p>
        </w:tc>
        <w:tc>
          <w:tcPr>
            <w:tcW w:w="0" w:type="dxa"/>
            <w:vAlign w:val="bottom"/>
          </w:tcPr>
          <w:p>
            <w:pPr>
              <w:spacing w:after="0"/>
              <w:rPr>
                <w:sz w:val="1"/>
                <w:szCs w:val="1"/>
                <w:color w:val="auto"/>
              </w:rPr>
            </w:pPr>
          </w:p>
        </w:tc>
      </w:tr>
      <w:tr>
        <w:trPr>
          <w:trHeight w:val="204"/>
        </w:trPr>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20" w:type="dxa"/>
            <w:vAlign w:val="bottom"/>
            <w:tcBorders>
              <w:bottom w:val="single" w:sz="8" w:color="0000FF"/>
            </w:tcBorders>
            <w:gridSpan w:val="21"/>
          </w:tcPr>
          <w:p>
            <w:pPr>
              <w:spacing w:after="0" w:line="204" w:lineRule="exact"/>
              <w:rPr>
                <w:sz w:val="20"/>
                <w:szCs w:val="20"/>
                <w:color w:val="auto"/>
              </w:rPr>
            </w:pPr>
            <w:r>
              <w:rPr>
                <w:rFonts w:ascii="Times New Roman" w:cs="Times New Roman" w:eastAsia="Times New Roman" w:hAnsi="Times New Roman"/>
                <w:sz w:val="20"/>
                <w:szCs w:val="20"/>
                <w:color w:val="0000FF"/>
              </w:rPr>
              <w:t>(incorporated by reference to Exhibit 10.7 to the Registrant’s Registration Statement on Form S-1 (File</w:t>
            </w:r>
          </w:p>
        </w:tc>
        <w:tc>
          <w:tcPr>
            <w:tcW w:w="0" w:type="dxa"/>
            <w:vAlign w:val="bottom"/>
          </w:tcPr>
          <w:p>
            <w:pPr>
              <w:spacing w:after="0"/>
              <w:rPr>
                <w:sz w:val="1"/>
                <w:szCs w:val="1"/>
                <w:color w:val="auto"/>
              </w:rPr>
            </w:pPr>
          </w:p>
        </w:tc>
      </w:tr>
      <w:tr>
        <w:trPr>
          <w:trHeight w:val="204"/>
        </w:trPr>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40" w:type="dxa"/>
            <w:vAlign w:val="bottom"/>
            <w:tcBorders>
              <w:bottom w:val="single" w:sz="8" w:color="0000FF"/>
            </w:tcBorders>
          </w:tcPr>
          <w:p>
            <w:pPr>
              <w:spacing w:after="0" w:line="204" w:lineRule="exact"/>
              <w:rPr>
                <w:sz w:val="20"/>
                <w:szCs w:val="20"/>
                <w:color w:val="auto"/>
              </w:rPr>
            </w:pPr>
            <w:r>
              <w:rPr>
                <w:rFonts w:ascii="Times New Roman" w:cs="Times New Roman" w:eastAsia="Times New Roman" w:hAnsi="Times New Roman"/>
                <w:sz w:val="20"/>
                <w:szCs w:val="20"/>
                <w:color w:val="0000FF"/>
              </w:rPr>
              <w:t>No. 333-255393)).</w:t>
            </w:r>
          </w:p>
        </w:tc>
        <w:tc>
          <w:tcPr>
            <w:tcW w:w="6880" w:type="dxa"/>
            <w:vAlign w:val="bottom"/>
            <w:gridSpan w:val="20"/>
          </w:tcPr>
          <w:p>
            <w:pPr>
              <w:spacing w:after="0"/>
              <w:rPr>
                <w:sz w:val="17"/>
                <w:szCs w:val="17"/>
                <w:color w:val="auto"/>
              </w:rPr>
            </w:pPr>
          </w:p>
        </w:tc>
        <w:tc>
          <w:tcPr>
            <w:tcW w:w="0" w:type="dxa"/>
            <w:vAlign w:val="bottom"/>
          </w:tcPr>
          <w:p>
            <w:pPr>
              <w:spacing w:after="0"/>
              <w:rPr>
                <w:sz w:val="1"/>
                <w:szCs w:val="1"/>
                <w:color w:val="auto"/>
              </w:rPr>
            </w:pPr>
          </w:p>
        </w:tc>
      </w:tr>
      <w:tr>
        <w:trPr>
          <w:trHeight w:val="537"/>
        </w:trPr>
        <w:tc>
          <w:tcPr>
            <w:tcW w:w="116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10.7†</w:t>
            </w:r>
          </w:p>
        </w:tc>
        <w:tc>
          <w:tcPr>
            <w:tcW w:w="842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20"/>
                <w:szCs w:val="20"/>
                <w:color w:val="0000FF"/>
              </w:rPr>
              <w:t>License  Agreement  dated  December  7,  2016  (as  amended)  between  ApcinteX  and  Cambridge</w:t>
            </w:r>
          </w:p>
        </w:tc>
        <w:tc>
          <w:tcPr>
            <w:tcW w:w="0" w:type="dxa"/>
            <w:vAlign w:val="bottom"/>
          </w:tcPr>
          <w:p>
            <w:pPr>
              <w:spacing w:after="0"/>
              <w:rPr>
                <w:sz w:val="1"/>
                <w:szCs w:val="1"/>
                <w:color w:val="auto"/>
              </w:rPr>
            </w:pPr>
          </w:p>
        </w:tc>
      </w:tr>
      <w:tr>
        <w:trPr>
          <w:trHeight w:val="204"/>
        </w:trPr>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20" w:type="dxa"/>
            <w:vAlign w:val="bottom"/>
            <w:tcBorders>
              <w:bottom w:val="single" w:sz="8" w:color="0000FF"/>
            </w:tcBorders>
            <w:gridSpan w:val="21"/>
          </w:tcPr>
          <w:p>
            <w:pPr>
              <w:spacing w:after="0" w:line="204" w:lineRule="exact"/>
              <w:rPr>
                <w:sz w:val="20"/>
                <w:szCs w:val="20"/>
                <w:color w:val="auto"/>
              </w:rPr>
            </w:pPr>
            <w:r>
              <w:rPr>
                <w:rFonts w:ascii="Times New Roman" w:cs="Times New Roman" w:eastAsia="Times New Roman" w:hAnsi="Times New Roman"/>
                <w:sz w:val="20"/>
                <w:szCs w:val="20"/>
                <w:color w:val="0000FF"/>
              </w:rPr>
              <w:t>Enterprise Limited (incorporated by reference to Exhibit 10.9 to the Registrant’s Registration Statement</w:t>
            </w:r>
          </w:p>
        </w:tc>
        <w:tc>
          <w:tcPr>
            <w:tcW w:w="0" w:type="dxa"/>
            <w:vAlign w:val="bottom"/>
          </w:tcPr>
          <w:p>
            <w:pPr>
              <w:spacing w:after="0"/>
              <w:rPr>
                <w:sz w:val="1"/>
                <w:szCs w:val="1"/>
                <w:color w:val="auto"/>
              </w:rPr>
            </w:pPr>
          </w:p>
        </w:tc>
      </w:tr>
      <w:tr>
        <w:trPr>
          <w:trHeight w:val="204"/>
        </w:trPr>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20" w:type="dxa"/>
            <w:vAlign w:val="bottom"/>
            <w:tcBorders>
              <w:bottom w:val="single" w:sz="8" w:color="0000FF"/>
            </w:tcBorders>
            <w:gridSpan w:val="4"/>
          </w:tcPr>
          <w:p>
            <w:pPr>
              <w:spacing w:after="0" w:line="204" w:lineRule="exact"/>
              <w:rPr>
                <w:sz w:val="20"/>
                <w:szCs w:val="20"/>
                <w:color w:val="auto"/>
              </w:rPr>
            </w:pPr>
            <w:r>
              <w:rPr>
                <w:rFonts w:ascii="Times New Roman" w:cs="Times New Roman" w:eastAsia="Times New Roman" w:hAnsi="Times New Roman"/>
                <w:sz w:val="20"/>
                <w:szCs w:val="20"/>
                <w:color w:val="0000FF"/>
              </w:rPr>
              <w:t>on Form S-1 (File No. 333-255393)).</w:t>
            </w:r>
          </w:p>
        </w:tc>
        <w:tc>
          <w:tcPr>
            <w:tcW w:w="540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537"/>
        </w:trPr>
        <w:tc>
          <w:tcPr>
            <w:tcW w:w="116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10.8†</w:t>
            </w:r>
          </w:p>
        </w:tc>
        <w:tc>
          <w:tcPr>
            <w:tcW w:w="842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20"/>
                <w:szCs w:val="20"/>
                <w:color w:val="0000FF"/>
              </w:rPr>
              <w:t>Contribution agreement, dated January 23, 2021, by and between ApcinteX Limited, United Medicines</w:t>
            </w:r>
          </w:p>
        </w:tc>
        <w:tc>
          <w:tcPr>
            <w:tcW w:w="0" w:type="dxa"/>
            <w:vAlign w:val="bottom"/>
          </w:tcPr>
          <w:p>
            <w:pPr>
              <w:spacing w:after="0"/>
              <w:rPr>
                <w:sz w:val="1"/>
                <w:szCs w:val="1"/>
                <w:color w:val="auto"/>
              </w:rPr>
            </w:pPr>
          </w:p>
        </w:tc>
      </w:tr>
      <w:tr>
        <w:trPr>
          <w:trHeight w:val="204"/>
        </w:trPr>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20" w:type="dxa"/>
            <w:vAlign w:val="bottom"/>
            <w:tcBorders>
              <w:bottom w:val="single" w:sz="8" w:color="0000FF"/>
            </w:tcBorders>
            <w:gridSpan w:val="21"/>
          </w:tcPr>
          <w:p>
            <w:pPr>
              <w:spacing w:after="0" w:line="204" w:lineRule="exact"/>
              <w:rPr>
                <w:sz w:val="20"/>
                <w:szCs w:val="20"/>
                <w:color w:val="auto"/>
              </w:rPr>
            </w:pPr>
            <w:r>
              <w:rPr>
                <w:rFonts w:ascii="Times New Roman" w:cs="Times New Roman" w:eastAsia="Times New Roman" w:hAnsi="Times New Roman"/>
                <w:sz w:val="20"/>
                <w:szCs w:val="20"/>
                <w:color w:val="0000FF"/>
              </w:rPr>
              <w:t>Biopharma Limited and the other parties thereto  (incorporated by reference to Exhibit 10.13 to the</w:t>
            </w:r>
          </w:p>
        </w:tc>
        <w:tc>
          <w:tcPr>
            <w:tcW w:w="0" w:type="dxa"/>
            <w:vAlign w:val="bottom"/>
          </w:tcPr>
          <w:p>
            <w:pPr>
              <w:spacing w:after="0"/>
              <w:rPr>
                <w:sz w:val="1"/>
                <w:szCs w:val="1"/>
                <w:color w:val="auto"/>
              </w:rPr>
            </w:pPr>
          </w:p>
        </w:tc>
      </w:tr>
      <w:tr>
        <w:trPr>
          <w:trHeight w:val="204"/>
        </w:trPr>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920" w:type="dxa"/>
            <w:vAlign w:val="bottom"/>
            <w:tcBorders>
              <w:bottom w:val="single" w:sz="8" w:color="0000FF"/>
            </w:tcBorders>
            <w:gridSpan w:val="9"/>
          </w:tcPr>
          <w:p>
            <w:pPr>
              <w:spacing w:after="0" w:line="204" w:lineRule="exact"/>
              <w:rPr>
                <w:sz w:val="20"/>
                <w:szCs w:val="20"/>
                <w:color w:val="auto"/>
              </w:rPr>
            </w:pPr>
            <w:r>
              <w:rPr>
                <w:rFonts w:ascii="Times New Roman" w:cs="Times New Roman" w:eastAsia="Times New Roman" w:hAnsi="Times New Roman"/>
                <w:sz w:val="20"/>
                <w:szCs w:val="20"/>
                <w:color w:val="0000FF"/>
              </w:rPr>
              <w:t>Registrant’s Registration Statement on Form S-1 (File No. 333-255393)).</w:t>
            </w:r>
          </w:p>
        </w:tc>
        <w:tc>
          <w:tcPr>
            <w:tcW w:w="250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477"/>
        </w:trPr>
        <w:tc>
          <w:tcPr>
            <w:tcW w:w="116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10.9†</w:t>
            </w:r>
          </w:p>
        </w:tc>
        <w:tc>
          <w:tcPr>
            <w:tcW w:w="842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20"/>
                <w:szCs w:val="20"/>
                <w:color w:val="0000FF"/>
              </w:rPr>
              <w:t>Contribution agreement, dated January 23, 2021, by and between LockBody Therapeutics Ltd, United</w:t>
            </w:r>
          </w:p>
        </w:tc>
        <w:tc>
          <w:tcPr>
            <w:tcW w:w="0" w:type="dxa"/>
            <w:vAlign w:val="bottom"/>
          </w:tcPr>
          <w:p>
            <w:pPr>
              <w:spacing w:after="0"/>
              <w:rPr>
                <w:sz w:val="1"/>
                <w:szCs w:val="1"/>
                <w:color w:val="auto"/>
              </w:rPr>
            </w:pPr>
          </w:p>
        </w:tc>
      </w:tr>
      <w:tr>
        <w:trPr>
          <w:trHeight w:val="204"/>
        </w:trPr>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20" w:type="dxa"/>
            <w:vAlign w:val="bottom"/>
            <w:gridSpan w:val="21"/>
          </w:tcPr>
          <w:p>
            <w:pPr>
              <w:spacing w:after="0" w:line="204" w:lineRule="exact"/>
              <w:rPr>
                <w:sz w:val="20"/>
                <w:szCs w:val="20"/>
                <w:color w:val="auto"/>
              </w:rPr>
            </w:pPr>
            <w:r>
              <w:rPr>
                <w:rFonts w:ascii="Times New Roman" w:cs="Times New Roman" w:eastAsia="Times New Roman" w:hAnsi="Times New Roman"/>
                <w:sz w:val="20"/>
                <w:szCs w:val="20"/>
                <w:color w:val="0000FF"/>
              </w:rPr>
              <w:t>Medicines Biopharma Limited and the other parties thereto (incorporated by reference to Exhibit 10.17</w:t>
            </w:r>
          </w:p>
        </w:tc>
        <w:tc>
          <w:tcPr>
            <w:tcW w:w="0" w:type="dxa"/>
            <w:vAlign w:val="bottom"/>
          </w:tcPr>
          <w:p>
            <w:pPr>
              <w:spacing w:after="0"/>
              <w:rPr>
                <w:sz w:val="1"/>
                <w:szCs w:val="1"/>
                <w:color w:val="auto"/>
              </w:rPr>
            </w:pPr>
          </w:p>
        </w:tc>
      </w:tr>
      <w:tr>
        <w:trPr>
          <w:trHeight w:val="204"/>
        </w:trPr>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20" w:type="dxa"/>
            <w:vAlign w:val="bottom"/>
            <w:tcBorders>
              <w:top w:val="single" w:sz="8" w:color="0000FF"/>
            </w:tcBorders>
            <w:gridSpan w:val="19"/>
          </w:tcPr>
          <w:p>
            <w:pPr>
              <w:spacing w:after="0" w:line="204" w:lineRule="exact"/>
              <w:rPr>
                <w:sz w:val="20"/>
                <w:szCs w:val="20"/>
                <w:color w:val="auto"/>
              </w:rPr>
            </w:pPr>
            <w:r>
              <w:rPr>
                <w:rFonts w:ascii="Times New Roman" w:cs="Times New Roman" w:eastAsia="Times New Roman" w:hAnsi="Times New Roman"/>
                <w:sz w:val="20"/>
                <w:szCs w:val="20"/>
                <w:color w:val="0000FF"/>
              </w:rPr>
              <w:t>to the Registrant’s Registration Statement on Form S-1 (File No. 333-255393)).</w:t>
            </w:r>
          </w:p>
        </w:tc>
        <w:tc>
          <w:tcPr>
            <w:tcW w:w="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9630"/>
          </w:cols>
          <w:pgMar w:left="1170" w:top="208"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289"/>
        <w:spacing w:after="0"/>
        <w:rPr>
          <w:sz w:val="20"/>
          <w:szCs w:val="20"/>
          <w:color w:val="auto"/>
        </w:rPr>
      </w:pPr>
      <w:r>
        <w:rPr>
          <w:rFonts w:ascii="Times New Roman" w:cs="Times New Roman" w:eastAsia="Times New Roman" w:hAnsi="Times New Roman"/>
          <w:sz w:val="20"/>
          <w:szCs w:val="20"/>
          <w:color w:val="auto"/>
        </w:rPr>
        <w:t>159</w:t>
      </w:r>
    </w:p>
    <w:p>
      <w:pPr>
        <w:sectPr>
          <w:pgSz w:w="12240" w:h="15840" w:orient="portrait"/>
          <w:cols w:equalWidth="0" w:num="1">
            <w:col w:w="9630"/>
          </w:cols>
          <w:pgMar w:left="1170" w:top="208" w:right="1440" w:bottom="0" w:gutter="0" w:footer="0" w:header="0"/>
          <w:type w:val="continuous"/>
        </w:sectPr>
      </w:pPr>
    </w:p>
    <w:bookmarkStart w:id="159" w:name="page160"/>
    <w:bookmarkEnd w:id="159"/>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5" w:lineRule="exact"/>
        <w:rPr>
          <w:sz w:val="20"/>
          <w:szCs w:val="20"/>
          <w:color w:val="auto"/>
        </w:rPr>
      </w:pPr>
    </w:p>
    <w:p>
      <w:pPr>
        <w:jc w:val="both"/>
        <w:ind w:left="1160" w:right="100" w:hanging="1109"/>
        <w:spacing w:after="0" w:line="238" w:lineRule="auto"/>
        <w:tabs>
          <w:tab w:leader="none" w:pos="1140" w:val="left"/>
        </w:tabs>
        <w:rPr>
          <w:sz w:val="20"/>
          <w:szCs w:val="20"/>
          <w:color w:val="auto"/>
        </w:rPr>
      </w:pPr>
      <w:r>
        <w:rPr>
          <w:rFonts w:ascii="Times New Roman" w:cs="Times New Roman" w:eastAsia="Times New Roman" w:hAnsi="Times New Roman"/>
          <w:sz w:val="20"/>
          <w:szCs w:val="20"/>
          <w:color w:val="auto"/>
        </w:rPr>
        <w:t>10.10†</w:t>
      </w:r>
      <w:r>
        <w:rPr>
          <w:sz w:val="20"/>
          <w:szCs w:val="20"/>
          <w:color w:val="auto"/>
        </w:rPr>
        <w:tab/>
      </w:r>
      <w:r>
        <w:rPr>
          <w:rFonts w:ascii="Times New Roman" w:cs="Times New Roman" w:eastAsia="Times New Roman" w:hAnsi="Times New Roman"/>
          <w:sz w:val="20"/>
          <w:szCs w:val="20"/>
          <w:u w:val="single" w:color="auto"/>
          <w:color w:val="0000FF"/>
        </w:rPr>
        <w:t>Contribution agreement, dated January 23, 2021, by and between Orexia Limited, United Medicines Biopharma Limited and the other parties thereto (incorporated by reference to Exhibit 10.19 to the Registrant’s Registration Statement on Form S-1 (File No. 333-255393)).</w:t>
      </w:r>
    </w:p>
    <w:p>
      <w:pPr>
        <w:spacing w:after="0" w:line="226"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10.11†</w:t>
            </w:r>
          </w:p>
        </w:tc>
        <w:tc>
          <w:tcPr>
            <w:tcW w:w="8420" w:type="dxa"/>
            <w:vAlign w:val="bottom"/>
            <w:tcBorders>
              <w:bottom w:val="single" w:sz="8" w:color="0000FF"/>
            </w:tcBorders>
            <w:gridSpan w:val="24"/>
          </w:tcPr>
          <w:p>
            <w:pPr>
              <w:spacing w:after="0"/>
              <w:rPr>
                <w:sz w:val="20"/>
                <w:szCs w:val="20"/>
                <w:color w:val="auto"/>
              </w:rPr>
            </w:pPr>
            <w:r>
              <w:rPr>
                <w:rFonts w:ascii="Times New Roman" w:cs="Times New Roman" w:eastAsia="Times New Roman" w:hAnsi="Times New Roman"/>
                <w:sz w:val="20"/>
                <w:szCs w:val="20"/>
                <w:color w:val="0000FF"/>
              </w:rPr>
              <w:t>Contribution agreement, dated January 23, 2021, by and between Z Factor Limited, United Medicines</w:t>
            </w:r>
          </w:p>
        </w:tc>
      </w:tr>
      <w:tr>
        <w:trPr>
          <w:trHeight w:val="204"/>
        </w:trPr>
        <w:tc>
          <w:tcPr>
            <w:tcW w:w="1120" w:type="dxa"/>
            <w:vAlign w:val="bottom"/>
          </w:tcPr>
          <w:p>
            <w:pPr>
              <w:spacing w:after="0"/>
              <w:rPr>
                <w:sz w:val="17"/>
                <w:szCs w:val="17"/>
                <w:color w:val="auto"/>
              </w:rPr>
            </w:pPr>
          </w:p>
        </w:tc>
        <w:tc>
          <w:tcPr>
            <w:tcW w:w="8420" w:type="dxa"/>
            <w:vAlign w:val="bottom"/>
            <w:tcBorders>
              <w:bottom w:val="single" w:sz="8" w:color="0000FF"/>
            </w:tcBorders>
            <w:gridSpan w:val="24"/>
          </w:tcPr>
          <w:p>
            <w:pPr>
              <w:spacing w:after="0" w:line="204" w:lineRule="exact"/>
              <w:rPr>
                <w:sz w:val="20"/>
                <w:szCs w:val="20"/>
                <w:color w:val="auto"/>
              </w:rPr>
            </w:pPr>
            <w:r>
              <w:rPr>
                <w:rFonts w:ascii="Times New Roman" w:cs="Times New Roman" w:eastAsia="Times New Roman" w:hAnsi="Times New Roman"/>
                <w:sz w:val="20"/>
                <w:szCs w:val="20"/>
                <w:color w:val="0000FF"/>
              </w:rPr>
              <w:t>Biopharma Limited and the other parties thereto (incorporated by reference to Exhibit 10.20 to the</w:t>
            </w:r>
          </w:p>
        </w:tc>
      </w:tr>
      <w:tr>
        <w:trPr>
          <w:trHeight w:val="204"/>
        </w:trPr>
        <w:tc>
          <w:tcPr>
            <w:tcW w:w="1120" w:type="dxa"/>
            <w:vAlign w:val="bottom"/>
          </w:tcPr>
          <w:p>
            <w:pPr>
              <w:spacing w:after="0"/>
              <w:rPr>
                <w:sz w:val="17"/>
                <w:szCs w:val="17"/>
                <w:color w:val="auto"/>
              </w:rPr>
            </w:pPr>
          </w:p>
        </w:tc>
        <w:tc>
          <w:tcPr>
            <w:tcW w:w="8420" w:type="dxa"/>
            <w:vAlign w:val="bottom"/>
            <w:gridSpan w:val="24"/>
          </w:tcPr>
          <w:p>
            <w:pPr>
              <w:spacing w:after="0" w:line="204" w:lineRule="exact"/>
              <w:rPr>
                <w:sz w:val="20"/>
                <w:szCs w:val="20"/>
                <w:color w:val="auto"/>
              </w:rPr>
            </w:pPr>
            <w:r>
              <w:rPr>
                <w:rFonts w:ascii="Times New Roman" w:cs="Times New Roman" w:eastAsia="Times New Roman" w:hAnsi="Times New Roman"/>
                <w:sz w:val="20"/>
                <w:szCs w:val="20"/>
                <w:color w:val="0000FF"/>
              </w:rPr>
              <w:t>Registrant’s Registration Statement on Form S-1 (File No. 333-255393)).</w:t>
            </w:r>
          </w:p>
        </w:tc>
      </w:tr>
      <w:tr>
        <w:trPr>
          <w:trHeight w:val="20"/>
        </w:trPr>
        <w:tc>
          <w:tcPr>
            <w:tcW w:w="11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7"/>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10.12#</w:t>
            </w:r>
          </w:p>
        </w:tc>
        <w:tc>
          <w:tcPr>
            <w:tcW w:w="8420" w:type="dxa"/>
            <w:vAlign w:val="bottom"/>
            <w:tcBorders>
              <w:bottom w:val="single" w:sz="8" w:color="0000FF"/>
            </w:tcBorders>
            <w:gridSpan w:val="24"/>
          </w:tcPr>
          <w:p>
            <w:pPr>
              <w:spacing w:after="0"/>
              <w:rPr>
                <w:sz w:val="20"/>
                <w:szCs w:val="20"/>
                <w:color w:val="auto"/>
              </w:rPr>
            </w:pPr>
            <w:r>
              <w:rPr>
                <w:rFonts w:ascii="Times New Roman" w:cs="Times New Roman" w:eastAsia="Times New Roman" w:hAnsi="Times New Roman"/>
                <w:sz w:val="20"/>
                <w:szCs w:val="20"/>
                <w:color w:val="0000FF"/>
              </w:rPr>
              <w:t>Employment Agreement, dated as of June 5, 2024, between the registrant and John Crowley</w:t>
            </w:r>
          </w:p>
        </w:tc>
      </w:tr>
      <w:tr>
        <w:trPr>
          <w:trHeight w:val="204"/>
        </w:trPr>
        <w:tc>
          <w:tcPr>
            <w:tcW w:w="1120" w:type="dxa"/>
            <w:vAlign w:val="bottom"/>
          </w:tcPr>
          <w:p>
            <w:pPr>
              <w:spacing w:after="0"/>
              <w:rPr>
                <w:sz w:val="17"/>
                <w:szCs w:val="17"/>
                <w:color w:val="auto"/>
              </w:rPr>
            </w:pPr>
          </w:p>
        </w:tc>
        <w:tc>
          <w:tcPr>
            <w:tcW w:w="8420" w:type="dxa"/>
            <w:vAlign w:val="bottom"/>
            <w:tcBorders>
              <w:bottom w:val="single" w:sz="8" w:color="0000FF"/>
            </w:tcBorders>
            <w:gridSpan w:val="24"/>
          </w:tcPr>
          <w:p>
            <w:pPr>
              <w:spacing w:after="0" w:line="204" w:lineRule="exact"/>
              <w:rPr>
                <w:sz w:val="20"/>
                <w:szCs w:val="20"/>
                <w:color w:val="auto"/>
              </w:rPr>
            </w:pPr>
            <w:r>
              <w:rPr>
                <w:rFonts w:ascii="Times New Roman" w:cs="Times New Roman" w:eastAsia="Times New Roman" w:hAnsi="Times New Roman"/>
                <w:sz w:val="20"/>
                <w:szCs w:val="20"/>
                <w:color w:val="0000FF"/>
              </w:rPr>
              <w:t>(incorporated by reference to Exhibit 10.1 to the Registrant's Quarterly Report on Form 10-Q filed on</w:t>
            </w:r>
          </w:p>
        </w:tc>
      </w:tr>
      <w:tr>
        <w:trPr>
          <w:trHeight w:val="204"/>
        </w:trPr>
        <w:tc>
          <w:tcPr>
            <w:tcW w:w="1120" w:type="dxa"/>
            <w:vAlign w:val="bottom"/>
          </w:tcPr>
          <w:p>
            <w:pPr>
              <w:spacing w:after="0"/>
              <w:rPr>
                <w:sz w:val="17"/>
                <w:szCs w:val="17"/>
                <w:color w:val="auto"/>
              </w:rPr>
            </w:pPr>
          </w:p>
        </w:tc>
        <w:tc>
          <w:tcPr>
            <w:tcW w:w="3200" w:type="dxa"/>
            <w:vAlign w:val="bottom"/>
            <w:tcBorders>
              <w:bottom w:val="single" w:sz="8" w:color="0000FF"/>
            </w:tcBorders>
            <w:gridSpan w:val="5"/>
          </w:tcPr>
          <w:p>
            <w:pPr>
              <w:spacing w:after="0" w:line="204" w:lineRule="exact"/>
              <w:rPr>
                <w:sz w:val="20"/>
                <w:szCs w:val="20"/>
                <w:color w:val="auto"/>
              </w:rPr>
            </w:pPr>
            <w:r>
              <w:rPr>
                <w:rFonts w:ascii="Times New Roman" w:cs="Times New Roman" w:eastAsia="Times New Roman" w:hAnsi="Times New Roman"/>
                <w:sz w:val="20"/>
                <w:szCs w:val="20"/>
                <w:color w:val="0000FF"/>
                <w:w w:val="99"/>
              </w:rPr>
              <w:t>August 13, 2024 (File No. 001-40445)).</w:t>
            </w:r>
          </w:p>
        </w:tc>
        <w:tc>
          <w:tcPr>
            <w:tcW w:w="5220" w:type="dxa"/>
            <w:vAlign w:val="bottom"/>
            <w:gridSpan w:val="19"/>
          </w:tcPr>
          <w:p>
            <w:pPr>
              <w:spacing w:after="0"/>
              <w:rPr>
                <w:sz w:val="17"/>
                <w:szCs w:val="17"/>
                <w:color w:val="auto"/>
              </w:rPr>
            </w:pPr>
          </w:p>
        </w:tc>
      </w:tr>
      <w:tr>
        <w:trPr>
          <w:trHeight w:val="567"/>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10.13#†</w:t>
            </w:r>
          </w:p>
        </w:tc>
        <w:tc>
          <w:tcPr>
            <w:tcW w:w="816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20"/>
                <w:szCs w:val="20"/>
                <w:color w:val="0000FF"/>
              </w:rPr>
              <w:t>Incentivization agreement (amended and restated), dated March 18, 2024, by and between LockBody</w:t>
            </w:r>
          </w:p>
        </w:tc>
        <w:tc>
          <w:tcPr>
            <w:tcW w:w="260" w:type="dxa"/>
            <w:vAlign w:val="bottom"/>
            <w:gridSpan w:val="6"/>
          </w:tcPr>
          <w:p>
            <w:pPr>
              <w:spacing w:after="0"/>
              <w:rPr>
                <w:sz w:val="24"/>
                <w:szCs w:val="24"/>
                <w:color w:val="auto"/>
              </w:rPr>
            </w:pPr>
          </w:p>
        </w:tc>
      </w:tr>
      <w:tr>
        <w:trPr>
          <w:trHeight w:val="204"/>
        </w:trPr>
        <w:tc>
          <w:tcPr>
            <w:tcW w:w="1120" w:type="dxa"/>
            <w:vAlign w:val="bottom"/>
          </w:tcPr>
          <w:p>
            <w:pPr>
              <w:spacing w:after="0"/>
              <w:rPr>
                <w:sz w:val="17"/>
                <w:szCs w:val="17"/>
                <w:color w:val="auto"/>
              </w:rPr>
            </w:pPr>
          </w:p>
        </w:tc>
        <w:tc>
          <w:tcPr>
            <w:tcW w:w="8420" w:type="dxa"/>
            <w:vAlign w:val="bottom"/>
            <w:gridSpan w:val="24"/>
          </w:tcPr>
          <w:p>
            <w:pPr>
              <w:spacing w:after="0" w:line="204" w:lineRule="exact"/>
              <w:rPr>
                <w:sz w:val="20"/>
                <w:szCs w:val="20"/>
                <w:color w:val="auto"/>
              </w:rPr>
            </w:pPr>
            <w:r>
              <w:rPr>
                <w:rFonts w:ascii="Times New Roman" w:cs="Times New Roman" w:eastAsia="Times New Roman" w:hAnsi="Times New Roman"/>
                <w:sz w:val="20"/>
                <w:szCs w:val="20"/>
                <w:color w:val="0000FF"/>
              </w:rPr>
              <w:t>Therapeutics Ltd, Centessa Pharmaceuticals PLC, Centessa Pharmaceuticals (UK) Limited and the other</w:t>
            </w:r>
          </w:p>
        </w:tc>
      </w:tr>
      <w:tr>
        <w:trPr>
          <w:trHeight w:val="204"/>
        </w:trPr>
        <w:tc>
          <w:tcPr>
            <w:tcW w:w="1120" w:type="dxa"/>
            <w:vAlign w:val="bottom"/>
          </w:tcPr>
          <w:p>
            <w:pPr>
              <w:spacing w:after="0"/>
              <w:rPr>
                <w:sz w:val="17"/>
                <w:szCs w:val="17"/>
                <w:color w:val="auto"/>
              </w:rPr>
            </w:pPr>
          </w:p>
        </w:tc>
        <w:tc>
          <w:tcPr>
            <w:tcW w:w="8400" w:type="dxa"/>
            <w:vAlign w:val="bottom"/>
            <w:tcBorders>
              <w:top w:val="single" w:sz="8" w:color="0000FF"/>
            </w:tcBorders>
            <w:gridSpan w:val="22"/>
          </w:tcPr>
          <w:p>
            <w:pPr>
              <w:spacing w:after="0" w:line="204" w:lineRule="exact"/>
              <w:rPr>
                <w:sz w:val="20"/>
                <w:szCs w:val="20"/>
                <w:color w:val="auto"/>
              </w:rPr>
            </w:pPr>
            <w:r>
              <w:rPr>
                <w:rFonts w:ascii="Times New Roman" w:cs="Times New Roman" w:eastAsia="Times New Roman" w:hAnsi="Times New Roman"/>
                <w:sz w:val="20"/>
                <w:szCs w:val="20"/>
                <w:color w:val="0000FF"/>
              </w:rPr>
              <w:t>parties thereto (incorporated by reference to Exhibit 10.13 to the Registrant’s Annual Report on Form</w:t>
            </w:r>
          </w:p>
        </w:tc>
        <w:tc>
          <w:tcPr>
            <w:tcW w:w="20" w:type="dxa"/>
            <w:vAlign w:val="bottom"/>
          </w:tcPr>
          <w:p>
            <w:pPr>
              <w:spacing w:after="0"/>
              <w:rPr>
                <w:sz w:val="17"/>
                <w:szCs w:val="17"/>
                <w:color w:val="auto"/>
              </w:rPr>
            </w:pPr>
          </w:p>
        </w:tc>
        <w:tc>
          <w:tcPr>
            <w:tcW w:w="0" w:type="dxa"/>
            <w:vAlign w:val="bottom"/>
          </w:tcPr>
          <w:p>
            <w:pPr>
              <w:spacing w:after="0"/>
              <w:rPr>
                <w:sz w:val="17"/>
                <w:szCs w:val="17"/>
                <w:color w:val="auto"/>
              </w:rPr>
            </w:pPr>
          </w:p>
        </w:tc>
      </w:tr>
      <w:tr>
        <w:trPr>
          <w:trHeight w:val="204"/>
        </w:trPr>
        <w:tc>
          <w:tcPr>
            <w:tcW w:w="1120" w:type="dxa"/>
            <w:vAlign w:val="bottom"/>
          </w:tcPr>
          <w:p>
            <w:pPr>
              <w:spacing w:after="0"/>
              <w:rPr>
                <w:sz w:val="17"/>
                <w:szCs w:val="17"/>
                <w:color w:val="auto"/>
              </w:rPr>
            </w:pPr>
          </w:p>
        </w:tc>
        <w:tc>
          <w:tcPr>
            <w:tcW w:w="8180" w:type="dxa"/>
            <w:vAlign w:val="bottom"/>
            <w:tcBorders>
              <w:top w:val="single" w:sz="8" w:color="0000FF"/>
            </w:tcBorders>
            <w:gridSpan w:val="19"/>
          </w:tcPr>
          <w:p>
            <w:pPr>
              <w:spacing w:after="0" w:line="204" w:lineRule="exact"/>
              <w:rPr>
                <w:sz w:val="20"/>
                <w:szCs w:val="20"/>
                <w:color w:val="auto"/>
              </w:rPr>
            </w:pPr>
            <w:r>
              <w:rPr>
                <w:rFonts w:ascii="Times New Roman" w:cs="Times New Roman" w:eastAsia="Times New Roman" w:hAnsi="Times New Roman"/>
                <w:sz w:val="20"/>
                <w:szCs w:val="20"/>
                <w:color w:val="0000FF"/>
              </w:rPr>
              <w:t>10-K filed on March 24, 2025 (File No. 001-40445)).</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gridSpan w:val="2"/>
          </w:tcPr>
          <w:p>
            <w:pPr>
              <w:spacing w:after="0"/>
              <w:rPr>
                <w:sz w:val="17"/>
                <w:szCs w:val="17"/>
                <w:color w:val="auto"/>
              </w:rPr>
            </w:pPr>
          </w:p>
        </w:tc>
        <w:tc>
          <w:tcPr>
            <w:tcW w:w="0" w:type="dxa"/>
            <w:vAlign w:val="bottom"/>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10.14#†*</w:t>
            </w:r>
          </w:p>
        </w:tc>
        <w:tc>
          <w:tcPr>
            <w:tcW w:w="8420" w:type="dxa"/>
            <w:vAlign w:val="bottom"/>
            <w:gridSpan w:val="24"/>
          </w:tcPr>
          <w:p>
            <w:pPr>
              <w:spacing w:after="0"/>
              <w:rPr>
                <w:sz w:val="20"/>
                <w:szCs w:val="20"/>
                <w:color w:val="auto"/>
              </w:rPr>
            </w:pPr>
            <w:r>
              <w:rPr>
                <w:rFonts w:ascii="Times New Roman" w:cs="Times New Roman" w:eastAsia="Times New Roman" w:hAnsi="Times New Roman"/>
                <w:sz w:val="20"/>
                <w:szCs w:val="20"/>
                <w:color w:val="0000FF"/>
              </w:rPr>
              <w:t>Incentivization agreement (amended and restated), dated April 28, 2025, by and between Centessa</w:t>
            </w:r>
          </w:p>
        </w:tc>
      </w:tr>
      <w:tr>
        <w:trPr>
          <w:trHeight w:val="204"/>
        </w:trPr>
        <w:tc>
          <w:tcPr>
            <w:tcW w:w="1120" w:type="dxa"/>
            <w:vAlign w:val="bottom"/>
          </w:tcPr>
          <w:p>
            <w:pPr>
              <w:spacing w:after="0"/>
              <w:rPr>
                <w:sz w:val="17"/>
                <w:szCs w:val="17"/>
                <w:color w:val="auto"/>
              </w:rPr>
            </w:pPr>
          </w:p>
        </w:tc>
        <w:tc>
          <w:tcPr>
            <w:tcW w:w="7900" w:type="dxa"/>
            <w:vAlign w:val="bottom"/>
            <w:tcBorders>
              <w:top w:val="single" w:sz="8" w:color="0000FF"/>
              <w:bottom w:val="single" w:sz="8" w:color="0000FF"/>
            </w:tcBorders>
            <w:gridSpan w:val="14"/>
          </w:tcPr>
          <w:p>
            <w:pPr>
              <w:spacing w:after="0" w:line="204" w:lineRule="exact"/>
              <w:rPr>
                <w:sz w:val="20"/>
                <w:szCs w:val="20"/>
                <w:color w:val="auto"/>
              </w:rPr>
            </w:pPr>
            <w:r>
              <w:rPr>
                <w:rFonts w:ascii="Times New Roman" w:cs="Times New Roman" w:eastAsia="Times New Roman" w:hAnsi="Times New Roman"/>
                <w:sz w:val="20"/>
                <w:szCs w:val="20"/>
                <w:color w:val="0000FF"/>
                <w:w w:val="99"/>
              </w:rPr>
              <w:t>Pharmaceuticals (Orexia) Limited, Centessa Pharmaceuticals PLC, Centessa Pharmaceuticals (UK)</w:t>
            </w:r>
          </w:p>
        </w:tc>
        <w:tc>
          <w:tcPr>
            <w:tcW w:w="80" w:type="dxa"/>
            <w:vAlign w:val="bottom"/>
            <w:tcBorders>
              <w:bottom w:val="single" w:sz="8" w:color="0000FF"/>
            </w:tcBorders>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gridSpan w:val="3"/>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gridSpan w:val="2"/>
          </w:tcPr>
          <w:p>
            <w:pPr>
              <w:spacing w:after="0"/>
              <w:rPr>
                <w:sz w:val="17"/>
                <w:szCs w:val="17"/>
                <w:color w:val="auto"/>
              </w:rPr>
            </w:pPr>
          </w:p>
        </w:tc>
        <w:tc>
          <w:tcPr>
            <w:tcW w:w="0" w:type="dxa"/>
            <w:vAlign w:val="bottom"/>
          </w:tcPr>
          <w:p>
            <w:pPr>
              <w:spacing w:after="0"/>
              <w:rPr>
                <w:sz w:val="17"/>
                <w:szCs w:val="17"/>
                <w:color w:val="auto"/>
              </w:rPr>
            </w:pPr>
          </w:p>
        </w:tc>
      </w:tr>
      <w:tr>
        <w:trPr>
          <w:trHeight w:val="204"/>
        </w:trPr>
        <w:tc>
          <w:tcPr>
            <w:tcW w:w="1120" w:type="dxa"/>
            <w:vAlign w:val="bottom"/>
          </w:tcPr>
          <w:p>
            <w:pPr>
              <w:spacing w:after="0"/>
              <w:rPr>
                <w:sz w:val="17"/>
                <w:szCs w:val="17"/>
                <w:color w:val="auto"/>
              </w:rPr>
            </w:pPr>
          </w:p>
        </w:tc>
        <w:tc>
          <w:tcPr>
            <w:tcW w:w="2960" w:type="dxa"/>
            <w:vAlign w:val="bottom"/>
            <w:tcBorders>
              <w:bottom w:val="single" w:sz="8" w:color="0000FF"/>
            </w:tcBorders>
            <w:gridSpan w:val="3"/>
          </w:tcPr>
          <w:p>
            <w:pPr>
              <w:spacing w:after="0" w:line="204" w:lineRule="exact"/>
              <w:rPr>
                <w:sz w:val="20"/>
                <w:szCs w:val="20"/>
                <w:color w:val="auto"/>
              </w:rPr>
            </w:pPr>
            <w:r>
              <w:rPr>
                <w:rFonts w:ascii="Times New Roman" w:cs="Times New Roman" w:eastAsia="Times New Roman" w:hAnsi="Times New Roman"/>
                <w:sz w:val="20"/>
                <w:szCs w:val="20"/>
                <w:color w:val="0000FF"/>
                <w:w w:val="99"/>
              </w:rPr>
              <w:t>Limited and the other parties thereto.</w:t>
            </w:r>
          </w:p>
        </w:tc>
        <w:tc>
          <w:tcPr>
            <w:tcW w:w="5020" w:type="dxa"/>
            <w:vAlign w:val="bottom"/>
            <w:gridSpan w:val="12"/>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gridSpan w:val="3"/>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gridSpan w:val="2"/>
          </w:tcPr>
          <w:p>
            <w:pPr>
              <w:spacing w:after="0"/>
              <w:rPr>
                <w:sz w:val="17"/>
                <w:szCs w:val="17"/>
                <w:color w:val="auto"/>
              </w:rPr>
            </w:pPr>
          </w:p>
        </w:tc>
        <w:tc>
          <w:tcPr>
            <w:tcW w:w="0" w:type="dxa"/>
            <w:vAlign w:val="bottom"/>
          </w:tcPr>
          <w:p>
            <w:pPr>
              <w:spacing w:after="0"/>
              <w:rPr>
                <w:sz w:val="17"/>
                <w:szCs w:val="17"/>
                <w:color w:val="auto"/>
              </w:rPr>
            </w:pPr>
          </w:p>
        </w:tc>
      </w:tr>
      <w:tr>
        <w:trPr>
          <w:trHeight w:val="477"/>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10.15#†</w:t>
            </w:r>
          </w:p>
        </w:tc>
        <w:tc>
          <w:tcPr>
            <w:tcW w:w="8420" w:type="dxa"/>
            <w:vAlign w:val="bottom"/>
            <w:gridSpan w:val="24"/>
          </w:tcPr>
          <w:p>
            <w:pPr>
              <w:spacing w:after="0"/>
              <w:rPr>
                <w:sz w:val="20"/>
                <w:szCs w:val="20"/>
                <w:color w:val="auto"/>
              </w:rPr>
            </w:pPr>
            <w:r>
              <w:rPr>
                <w:rFonts w:ascii="Times New Roman" w:cs="Times New Roman" w:eastAsia="Times New Roman" w:hAnsi="Times New Roman"/>
                <w:sz w:val="20"/>
                <w:szCs w:val="20"/>
                <w:color w:val="0000FF"/>
              </w:rPr>
              <w:t>One Federal Street, Boston, MA lease, dated February 7, 2022, by and between One Federal, L.P. and</w:t>
            </w:r>
          </w:p>
        </w:tc>
      </w:tr>
      <w:tr>
        <w:trPr>
          <w:trHeight w:val="204"/>
        </w:trPr>
        <w:tc>
          <w:tcPr>
            <w:tcW w:w="1120" w:type="dxa"/>
            <w:vAlign w:val="bottom"/>
          </w:tcPr>
          <w:p>
            <w:pPr>
              <w:spacing w:after="0"/>
              <w:rPr>
                <w:sz w:val="17"/>
                <w:szCs w:val="17"/>
                <w:color w:val="auto"/>
              </w:rPr>
            </w:pPr>
          </w:p>
        </w:tc>
        <w:tc>
          <w:tcPr>
            <w:tcW w:w="8200" w:type="dxa"/>
            <w:vAlign w:val="bottom"/>
            <w:tcBorders>
              <w:top w:val="single" w:sz="8" w:color="0000FF"/>
            </w:tcBorders>
            <w:gridSpan w:val="20"/>
          </w:tcPr>
          <w:p>
            <w:pPr>
              <w:spacing w:after="0" w:line="204" w:lineRule="exact"/>
              <w:rPr>
                <w:sz w:val="20"/>
                <w:szCs w:val="20"/>
                <w:color w:val="auto"/>
              </w:rPr>
            </w:pPr>
            <w:r>
              <w:rPr>
                <w:rFonts w:ascii="Times New Roman" w:cs="Times New Roman" w:eastAsia="Times New Roman" w:hAnsi="Times New Roman"/>
                <w:sz w:val="20"/>
                <w:szCs w:val="20"/>
                <w:color w:val="0000FF"/>
              </w:rPr>
              <w:t>the Registrant (incorporated by reference to Exhibit 10.35 to the Registrant's Annual Report on Form</w:t>
            </w:r>
          </w:p>
        </w:tc>
        <w:tc>
          <w:tcPr>
            <w:tcW w:w="160" w:type="dxa"/>
            <w:vAlign w:val="bottom"/>
          </w:tcPr>
          <w:p>
            <w:pPr>
              <w:spacing w:after="0"/>
              <w:rPr>
                <w:sz w:val="17"/>
                <w:szCs w:val="17"/>
                <w:color w:val="auto"/>
              </w:rPr>
            </w:pPr>
          </w:p>
        </w:tc>
        <w:tc>
          <w:tcPr>
            <w:tcW w:w="60" w:type="dxa"/>
            <w:vAlign w:val="bottom"/>
            <w:gridSpan w:val="2"/>
          </w:tcPr>
          <w:p>
            <w:pPr>
              <w:spacing w:after="0"/>
              <w:rPr>
                <w:sz w:val="17"/>
                <w:szCs w:val="17"/>
                <w:color w:val="auto"/>
              </w:rPr>
            </w:pPr>
          </w:p>
        </w:tc>
        <w:tc>
          <w:tcPr>
            <w:tcW w:w="0" w:type="dxa"/>
            <w:vAlign w:val="bottom"/>
          </w:tcPr>
          <w:p>
            <w:pPr>
              <w:spacing w:after="0"/>
              <w:rPr>
                <w:sz w:val="17"/>
                <w:szCs w:val="17"/>
                <w:color w:val="auto"/>
              </w:rPr>
            </w:pPr>
          </w:p>
        </w:tc>
      </w:tr>
      <w:tr>
        <w:trPr>
          <w:trHeight w:val="204"/>
        </w:trPr>
        <w:tc>
          <w:tcPr>
            <w:tcW w:w="1120" w:type="dxa"/>
            <w:vAlign w:val="bottom"/>
          </w:tcPr>
          <w:p>
            <w:pPr>
              <w:spacing w:after="0"/>
              <w:rPr>
                <w:sz w:val="17"/>
                <w:szCs w:val="17"/>
                <w:color w:val="auto"/>
              </w:rPr>
            </w:pPr>
          </w:p>
        </w:tc>
        <w:tc>
          <w:tcPr>
            <w:tcW w:w="8140" w:type="dxa"/>
            <w:vAlign w:val="bottom"/>
            <w:tcBorders>
              <w:top w:val="single" w:sz="8" w:color="0000FF"/>
            </w:tcBorders>
            <w:gridSpan w:val="17"/>
          </w:tcPr>
          <w:p>
            <w:pPr>
              <w:spacing w:after="0" w:line="204" w:lineRule="exact"/>
              <w:rPr>
                <w:sz w:val="20"/>
                <w:szCs w:val="20"/>
                <w:color w:val="auto"/>
              </w:rPr>
            </w:pPr>
            <w:r>
              <w:rPr>
                <w:rFonts w:ascii="Times New Roman" w:cs="Times New Roman" w:eastAsia="Times New Roman" w:hAnsi="Times New Roman"/>
                <w:sz w:val="20"/>
                <w:szCs w:val="20"/>
                <w:color w:val="0000FF"/>
              </w:rPr>
              <w:t>10-K filed on March 30, 2022 (File No. 001-40445)).</w:t>
            </w:r>
          </w:p>
        </w:tc>
        <w:tc>
          <w:tcPr>
            <w:tcW w:w="220" w:type="dxa"/>
            <w:vAlign w:val="bottom"/>
            <w:gridSpan w:val="4"/>
          </w:tcPr>
          <w:p>
            <w:pPr>
              <w:spacing w:after="0"/>
              <w:rPr>
                <w:sz w:val="17"/>
                <w:szCs w:val="17"/>
                <w:color w:val="auto"/>
              </w:rPr>
            </w:pPr>
          </w:p>
        </w:tc>
        <w:tc>
          <w:tcPr>
            <w:tcW w:w="60" w:type="dxa"/>
            <w:vAlign w:val="bottom"/>
            <w:gridSpan w:val="2"/>
          </w:tcPr>
          <w:p>
            <w:pPr>
              <w:spacing w:after="0"/>
              <w:rPr>
                <w:sz w:val="17"/>
                <w:szCs w:val="17"/>
                <w:color w:val="auto"/>
              </w:rPr>
            </w:pPr>
          </w:p>
        </w:tc>
        <w:tc>
          <w:tcPr>
            <w:tcW w:w="0" w:type="dxa"/>
            <w:vAlign w:val="bottom"/>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7"/>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10.16#</w:t>
            </w:r>
          </w:p>
        </w:tc>
        <w:tc>
          <w:tcPr>
            <w:tcW w:w="8420" w:type="dxa"/>
            <w:vAlign w:val="bottom"/>
            <w:gridSpan w:val="24"/>
          </w:tcPr>
          <w:p>
            <w:pPr>
              <w:spacing w:after="0"/>
              <w:rPr>
                <w:sz w:val="20"/>
                <w:szCs w:val="20"/>
                <w:color w:val="auto"/>
              </w:rPr>
            </w:pPr>
            <w:r>
              <w:rPr>
                <w:rFonts w:ascii="Times New Roman" w:cs="Times New Roman" w:eastAsia="Times New Roman" w:hAnsi="Times New Roman"/>
                <w:sz w:val="20"/>
                <w:szCs w:val="20"/>
                <w:color w:val="0000FF"/>
              </w:rPr>
              <w:t>Employment Agreement, dated as of March 30, 2022, between the Registrant and Iqbal Hussain</w:t>
            </w:r>
          </w:p>
        </w:tc>
      </w:tr>
      <w:tr>
        <w:trPr>
          <w:trHeight w:val="204"/>
        </w:trPr>
        <w:tc>
          <w:tcPr>
            <w:tcW w:w="1120" w:type="dxa"/>
            <w:vAlign w:val="bottom"/>
          </w:tcPr>
          <w:p>
            <w:pPr>
              <w:spacing w:after="0"/>
              <w:rPr>
                <w:sz w:val="17"/>
                <w:szCs w:val="17"/>
                <w:color w:val="auto"/>
              </w:rPr>
            </w:pPr>
          </w:p>
        </w:tc>
        <w:tc>
          <w:tcPr>
            <w:tcW w:w="7720" w:type="dxa"/>
            <w:vAlign w:val="bottom"/>
            <w:tcBorders>
              <w:top w:val="single" w:sz="8" w:color="0000FF"/>
            </w:tcBorders>
            <w:gridSpan w:val="13"/>
          </w:tcPr>
          <w:p>
            <w:pPr>
              <w:spacing w:after="0" w:line="204" w:lineRule="exact"/>
              <w:rPr>
                <w:sz w:val="20"/>
                <w:szCs w:val="20"/>
                <w:color w:val="auto"/>
              </w:rPr>
            </w:pPr>
            <w:r>
              <w:rPr>
                <w:rFonts w:ascii="Times New Roman" w:cs="Times New Roman" w:eastAsia="Times New Roman" w:hAnsi="Times New Roman"/>
                <w:sz w:val="20"/>
                <w:szCs w:val="20"/>
                <w:color w:val="0000FF"/>
                <w:w w:val="98"/>
              </w:rPr>
              <w:t>(incorporated by reference to Exhibit 10.17 to the Registrant’s Annual Report on Form 10-K filed</w:t>
            </w:r>
          </w:p>
        </w:tc>
        <w:tc>
          <w:tcPr>
            <w:tcW w:w="700" w:type="dxa"/>
            <w:vAlign w:val="bottom"/>
            <w:gridSpan w:val="11"/>
          </w:tcPr>
          <w:p>
            <w:pPr>
              <w:ind w:left="140"/>
              <w:spacing w:after="0" w:line="204" w:lineRule="exact"/>
              <w:rPr>
                <w:sz w:val="20"/>
                <w:szCs w:val="20"/>
                <w:color w:val="auto"/>
              </w:rPr>
            </w:pPr>
            <w:r>
              <w:rPr>
                <w:rFonts w:ascii="Times New Roman" w:cs="Times New Roman" w:eastAsia="Times New Roman" w:hAnsi="Times New Roman"/>
                <w:sz w:val="20"/>
                <w:szCs w:val="20"/>
                <w:color w:val="0000FF"/>
              </w:rPr>
              <w:t>on</w:t>
            </w:r>
          </w:p>
        </w:tc>
      </w:tr>
      <w:tr>
        <w:trPr>
          <w:trHeight w:val="204"/>
        </w:trPr>
        <w:tc>
          <w:tcPr>
            <w:tcW w:w="1120" w:type="dxa"/>
            <w:vAlign w:val="bottom"/>
          </w:tcPr>
          <w:p>
            <w:pPr>
              <w:spacing w:after="0"/>
              <w:rPr>
                <w:sz w:val="17"/>
                <w:szCs w:val="17"/>
                <w:color w:val="auto"/>
              </w:rPr>
            </w:pPr>
          </w:p>
        </w:tc>
        <w:tc>
          <w:tcPr>
            <w:tcW w:w="3140" w:type="dxa"/>
            <w:vAlign w:val="bottom"/>
            <w:tcBorders>
              <w:top w:val="single" w:sz="8" w:color="0000FF"/>
              <w:bottom w:val="single" w:sz="8" w:color="0000FF"/>
            </w:tcBorders>
            <w:gridSpan w:val="4"/>
          </w:tcPr>
          <w:p>
            <w:pPr>
              <w:spacing w:after="0" w:line="204" w:lineRule="exact"/>
              <w:rPr>
                <w:sz w:val="20"/>
                <w:szCs w:val="20"/>
                <w:color w:val="auto"/>
              </w:rPr>
            </w:pPr>
            <w:r>
              <w:rPr>
                <w:rFonts w:ascii="Times New Roman" w:cs="Times New Roman" w:eastAsia="Times New Roman" w:hAnsi="Times New Roman"/>
                <w:sz w:val="20"/>
                <w:szCs w:val="20"/>
                <w:color w:val="0000FF"/>
                <w:w w:val="99"/>
              </w:rPr>
              <w:t>March 24, 2025 (File No. 001-40445)).</w:t>
            </w:r>
          </w:p>
        </w:tc>
        <w:tc>
          <w:tcPr>
            <w:tcW w:w="4980" w:type="dxa"/>
            <w:vAlign w:val="bottom"/>
            <w:tcBorders>
              <w:top w:val="single" w:sz="8" w:color="0000FF"/>
            </w:tcBorders>
            <w:gridSpan w:val="12"/>
          </w:tcPr>
          <w:p>
            <w:pPr>
              <w:spacing w:after="0"/>
              <w:rPr>
                <w:sz w:val="17"/>
                <w:szCs w:val="17"/>
                <w:color w:val="auto"/>
              </w:rPr>
            </w:pPr>
          </w:p>
        </w:tc>
        <w:tc>
          <w:tcPr>
            <w:tcW w:w="240" w:type="dxa"/>
            <w:vAlign w:val="bottom"/>
            <w:gridSpan w:val="5"/>
          </w:tcPr>
          <w:p>
            <w:pPr>
              <w:spacing w:after="0"/>
              <w:rPr>
                <w:sz w:val="17"/>
                <w:szCs w:val="17"/>
                <w:color w:val="auto"/>
              </w:rPr>
            </w:pPr>
          </w:p>
        </w:tc>
        <w:tc>
          <w:tcPr>
            <w:tcW w:w="60" w:type="dxa"/>
            <w:vAlign w:val="bottom"/>
            <w:gridSpan w:val="2"/>
          </w:tcPr>
          <w:p>
            <w:pPr>
              <w:spacing w:after="0"/>
              <w:rPr>
                <w:sz w:val="17"/>
                <w:szCs w:val="17"/>
                <w:color w:val="auto"/>
              </w:rPr>
            </w:pPr>
          </w:p>
        </w:tc>
        <w:tc>
          <w:tcPr>
            <w:tcW w:w="0" w:type="dxa"/>
            <w:vAlign w:val="bottom"/>
          </w:tcPr>
          <w:p>
            <w:pPr>
              <w:spacing w:after="0"/>
              <w:rPr>
                <w:sz w:val="17"/>
                <w:szCs w:val="17"/>
                <w:color w:val="auto"/>
              </w:rPr>
            </w:pPr>
          </w:p>
        </w:tc>
      </w:tr>
      <w:tr>
        <w:trPr>
          <w:trHeight w:val="477"/>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10.17</w:t>
            </w:r>
          </w:p>
        </w:tc>
        <w:tc>
          <w:tcPr>
            <w:tcW w:w="8420" w:type="dxa"/>
            <w:vAlign w:val="bottom"/>
            <w:tcBorders>
              <w:bottom w:val="single" w:sz="8" w:color="0000FF"/>
            </w:tcBorders>
            <w:gridSpan w:val="24"/>
          </w:tcPr>
          <w:p>
            <w:pPr>
              <w:spacing w:after="0"/>
              <w:rPr>
                <w:sz w:val="20"/>
                <w:szCs w:val="20"/>
                <w:color w:val="auto"/>
              </w:rPr>
            </w:pPr>
            <w:r>
              <w:rPr>
                <w:rFonts w:ascii="Times New Roman" w:cs="Times New Roman" w:eastAsia="Times New Roman" w:hAnsi="Times New Roman"/>
                <w:sz w:val="20"/>
                <w:szCs w:val="20"/>
                <w:color w:val="0000FF"/>
              </w:rPr>
              <w:t>Loan and Security Agreement, dated as of December 30, 2024, by and between the Registrant, the</w:t>
            </w:r>
          </w:p>
        </w:tc>
      </w:tr>
      <w:tr>
        <w:trPr>
          <w:trHeight w:val="204"/>
        </w:trPr>
        <w:tc>
          <w:tcPr>
            <w:tcW w:w="1120" w:type="dxa"/>
            <w:vAlign w:val="bottom"/>
          </w:tcPr>
          <w:p>
            <w:pPr>
              <w:spacing w:after="0"/>
              <w:rPr>
                <w:sz w:val="17"/>
                <w:szCs w:val="17"/>
                <w:color w:val="auto"/>
              </w:rPr>
            </w:pPr>
          </w:p>
        </w:tc>
        <w:tc>
          <w:tcPr>
            <w:tcW w:w="8420" w:type="dxa"/>
            <w:vAlign w:val="bottom"/>
            <w:tcBorders>
              <w:bottom w:val="single" w:sz="8" w:color="0000FF"/>
            </w:tcBorders>
            <w:gridSpan w:val="24"/>
          </w:tcPr>
          <w:p>
            <w:pPr>
              <w:spacing w:after="0" w:line="204" w:lineRule="exact"/>
              <w:rPr>
                <w:sz w:val="20"/>
                <w:szCs w:val="20"/>
                <w:color w:val="auto"/>
              </w:rPr>
            </w:pPr>
            <w:r>
              <w:rPr>
                <w:rFonts w:ascii="Times New Roman" w:cs="Times New Roman" w:eastAsia="Times New Roman" w:hAnsi="Times New Roman"/>
                <w:sz w:val="20"/>
                <w:szCs w:val="20"/>
                <w:color w:val="0000FF"/>
              </w:rPr>
              <w:t>Borrower Parties thereto and Oxford Finance LLC (incorporated by reference to Exhibit 10.18 to the</w:t>
            </w:r>
          </w:p>
        </w:tc>
      </w:tr>
      <w:tr>
        <w:trPr>
          <w:trHeight w:val="204"/>
        </w:trPr>
        <w:tc>
          <w:tcPr>
            <w:tcW w:w="1120" w:type="dxa"/>
            <w:vAlign w:val="bottom"/>
          </w:tcPr>
          <w:p>
            <w:pPr>
              <w:spacing w:after="0"/>
              <w:rPr>
                <w:sz w:val="17"/>
                <w:szCs w:val="17"/>
                <w:color w:val="auto"/>
              </w:rPr>
            </w:pPr>
          </w:p>
        </w:tc>
        <w:tc>
          <w:tcPr>
            <w:tcW w:w="8420" w:type="dxa"/>
            <w:vAlign w:val="bottom"/>
            <w:gridSpan w:val="24"/>
          </w:tcPr>
          <w:p>
            <w:pPr>
              <w:spacing w:after="0" w:line="204" w:lineRule="exact"/>
              <w:rPr>
                <w:sz w:val="20"/>
                <w:szCs w:val="20"/>
                <w:color w:val="auto"/>
              </w:rPr>
            </w:pPr>
            <w:r>
              <w:rPr>
                <w:rFonts w:ascii="Times New Roman" w:cs="Times New Roman" w:eastAsia="Times New Roman" w:hAnsi="Times New Roman"/>
                <w:sz w:val="20"/>
                <w:szCs w:val="20"/>
                <w:color w:val="0000FF"/>
              </w:rPr>
              <w:t>Registrant’s Annual Report on Form 10-K filed on March 24, 2025 (File No. 001-40445)).</w:t>
            </w:r>
          </w:p>
        </w:tc>
      </w:tr>
      <w:tr>
        <w:trPr>
          <w:trHeight w:val="20"/>
        </w:trPr>
        <w:tc>
          <w:tcPr>
            <w:tcW w:w="11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1660" w:type="dxa"/>
            <w:vAlign w:val="bottom"/>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500" w:type="dxa"/>
            <w:vAlign w:val="bottom"/>
            <w:gridSpan w:val="2"/>
            <w:shd w:val="clear" w:color="auto" w:fill="0000FF"/>
          </w:tcPr>
          <w:p>
            <w:pPr>
              <w:spacing w:after="0" w:line="20" w:lineRule="exact"/>
              <w:rPr>
                <w:sz w:val="1"/>
                <w:szCs w:val="1"/>
                <w:color w:val="auto"/>
              </w:rPr>
            </w:pPr>
          </w:p>
        </w:tc>
        <w:tc>
          <w:tcPr>
            <w:tcW w:w="1120" w:type="dxa"/>
            <w:vAlign w:val="bottom"/>
            <w:gridSpan w:val="9"/>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7"/>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10.18†</w:t>
            </w:r>
          </w:p>
        </w:tc>
        <w:tc>
          <w:tcPr>
            <w:tcW w:w="8420" w:type="dxa"/>
            <w:vAlign w:val="bottom"/>
            <w:tcBorders>
              <w:bottom w:val="single" w:sz="8" w:color="0000FF"/>
            </w:tcBorders>
            <w:gridSpan w:val="24"/>
          </w:tcPr>
          <w:p>
            <w:pPr>
              <w:spacing w:after="0"/>
              <w:rPr>
                <w:sz w:val="20"/>
                <w:szCs w:val="20"/>
                <w:color w:val="auto"/>
              </w:rPr>
            </w:pPr>
            <w:r>
              <w:rPr>
                <w:rFonts w:ascii="Times New Roman" w:cs="Times New Roman" w:eastAsia="Times New Roman" w:hAnsi="Times New Roman"/>
                <w:sz w:val="20"/>
                <w:szCs w:val="20"/>
                <w:color w:val="0000FF"/>
              </w:rPr>
              <w:t>License Agreement, dated February 14, 2025, between Centessa Pharmaceuticals (UK) Limited and</w:t>
            </w:r>
          </w:p>
        </w:tc>
      </w:tr>
      <w:tr>
        <w:trPr>
          <w:trHeight w:val="204"/>
        </w:trPr>
        <w:tc>
          <w:tcPr>
            <w:tcW w:w="1120" w:type="dxa"/>
            <w:vAlign w:val="bottom"/>
          </w:tcPr>
          <w:p>
            <w:pPr>
              <w:spacing w:after="0"/>
              <w:rPr>
                <w:sz w:val="17"/>
                <w:szCs w:val="17"/>
                <w:color w:val="auto"/>
              </w:rPr>
            </w:pPr>
          </w:p>
        </w:tc>
        <w:tc>
          <w:tcPr>
            <w:tcW w:w="8420" w:type="dxa"/>
            <w:vAlign w:val="bottom"/>
            <w:gridSpan w:val="24"/>
          </w:tcPr>
          <w:p>
            <w:pPr>
              <w:spacing w:after="0" w:line="204" w:lineRule="exact"/>
              <w:rPr>
                <w:sz w:val="20"/>
                <w:szCs w:val="20"/>
                <w:color w:val="auto"/>
              </w:rPr>
            </w:pPr>
            <w:r>
              <w:rPr>
                <w:rFonts w:ascii="Times New Roman" w:cs="Times New Roman" w:eastAsia="Times New Roman" w:hAnsi="Times New Roman"/>
                <w:sz w:val="20"/>
                <w:szCs w:val="20"/>
                <w:color w:val="0000FF"/>
              </w:rPr>
              <w:t>Genmab A/S (incorporated by reference to Exhibit 10.19 to the Registrant’s Annual Report on Form 10-</w:t>
            </w:r>
          </w:p>
        </w:tc>
      </w:tr>
      <w:tr>
        <w:trPr>
          <w:trHeight w:val="204"/>
        </w:trPr>
        <w:tc>
          <w:tcPr>
            <w:tcW w:w="1120" w:type="dxa"/>
            <w:vAlign w:val="bottom"/>
          </w:tcPr>
          <w:p>
            <w:pPr>
              <w:spacing w:after="0"/>
              <w:rPr>
                <w:sz w:val="17"/>
                <w:szCs w:val="17"/>
                <w:color w:val="auto"/>
              </w:rPr>
            </w:pPr>
          </w:p>
        </w:tc>
        <w:tc>
          <w:tcPr>
            <w:tcW w:w="4000" w:type="dxa"/>
            <w:vAlign w:val="bottom"/>
            <w:tcBorders>
              <w:top w:val="single" w:sz="8" w:color="0000FF"/>
              <w:bottom w:val="single" w:sz="8" w:color="0000FF"/>
            </w:tcBorders>
            <w:gridSpan w:val="6"/>
          </w:tcPr>
          <w:p>
            <w:pPr>
              <w:spacing w:after="0" w:line="204" w:lineRule="exact"/>
              <w:rPr>
                <w:sz w:val="20"/>
                <w:szCs w:val="20"/>
                <w:color w:val="auto"/>
              </w:rPr>
            </w:pPr>
            <w:r>
              <w:rPr>
                <w:rFonts w:ascii="Times New Roman" w:cs="Times New Roman" w:eastAsia="Times New Roman" w:hAnsi="Times New Roman"/>
                <w:sz w:val="20"/>
                <w:szCs w:val="20"/>
                <w:color w:val="0000FF"/>
                <w:w w:val="99"/>
              </w:rPr>
              <w:t>K filed on March 24, 2025 (File No. 001-40445)).</w:t>
            </w:r>
          </w:p>
        </w:tc>
        <w:tc>
          <w:tcPr>
            <w:tcW w:w="4360" w:type="dxa"/>
            <w:vAlign w:val="bottom"/>
            <w:tcBorders>
              <w:top w:val="single" w:sz="8" w:color="0000FF"/>
            </w:tcBorders>
            <w:gridSpan w:val="15"/>
          </w:tcPr>
          <w:p>
            <w:pPr>
              <w:spacing w:after="0"/>
              <w:rPr>
                <w:sz w:val="17"/>
                <w:szCs w:val="17"/>
                <w:color w:val="auto"/>
              </w:rPr>
            </w:pPr>
          </w:p>
        </w:tc>
        <w:tc>
          <w:tcPr>
            <w:tcW w:w="60" w:type="dxa"/>
            <w:vAlign w:val="bottom"/>
            <w:gridSpan w:val="2"/>
          </w:tcPr>
          <w:p>
            <w:pPr>
              <w:spacing w:after="0"/>
              <w:rPr>
                <w:sz w:val="17"/>
                <w:szCs w:val="17"/>
                <w:color w:val="auto"/>
              </w:rPr>
            </w:pPr>
          </w:p>
        </w:tc>
        <w:tc>
          <w:tcPr>
            <w:tcW w:w="0" w:type="dxa"/>
            <w:vAlign w:val="bottom"/>
          </w:tcPr>
          <w:p>
            <w:pPr>
              <w:spacing w:after="0"/>
              <w:rPr>
                <w:sz w:val="17"/>
                <w:szCs w:val="17"/>
                <w:color w:val="auto"/>
              </w:rPr>
            </w:pPr>
          </w:p>
        </w:tc>
      </w:tr>
      <w:tr>
        <w:trPr>
          <w:trHeight w:val="387"/>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10.19#</w:t>
            </w:r>
          </w:p>
        </w:tc>
        <w:tc>
          <w:tcPr>
            <w:tcW w:w="8420" w:type="dxa"/>
            <w:vAlign w:val="bottom"/>
            <w:tcBorders>
              <w:bottom w:val="single" w:sz="8" w:color="0000FF"/>
            </w:tcBorders>
            <w:gridSpan w:val="24"/>
          </w:tcPr>
          <w:p>
            <w:pPr>
              <w:spacing w:after="0"/>
              <w:rPr>
                <w:sz w:val="20"/>
                <w:szCs w:val="20"/>
                <w:color w:val="auto"/>
              </w:rPr>
            </w:pPr>
            <w:r>
              <w:rPr>
                <w:rFonts w:ascii="Times New Roman" w:cs="Times New Roman" w:eastAsia="Times New Roman" w:hAnsi="Times New Roman"/>
                <w:sz w:val="20"/>
                <w:szCs w:val="20"/>
                <w:color w:val="0000FF"/>
              </w:rPr>
              <w:t>Employment Agreement, dated as of January 5, 2026, between the Registrant and Mario Accardi</w:t>
            </w:r>
          </w:p>
        </w:tc>
      </w:tr>
      <w:tr>
        <w:trPr>
          <w:trHeight w:val="204"/>
        </w:trPr>
        <w:tc>
          <w:tcPr>
            <w:tcW w:w="1120" w:type="dxa"/>
            <w:vAlign w:val="bottom"/>
          </w:tcPr>
          <w:p>
            <w:pPr>
              <w:spacing w:after="0"/>
              <w:rPr>
                <w:sz w:val="17"/>
                <w:szCs w:val="17"/>
                <w:color w:val="auto"/>
              </w:rPr>
            </w:pPr>
          </w:p>
        </w:tc>
        <w:tc>
          <w:tcPr>
            <w:tcW w:w="8420" w:type="dxa"/>
            <w:vAlign w:val="bottom"/>
            <w:gridSpan w:val="24"/>
          </w:tcPr>
          <w:p>
            <w:pPr>
              <w:spacing w:after="0" w:line="204" w:lineRule="exact"/>
              <w:rPr>
                <w:sz w:val="20"/>
                <w:szCs w:val="20"/>
                <w:color w:val="auto"/>
              </w:rPr>
            </w:pPr>
            <w:r>
              <w:rPr>
                <w:rFonts w:ascii="Times New Roman" w:cs="Times New Roman" w:eastAsia="Times New Roman" w:hAnsi="Times New Roman"/>
                <w:sz w:val="20"/>
                <w:szCs w:val="20"/>
                <w:color w:val="0000FF"/>
              </w:rPr>
              <w:t>(incorporated by reference to Exhibit 99.1 to the Registrant's Current Report on Form 8-K/A filed on</w:t>
            </w:r>
          </w:p>
        </w:tc>
      </w:tr>
      <w:tr>
        <w:trPr>
          <w:trHeight w:val="204"/>
        </w:trPr>
        <w:tc>
          <w:tcPr>
            <w:tcW w:w="1120" w:type="dxa"/>
            <w:vAlign w:val="bottom"/>
          </w:tcPr>
          <w:p>
            <w:pPr>
              <w:spacing w:after="0"/>
              <w:rPr>
                <w:sz w:val="17"/>
                <w:szCs w:val="17"/>
                <w:color w:val="auto"/>
              </w:rPr>
            </w:pPr>
          </w:p>
        </w:tc>
        <w:tc>
          <w:tcPr>
            <w:tcW w:w="3140" w:type="dxa"/>
            <w:vAlign w:val="bottom"/>
            <w:tcBorders>
              <w:top w:val="single" w:sz="8" w:color="0000FF"/>
              <w:bottom w:val="single" w:sz="8" w:color="0000FF"/>
            </w:tcBorders>
            <w:gridSpan w:val="4"/>
          </w:tcPr>
          <w:p>
            <w:pPr>
              <w:spacing w:after="0" w:line="204" w:lineRule="exact"/>
              <w:rPr>
                <w:sz w:val="20"/>
                <w:szCs w:val="20"/>
                <w:color w:val="auto"/>
              </w:rPr>
            </w:pPr>
            <w:r>
              <w:rPr>
                <w:rFonts w:ascii="Times New Roman" w:cs="Times New Roman" w:eastAsia="Times New Roman" w:hAnsi="Times New Roman"/>
                <w:sz w:val="20"/>
                <w:szCs w:val="20"/>
                <w:color w:val="0000FF"/>
                <w:w w:val="99"/>
              </w:rPr>
              <w:t>January 7, 2026 (File No. 001-40445)).</w:t>
            </w:r>
          </w:p>
        </w:tc>
        <w:tc>
          <w:tcPr>
            <w:tcW w:w="5280" w:type="dxa"/>
            <w:vAlign w:val="bottom"/>
            <w:tcBorders>
              <w:top w:val="single" w:sz="8" w:color="0000FF"/>
            </w:tcBorders>
            <w:gridSpan w:val="19"/>
          </w:tcPr>
          <w:p>
            <w:pPr>
              <w:spacing w:after="0"/>
              <w:rPr>
                <w:sz w:val="17"/>
                <w:szCs w:val="17"/>
                <w:color w:val="auto"/>
              </w:rPr>
            </w:pPr>
          </w:p>
        </w:tc>
        <w:tc>
          <w:tcPr>
            <w:tcW w:w="0" w:type="dxa"/>
            <w:vAlign w:val="bottom"/>
          </w:tcPr>
          <w:p>
            <w:pPr>
              <w:spacing w:after="0"/>
              <w:rPr>
                <w:sz w:val="17"/>
                <w:szCs w:val="17"/>
                <w:color w:val="auto"/>
              </w:rPr>
            </w:pPr>
          </w:p>
        </w:tc>
      </w:tr>
      <w:tr>
        <w:trPr>
          <w:trHeight w:val="417"/>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10.20</w:t>
            </w:r>
          </w:p>
        </w:tc>
        <w:tc>
          <w:tcPr>
            <w:tcW w:w="8420" w:type="dxa"/>
            <w:vAlign w:val="bottom"/>
            <w:tcBorders>
              <w:bottom w:val="single" w:sz="8" w:color="0000FF"/>
            </w:tcBorders>
            <w:gridSpan w:val="24"/>
          </w:tcPr>
          <w:p>
            <w:pPr>
              <w:spacing w:after="0"/>
              <w:rPr>
                <w:sz w:val="20"/>
                <w:szCs w:val="20"/>
                <w:color w:val="auto"/>
              </w:rPr>
            </w:pPr>
            <w:r>
              <w:rPr>
                <w:rFonts w:ascii="Times New Roman" w:cs="Times New Roman" w:eastAsia="Times New Roman" w:hAnsi="Times New Roman"/>
                <w:sz w:val="20"/>
                <w:szCs w:val="20"/>
                <w:color w:val="0000FF"/>
              </w:rPr>
              <w:t>Form of Voting Agreement, by and among Parent, the Registrant and the Supporting Shareholder</w:t>
            </w:r>
          </w:p>
        </w:tc>
      </w:tr>
      <w:tr>
        <w:trPr>
          <w:trHeight w:val="204"/>
        </w:trPr>
        <w:tc>
          <w:tcPr>
            <w:tcW w:w="1120" w:type="dxa"/>
            <w:vAlign w:val="bottom"/>
          </w:tcPr>
          <w:p>
            <w:pPr>
              <w:spacing w:after="0"/>
              <w:rPr>
                <w:sz w:val="17"/>
                <w:szCs w:val="17"/>
                <w:color w:val="auto"/>
              </w:rPr>
            </w:pPr>
          </w:p>
        </w:tc>
        <w:tc>
          <w:tcPr>
            <w:tcW w:w="8420" w:type="dxa"/>
            <w:vAlign w:val="bottom"/>
            <w:tcBorders>
              <w:bottom w:val="single" w:sz="8" w:color="0000FF"/>
            </w:tcBorders>
            <w:gridSpan w:val="24"/>
          </w:tcPr>
          <w:p>
            <w:pPr>
              <w:spacing w:after="0" w:line="204" w:lineRule="exact"/>
              <w:rPr>
                <w:sz w:val="20"/>
                <w:szCs w:val="20"/>
                <w:color w:val="auto"/>
              </w:rPr>
            </w:pPr>
            <w:r>
              <w:rPr>
                <w:rFonts w:ascii="Times New Roman" w:cs="Times New Roman" w:eastAsia="Times New Roman" w:hAnsi="Times New Roman"/>
                <w:sz w:val="20"/>
                <w:szCs w:val="20"/>
                <w:color w:val="0000FF"/>
              </w:rPr>
              <w:t>signatory thereto (incorporated by reference to Exhibit 10.1 to the Registrant’s Current Report on Form</w:t>
            </w:r>
          </w:p>
        </w:tc>
      </w:tr>
      <w:tr>
        <w:trPr>
          <w:trHeight w:val="204"/>
        </w:trPr>
        <w:tc>
          <w:tcPr>
            <w:tcW w:w="1120" w:type="dxa"/>
            <w:vAlign w:val="bottom"/>
          </w:tcPr>
          <w:p>
            <w:pPr>
              <w:spacing w:after="0"/>
              <w:rPr>
                <w:sz w:val="17"/>
                <w:szCs w:val="17"/>
                <w:color w:val="auto"/>
              </w:rPr>
            </w:pPr>
          </w:p>
        </w:tc>
        <w:tc>
          <w:tcPr>
            <w:tcW w:w="4100" w:type="dxa"/>
            <w:vAlign w:val="bottom"/>
            <w:tcBorders>
              <w:bottom w:val="single" w:sz="8" w:color="0000FF"/>
            </w:tcBorders>
            <w:gridSpan w:val="7"/>
          </w:tcPr>
          <w:p>
            <w:pPr>
              <w:spacing w:after="0" w:line="204" w:lineRule="exact"/>
              <w:rPr>
                <w:sz w:val="20"/>
                <w:szCs w:val="20"/>
                <w:color w:val="auto"/>
              </w:rPr>
            </w:pPr>
            <w:r>
              <w:rPr>
                <w:rFonts w:ascii="Times New Roman" w:cs="Times New Roman" w:eastAsia="Times New Roman" w:hAnsi="Times New Roman"/>
                <w:sz w:val="20"/>
                <w:szCs w:val="20"/>
                <w:color w:val="0000FF"/>
                <w:w w:val="99"/>
              </w:rPr>
              <w:t>8-K filed on March 31, 2026 (File No. 001-40445).</w:t>
            </w:r>
          </w:p>
        </w:tc>
        <w:tc>
          <w:tcPr>
            <w:tcW w:w="4320" w:type="dxa"/>
            <w:vAlign w:val="bottom"/>
            <w:gridSpan w:val="17"/>
          </w:tcPr>
          <w:p>
            <w:pPr>
              <w:spacing w:after="0"/>
              <w:rPr>
                <w:sz w:val="17"/>
                <w:szCs w:val="17"/>
                <w:color w:val="auto"/>
              </w:rPr>
            </w:pPr>
          </w:p>
        </w:tc>
      </w:tr>
      <w:tr>
        <w:trPr>
          <w:trHeight w:val="477"/>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19.1</w:t>
            </w:r>
          </w:p>
        </w:tc>
        <w:tc>
          <w:tcPr>
            <w:tcW w:w="8420" w:type="dxa"/>
            <w:vAlign w:val="bottom"/>
            <w:tcBorders>
              <w:bottom w:val="single" w:sz="8" w:color="0000FF"/>
            </w:tcBorders>
            <w:gridSpan w:val="24"/>
          </w:tcPr>
          <w:p>
            <w:pPr>
              <w:spacing w:after="0"/>
              <w:rPr>
                <w:sz w:val="20"/>
                <w:szCs w:val="20"/>
                <w:color w:val="auto"/>
              </w:rPr>
            </w:pPr>
            <w:r>
              <w:rPr>
                <w:rFonts w:ascii="Times New Roman" w:cs="Times New Roman" w:eastAsia="Times New Roman" w:hAnsi="Times New Roman"/>
                <w:sz w:val="20"/>
                <w:szCs w:val="20"/>
                <w:color w:val="0000FF"/>
              </w:rPr>
              <w:t>Insider Trading Policy (incorporated by reference to Exhibit 19.1 to the Registrant’s Annual Report on</w:t>
            </w:r>
          </w:p>
        </w:tc>
      </w:tr>
      <w:tr>
        <w:trPr>
          <w:trHeight w:val="204"/>
        </w:trPr>
        <w:tc>
          <w:tcPr>
            <w:tcW w:w="1120" w:type="dxa"/>
            <w:vAlign w:val="bottom"/>
          </w:tcPr>
          <w:p>
            <w:pPr>
              <w:spacing w:after="0"/>
              <w:rPr>
                <w:sz w:val="17"/>
                <w:szCs w:val="17"/>
                <w:color w:val="auto"/>
              </w:rPr>
            </w:pPr>
          </w:p>
        </w:tc>
        <w:tc>
          <w:tcPr>
            <w:tcW w:w="8420" w:type="dxa"/>
            <w:vAlign w:val="bottom"/>
            <w:gridSpan w:val="24"/>
          </w:tcPr>
          <w:p>
            <w:pPr>
              <w:spacing w:after="0" w:line="204" w:lineRule="exact"/>
              <w:rPr>
                <w:sz w:val="20"/>
                <w:szCs w:val="20"/>
                <w:color w:val="auto"/>
              </w:rPr>
            </w:pPr>
            <w:r>
              <w:rPr>
                <w:rFonts w:ascii="Times New Roman" w:cs="Times New Roman" w:eastAsia="Times New Roman" w:hAnsi="Times New Roman"/>
                <w:sz w:val="20"/>
                <w:szCs w:val="20"/>
                <w:color w:val="0000FF"/>
              </w:rPr>
              <w:t>Form 10-K filed on March 24, 2025 (File No. 001-40445)).</w:t>
            </w:r>
          </w:p>
        </w:tc>
      </w:tr>
      <w:tr>
        <w:trPr>
          <w:trHeight w:val="281"/>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21.1*</w:t>
            </w:r>
          </w:p>
        </w:tc>
        <w:tc>
          <w:tcPr>
            <w:tcW w:w="234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20"/>
                <w:szCs w:val="20"/>
                <w:color w:val="0000FF"/>
                <w:w w:val="98"/>
              </w:rPr>
              <w:t>Subsidiaries of the registrant.</w:t>
            </w:r>
          </w:p>
        </w:tc>
        <w:tc>
          <w:tcPr>
            <w:tcW w:w="2400" w:type="dxa"/>
            <w:vAlign w:val="bottom"/>
            <w:tcBorders>
              <w:top w:val="single" w:sz="8" w:color="0000FF"/>
            </w:tcBorders>
            <w:gridSpan w:val="7"/>
          </w:tcPr>
          <w:p>
            <w:pPr>
              <w:spacing w:after="0"/>
              <w:rPr>
                <w:sz w:val="24"/>
                <w:szCs w:val="24"/>
                <w:color w:val="auto"/>
              </w:rPr>
            </w:pPr>
          </w:p>
        </w:tc>
        <w:tc>
          <w:tcPr>
            <w:tcW w:w="3680" w:type="dxa"/>
            <w:vAlign w:val="bottom"/>
            <w:gridSpan w:val="15"/>
          </w:tcPr>
          <w:p>
            <w:pPr>
              <w:spacing w:after="0"/>
              <w:rPr>
                <w:sz w:val="24"/>
                <w:szCs w:val="24"/>
                <w:color w:val="auto"/>
              </w:rPr>
            </w:pPr>
          </w:p>
        </w:tc>
      </w:tr>
      <w:tr>
        <w:trPr>
          <w:trHeight w:val="340"/>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23.1*</w:t>
            </w:r>
          </w:p>
        </w:tc>
        <w:tc>
          <w:tcPr>
            <w:tcW w:w="574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20"/>
                <w:szCs w:val="20"/>
                <w:color w:val="0000FF"/>
                <w:w w:val="99"/>
              </w:rPr>
              <w:t>Consent of KPMG LLP, independent registered public accounting firm.</w:t>
            </w:r>
          </w:p>
        </w:tc>
        <w:tc>
          <w:tcPr>
            <w:tcW w:w="2680" w:type="dxa"/>
            <w:vAlign w:val="bottom"/>
            <w:gridSpan w:val="14"/>
          </w:tcPr>
          <w:p>
            <w:pPr>
              <w:spacing w:after="0"/>
              <w:rPr>
                <w:sz w:val="24"/>
                <w:szCs w:val="24"/>
                <w:color w:val="auto"/>
              </w:rPr>
            </w:pPr>
          </w:p>
        </w:tc>
      </w:tr>
      <w:tr>
        <w:trPr>
          <w:trHeight w:val="518"/>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24.1*</w:t>
            </w:r>
          </w:p>
        </w:tc>
        <w:tc>
          <w:tcPr>
            <w:tcW w:w="8420" w:type="dxa"/>
            <w:vAlign w:val="bottom"/>
            <w:gridSpan w:val="24"/>
          </w:tcPr>
          <w:p>
            <w:pPr>
              <w:spacing w:after="0"/>
              <w:rPr>
                <w:sz w:val="20"/>
                <w:szCs w:val="20"/>
                <w:color w:val="auto"/>
              </w:rPr>
            </w:pPr>
            <w:r>
              <w:rPr>
                <w:rFonts w:ascii="Times New Roman" w:cs="Times New Roman" w:eastAsia="Times New Roman" w:hAnsi="Times New Roman"/>
                <w:sz w:val="20"/>
                <w:szCs w:val="20"/>
                <w:color w:val="auto"/>
              </w:rPr>
              <w:t>Power of Attorney (included on signature page to this Annual Report on Form 10-K)</w:t>
            </w:r>
          </w:p>
        </w:tc>
      </w:tr>
      <w:tr>
        <w:trPr>
          <w:trHeight w:val="452"/>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31.1*</w:t>
            </w:r>
          </w:p>
        </w:tc>
        <w:tc>
          <w:tcPr>
            <w:tcW w:w="8420" w:type="dxa"/>
            <w:vAlign w:val="bottom"/>
            <w:tcBorders>
              <w:bottom w:val="single" w:sz="8" w:color="0000FF"/>
            </w:tcBorders>
            <w:gridSpan w:val="24"/>
          </w:tcPr>
          <w:p>
            <w:pPr>
              <w:spacing w:after="0"/>
              <w:rPr>
                <w:sz w:val="20"/>
                <w:szCs w:val="20"/>
                <w:color w:val="auto"/>
              </w:rPr>
            </w:pPr>
            <w:r>
              <w:rPr>
                <w:rFonts w:ascii="Times New Roman" w:cs="Times New Roman" w:eastAsia="Times New Roman" w:hAnsi="Times New Roman"/>
                <w:sz w:val="20"/>
                <w:szCs w:val="20"/>
                <w:color w:val="0000FF"/>
              </w:rPr>
              <w:t>Certification of Principal Executive Officer Pursuant to Rules 13a-14(a) and 15d-14(a) under the</w:t>
            </w:r>
          </w:p>
        </w:tc>
      </w:tr>
      <w:tr>
        <w:trPr>
          <w:trHeight w:val="220"/>
        </w:trPr>
        <w:tc>
          <w:tcPr>
            <w:tcW w:w="1120" w:type="dxa"/>
            <w:vAlign w:val="bottom"/>
          </w:tcPr>
          <w:p>
            <w:pPr>
              <w:spacing w:after="0"/>
              <w:rPr>
                <w:sz w:val="19"/>
                <w:szCs w:val="19"/>
                <w:color w:val="auto"/>
              </w:rPr>
            </w:pPr>
          </w:p>
        </w:tc>
        <w:tc>
          <w:tcPr>
            <w:tcW w:w="8420" w:type="dxa"/>
            <w:vAlign w:val="bottom"/>
            <w:tcBorders>
              <w:bottom w:val="single" w:sz="8" w:color="0000FF"/>
            </w:tcBorders>
            <w:gridSpan w:val="24"/>
          </w:tcPr>
          <w:p>
            <w:pPr>
              <w:spacing w:after="0" w:line="220" w:lineRule="exact"/>
              <w:rPr>
                <w:sz w:val="20"/>
                <w:szCs w:val="20"/>
                <w:color w:val="auto"/>
              </w:rPr>
            </w:pPr>
            <w:r>
              <w:rPr>
                <w:rFonts w:ascii="Times New Roman" w:cs="Times New Roman" w:eastAsia="Times New Roman" w:hAnsi="Times New Roman"/>
                <w:sz w:val="20"/>
                <w:szCs w:val="20"/>
                <w:color w:val="0000FF"/>
              </w:rPr>
              <w:t>Securities Exchange Act of 1934, as Adopted Pursuant to Section 302 of the Sarbanes-Oxley Act of</w:t>
            </w:r>
          </w:p>
        </w:tc>
      </w:tr>
      <w:tr>
        <w:trPr>
          <w:trHeight w:val="220"/>
        </w:trPr>
        <w:tc>
          <w:tcPr>
            <w:tcW w:w="1120" w:type="dxa"/>
            <w:vAlign w:val="bottom"/>
          </w:tcPr>
          <w:p>
            <w:pPr>
              <w:spacing w:after="0"/>
              <w:rPr>
                <w:sz w:val="19"/>
                <w:szCs w:val="19"/>
                <w:color w:val="auto"/>
              </w:rPr>
            </w:pPr>
          </w:p>
        </w:tc>
        <w:tc>
          <w:tcPr>
            <w:tcW w:w="440" w:type="dxa"/>
            <w:vAlign w:val="bottom"/>
            <w:tcBorders>
              <w:bottom w:val="single" w:sz="8" w:color="0000FF"/>
            </w:tcBorders>
          </w:tcPr>
          <w:p>
            <w:pPr>
              <w:spacing w:after="0" w:line="220" w:lineRule="exact"/>
              <w:rPr>
                <w:sz w:val="20"/>
                <w:szCs w:val="20"/>
                <w:color w:val="auto"/>
              </w:rPr>
            </w:pPr>
            <w:r>
              <w:rPr>
                <w:rFonts w:ascii="Times New Roman" w:cs="Times New Roman" w:eastAsia="Times New Roman" w:hAnsi="Times New Roman"/>
                <w:sz w:val="20"/>
                <w:szCs w:val="20"/>
                <w:color w:val="0000FF"/>
                <w:w w:val="93"/>
              </w:rPr>
              <w:t>2002.</w:t>
            </w:r>
          </w:p>
        </w:tc>
        <w:tc>
          <w:tcPr>
            <w:tcW w:w="19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9"/>
                <w:szCs w:val="19"/>
                <w:color w:val="auto"/>
              </w:rPr>
            </w:pPr>
          </w:p>
        </w:tc>
      </w:tr>
    </w:tbl>
    <w:p>
      <w:pPr>
        <w:spacing w:after="0" w:line="200" w:lineRule="exact"/>
        <w:rPr>
          <w:sz w:val="20"/>
          <w:szCs w:val="20"/>
          <w:color w:val="auto"/>
        </w:rPr>
      </w:pPr>
    </w:p>
    <w:p>
      <w:pPr>
        <w:sectPr>
          <w:pgSz w:w="12240" w:h="15840" w:orient="portrait"/>
          <w:cols w:equalWidth="0" w:num="1">
            <w:col w:w="9620"/>
          </w:cols>
          <w:pgMar w:left="1180" w:top="658"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160</w:t>
      </w:r>
    </w:p>
    <w:p>
      <w:pPr>
        <w:sectPr>
          <w:pgSz w:w="12240" w:h="15840" w:orient="portrait"/>
          <w:cols w:equalWidth="0" w:num="1">
            <w:col w:w="9620"/>
          </w:cols>
          <w:pgMar w:left="1180" w:top="658" w:right="1440" w:bottom="0" w:gutter="0" w:footer="0" w:header="0"/>
          <w:type w:val="continuous"/>
        </w:sectPr>
      </w:pPr>
    </w:p>
    <w:bookmarkStart w:id="160" w:name="page161"/>
    <w:bookmarkEnd w:id="160"/>
    <w:p>
      <w:pPr>
        <w:ind w:left="10"/>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5" w:lineRule="exact"/>
        <w:rPr>
          <w:sz w:val="20"/>
          <w:szCs w:val="20"/>
          <w:color w:val="auto"/>
        </w:rPr>
      </w:pPr>
    </w:p>
    <w:p>
      <w:pPr>
        <w:jc w:val="both"/>
        <w:ind w:left="1170" w:right="380" w:hanging="1109"/>
        <w:spacing w:after="0" w:line="254" w:lineRule="auto"/>
        <w:tabs>
          <w:tab w:leader="none" w:pos="1150" w:val="left"/>
        </w:tabs>
        <w:rPr>
          <w:sz w:val="20"/>
          <w:szCs w:val="20"/>
          <w:color w:val="auto"/>
        </w:rPr>
      </w:pPr>
      <w:r>
        <w:rPr>
          <w:rFonts w:ascii="Times New Roman" w:cs="Times New Roman" w:eastAsia="Times New Roman" w:hAnsi="Times New Roman"/>
          <w:sz w:val="20"/>
          <w:szCs w:val="20"/>
          <w:color w:val="auto"/>
        </w:rPr>
        <w:t>31.2*</w:t>
      </w:r>
      <w:r>
        <w:rPr>
          <w:sz w:val="20"/>
          <w:szCs w:val="20"/>
          <w:color w:val="auto"/>
        </w:rPr>
        <w:tab/>
      </w:r>
      <w:r>
        <w:rPr>
          <w:rFonts w:ascii="Times New Roman" w:cs="Times New Roman" w:eastAsia="Times New Roman" w:hAnsi="Times New Roman"/>
          <w:sz w:val="20"/>
          <w:szCs w:val="20"/>
          <w:u w:val="single" w:color="auto"/>
          <w:color w:val="0000FF"/>
        </w:rPr>
        <w:t>Certification of Principal Financial Officer Pursuant to Rules 13a-14(a) and 15d-14(a) under the Securities Exchange Act of 1934, as Adopted Pursuant to Section 302 of the Sarbanes-Oxley Act of 2002.</w:t>
      </w:r>
    </w:p>
    <w:p>
      <w:pPr>
        <w:spacing w:after="0" w:line="240" w:lineRule="exact"/>
        <w:rPr>
          <w:sz w:val="20"/>
          <w:szCs w:val="20"/>
          <w:color w:val="auto"/>
        </w:rPr>
      </w:pPr>
    </w:p>
    <w:tbl>
      <w:tblPr>
        <w:tblLayout w:type="fixed"/>
        <w:tblInd w:w="50" w:type="dxa"/>
        <w:tblCellMar>
          <w:top w:w="0" w:type="dxa"/>
          <w:left w:w="0" w:type="dxa"/>
          <w:bottom w:w="0" w:type="dxa"/>
          <w:right w:w="0" w:type="dxa"/>
        </w:tblCellMar>
      </w:tblPr>
      <w:tr>
        <w:trPr>
          <w:trHeight w:val="230"/>
        </w:trPr>
        <w:tc>
          <w:tcPr>
            <w:tcW w:w="1120" w:type="dxa"/>
            <w:vAlign w:val="bottom"/>
          </w:tcPr>
          <w:p>
            <w:pPr>
              <w:jc w:val="right"/>
              <w:ind w:right="460"/>
              <w:spacing w:after="0"/>
              <w:rPr>
                <w:sz w:val="20"/>
                <w:szCs w:val="20"/>
                <w:color w:val="auto"/>
              </w:rPr>
            </w:pPr>
            <w:r>
              <w:rPr>
                <w:rFonts w:ascii="Times New Roman" w:cs="Times New Roman" w:eastAsia="Times New Roman" w:hAnsi="Times New Roman"/>
                <w:sz w:val="20"/>
                <w:szCs w:val="20"/>
                <w:color w:val="auto"/>
                <w:w w:val="98"/>
              </w:rPr>
              <w:t>32.1**</w:t>
            </w:r>
          </w:p>
        </w:tc>
        <w:tc>
          <w:tcPr>
            <w:tcW w:w="84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0"/>
                <w:szCs w:val="20"/>
                <w:color w:val="0000FF"/>
              </w:rPr>
              <w:t>Certification of Principal Executive Officer Pursuant to 18 U.S.C. Section 1350, as Adopted Pursuant to</w:t>
            </w:r>
          </w:p>
        </w:tc>
        <w:tc>
          <w:tcPr>
            <w:tcW w:w="20" w:type="dxa"/>
            <w:vAlign w:val="bottom"/>
          </w:tcPr>
          <w:p>
            <w:pPr>
              <w:spacing w:after="0"/>
              <w:rPr>
                <w:sz w:val="19"/>
                <w:szCs w:val="19"/>
                <w:color w:val="auto"/>
              </w:rPr>
            </w:pPr>
          </w:p>
        </w:tc>
      </w:tr>
      <w:tr>
        <w:trPr>
          <w:trHeight w:val="220"/>
        </w:trPr>
        <w:tc>
          <w:tcPr>
            <w:tcW w:w="1120" w:type="dxa"/>
            <w:vAlign w:val="bottom"/>
          </w:tcPr>
          <w:p>
            <w:pPr>
              <w:spacing w:after="0"/>
              <w:rPr>
                <w:sz w:val="19"/>
                <w:szCs w:val="19"/>
                <w:color w:val="auto"/>
              </w:rPr>
            </w:pPr>
          </w:p>
        </w:tc>
        <w:tc>
          <w:tcPr>
            <w:tcW w:w="3840" w:type="dxa"/>
            <w:vAlign w:val="bottom"/>
            <w:tcBorders>
              <w:bottom w:val="single" w:sz="8" w:color="0000FF"/>
            </w:tcBorders>
          </w:tcPr>
          <w:p>
            <w:pPr>
              <w:spacing w:after="0" w:line="220" w:lineRule="exact"/>
              <w:rPr>
                <w:sz w:val="20"/>
                <w:szCs w:val="20"/>
                <w:color w:val="auto"/>
              </w:rPr>
            </w:pPr>
            <w:r>
              <w:rPr>
                <w:rFonts w:ascii="Times New Roman" w:cs="Times New Roman" w:eastAsia="Times New Roman" w:hAnsi="Times New Roman"/>
                <w:sz w:val="20"/>
                <w:szCs w:val="20"/>
                <w:color w:val="0000FF"/>
                <w:w w:val="99"/>
              </w:rPr>
              <w:t>Section 906 of the Sarbanes-Oxley Act of 2002.</w:t>
            </w:r>
          </w:p>
        </w:tc>
        <w:tc>
          <w:tcPr>
            <w:tcW w:w="45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75"/>
        </w:trPr>
        <w:tc>
          <w:tcPr>
            <w:tcW w:w="1120" w:type="dxa"/>
            <w:vAlign w:val="bottom"/>
          </w:tcPr>
          <w:p>
            <w:pPr>
              <w:jc w:val="right"/>
              <w:ind w:right="460"/>
              <w:spacing w:after="0"/>
              <w:rPr>
                <w:sz w:val="20"/>
                <w:szCs w:val="20"/>
                <w:color w:val="auto"/>
              </w:rPr>
            </w:pPr>
            <w:r>
              <w:rPr>
                <w:rFonts w:ascii="Times New Roman" w:cs="Times New Roman" w:eastAsia="Times New Roman" w:hAnsi="Times New Roman"/>
                <w:sz w:val="20"/>
                <w:szCs w:val="20"/>
                <w:color w:val="auto"/>
                <w:w w:val="98"/>
              </w:rPr>
              <w:t>32.2**</w:t>
            </w:r>
          </w:p>
        </w:tc>
        <w:tc>
          <w:tcPr>
            <w:tcW w:w="84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0"/>
                <w:szCs w:val="20"/>
                <w:color w:val="0000FF"/>
              </w:rPr>
              <w:t>Certification of Principal Financial Officer Pursuant to 18 U.S.C. Section 1350, as Adopted Pursuant to</w:t>
            </w:r>
          </w:p>
        </w:tc>
        <w:tc>
          <w:tcPr>
            <w:tcW w:w="20" w:type="dxa"/>
            <w:vAlign w:val="bottom"/>
            <w:tcBorders>
              <w:bottom w:val="single" w:sz="8" w:color="0000FF"/>
            </w:tcBorders>
          </w:tcPr>
          <w:p>
            <w:pPr>
              <w:spacing w:after="0"/>
              <w:rPr>
                <w:sz w:val="24"/>
                <w:szCs w:val="24"/>
                <w:color w:val="auto"/>
              </w:rPr>
            </w:pPr>
          </w:p>
        </w:tc>
      </w:tr>
      <w:tr>
        <w:trPr>
          <w:trHeight w:val="220"/>
        </w:trPr>
        <w:tc>
          <w:tcPr>
            <w:tcW w:w="1120" w:type="dxa"/>
            <w:vAlign w:val="bottom"/>
          </w:tcPr>
          <w:p>
            <w:pPr>
              <w:spacing w:after="0"/>
              <w:rPr>
                <w:sz w:val="19"/>
                <w:szCs w:val="19"/>
                <w:color w:val="auto"/>
              </w:rPr>
            </w:pPr>
          </w:p>
        </w:tc>
        <w:tc>
          <w:tcPr>
            <w:tcW w:w="3840" w:type="dxa"/>
            <w:vAlign w:val="bottom"/>
            <w:tcBorders>
              <w:bottom w:val="single" w:sz="8" w:color="0000FF"/>
            </w:tcBorders>
          </w:tcPr>
          <w:p>
            <w:pPr>
              <w:spacing w:after="0" w:line="220" w:lineRule="exact"/>
              <w:rPr>
                <w:sz w:val="20"/>
                <w:szCs w:val="20"/>
                <w:color w:val="auto"/>
              </w:rPr>
            </w:pPr>
            <w:r>
              <w:rPr>
                <w:rFonts w:ascii="Times New Roman" w:cs="Times New Roman" w:eastAsia="Times New Roman" w:hAnsi="Times New Roman"/>
                <w:sz w:val="20"/>
                <w:szCs w:val="20"/>
                <w:color w:val="0000FF"/>
                <w:w w:val="99"/>
              </w:rPr>
              <w:t>Section 906 of the Sarbanes-Oxley Act of 2002.</w:t>
            </w:r>
          </w:p>
        </w:tc>
        <w:tc>
          <w:tcPr>
            <w:tcW w:w="4560" w:type="dxa"/>
            <w:vAlign w:val="bottom"/>
          </w:tcPr>
          <w:p>
            <w:pPr>
              <w:spacing w:after="0"/>
              <w:rPr>
                <w:sz w:val="19"/>
                <w:szCs w:val="19"/>
                <w:color w:val="auto"/>
              </w:rPr>
            </w:pPr>
          </w:p>
        </w:tc>
        <w:tc>
          <w:tcPr>
            <w:tcW w:w="20" w:type="dxa"/>
            <w:vAlign w:val="bottom"/>
          </w:tcPr>
          <w:p>
            <w:pPr>
              <w:spacing w:after="0"/>
              <w:rPr>
                <w:sz w:val="19"/>
                <w:szCs w:val="19"/>
                <w:color w:val="auto"/>
              </w:rPr>
            </w:pPr>
          </w:p>
        </w:tc>
      </w:tr>
    </w:tbl>
    <w:p>
      <w:pPr>
        <w:spacing w:after="0" w:line="268" w:lineRule="exact"/>
        <w:rPr>
          <w:sz w:val="20"/>
          <w:szCs w:val="20"/>
          <w:color w:val="auto"/>
        </w:rPr>
      </w:pPr>
    </w:p>
    <w:p>
      <w:pPr>
        <w:ind w:left="1170" w:right="380" w:hanging="1117"/>
        <w:spacing w:after="0" w:line="265" w:lineRule="auto"/>
        <w:tabs>
          <w:tab w:leader="none" w:pos="1170"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0000FF"/>
        </w:rPr>
        <w:t>Compensation Recovery Policy (incorporated by reference to Exhibit 97 to the Registrant’s Annual Report on Form 10-K filed on March 28, 2024 (File No. 001-40445))</w:t>
      </w:r>
    </w:p>
    <w:p>
      <w:pPr>
        <w:spacing w:after="0" w:line="17" w:lineRule="exact"/>
        <w:rPr>
          <w:sz w:val="20"/>
          <w:szCs w:val="20"/>
          <w:color w:val="auto"/>
        </w:rPr>
      </w:pPr>
    </w:p>
    <w:tbl>
      <w:tblPr>
        <w:tblLayout w:type="fixed"/>
        <w:tblInd w:w="50" w:type="dxa"/>
        <w:tblCellMar>
          <w:top w:w="0" w:type="dxa"/>
          <w:left w:w="0" w:type="dxa"/>
          <w:bottom w:w="0" w:type="dxa"/>
          <w:right w:w="0" w:type="dxa"/>
        </w:tblCellMar>
      </w:tblPr>
      <w:tr>
        <w:trPr>
          <w:trHeight w:val="260"/>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auto"/>
              </w:rPr>
              <w:t>101 INS</w:t>
            </w:r>
          </w:p>
        </w:tc>
        <w:tc>
          <w:tcPr>
            <w:tcW w:w="50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XBRL Instance Document.</w:t>
            </w:r>
          </w:p>
        </w:tc>
      </w:tr>
      <w:tr>
        <w:trPr>
          <w:trHeight w:val="705"/>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auto"/>
              </w:rPr>
              <w:t>101 SCH</w:t>
            </w:r>
          </w:p>
        </w:tc>
        <w:tc>
          <w:tcPr>
            <w:tcW w:w="50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XBRL Taxonomy Extension Schema Document.</w:t>
            </w:r>
          </w:p>
        </w:tc>
      </w:tr>
      <w:tr>
        <w:trPr>
          <w:trHeight w:val="525"/>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auto"/>
              </w:rPr>
              <w:t>101 CAL</w:t>
            </w:r>
          </w:p>
        </w:tc>
        <w:tc>
          <w:tcPr>
            <w:tcW w:w="50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XBRL Taxonomy Extension Calculation Document.</w:t>
            </w:r>
          </w:p>
        </w:tc>
      </w:tr>
      <w:tr>
        <w:trPr>
          <w:trHeight w:val="465"/>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auto"/>
              </w:rPr>
              <w:t>101 DEF</w:t>
            </w:r>
          </w:p>
        </w:tc>
        <w:tc>
          <w:tcPr>
            <w:tcW w:w="5060" w:type="dxa"/>
            <w:vAlign w:val="bottom"/>
          </w:tcPr>
          <w:p>
            <w:pPr>
              <w:ind w:left="180"/>
              <w:spacing w:after="0"/>
              <w:rPr>
                <w:sz w:val="20"/>
                <w:szCs w:val="20"/>
                <w:color w:val="auto"/>
              </w:rPr>
            </w:pPr>
            <w:r>
              <w:rPr>
                <w:rFonts w:ascii="Times New Roman" w:cs="Times New Roman" w:eastAsia="Times New Roman" w:hAnsi="Times New Roman"/>
                <w:sz w:val="20"/>
                <w:szCs w:val="20"/>
                <w:color w:val="auto"/>
                <w:w w:val="99"/>
              </w:rPr>
              <w:t>XBRL Taxonomy Extension Definition Linkbase Document.</w:t>
            </w:r>
          </w:p>
        </w:tc>
      </w:tr>
      <w:tr>
        <w:trPr>
          <w:trHeight w:val="465"/>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auto"/>
              </w:rPr>
              <w:t>101 LAB</w:t>
            </w:r>
          </w:p>
        </w:tc>
        <w:tc>
          <w:tcPr>
            <w:tcW w:w="50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XBRL Taxonomy Extension Labels Linkbase Document</w:t>
            </w:r>
          </w:p>
        </w:tc>
      </w:tr>
      <w:tr>
        <w:trPr>
          <w:trHeight w:val="465"/>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auto"/>
              </w:rPr>
              <w:t>101 PRE</w:t>
            </w:r>
          </w:p>
        </w:tc>
        <w:tc>
          <w:tcPr>
            <w:tcW w:w="50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XBRL Taxonomy Extension Presentation Link Document</w:t>
            </w:r>
          </w:p>
        </w:tc>
      </w:tr>
    </w:tbl>
    <w:p>
      <w:pPr>
        <w:spacing w:after="0" w:line="205" w:lineRule="exact"/>
        <w:rPr>
          <w:sz w:val="20"/>
          <w:szCs w:val="20"/>
          <w:color w:val="auto"/>
        </w:rPr>
      </w:pPr>
    </w:p>
    <w:p>
      <w:pPr>
        <w:ind w:left="1170" w:right="380" w:hanging="1117"/>
        <w:spacing w:after="0" w:line="265" w:lineRule="auto"/>
        <w:tabs>
          <w:tab w:leader="none" w:pos="1170"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Cover Page Interactive Data File (formatted as inline XBRL with applicable taxonomy extension information contained in Exhibits 101.)</w:t>
      </w:r>
    </w:p>
    <w:p>
      <w:pPr>
        <w:spacing w:after="0" w:line="305"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______________</w:t>
      </w:r>
    </w:p>
    <w:p>
      <w:pPr>
        <w:spacing w:after="0" w:line="130" w:lineRule="exact"/>
        <w:rPr>
          <w:sz w:val="20"/>
          <w:szCs w:val="20"/>
          <w:color w:val="auto"/>
        </w:rPr>
      </w:pPr>
    </w:p>
    <w:p>
      <w:pPr>
        <w:ind w:left="370" w:right="380" w:hanging="370"/>
        <w:spacing w:after="0" w:line="281" w:lineRule="auto"/>
        <w:tabs>
          <w:tab w:leader="none" w:pos="370"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Schedules omitted pursuant to Item 601(a)(5) of Regulation S-K. The Company agrees to furnish supplementally a copy of any omitted schedule to the SEC upon request.</w:t>
      </w:r>
    </w:p>
    <w:p>
      <w:pPr>
        <w:spacing w:after="0" w:line="61" w:lineRule="exact"/>
        <w:rPr>
          <w:sz w:val="20"/>
          <w:szCs w:val="20"/>
          <w:color w:val="auto"/>
        </w:rPr>
      </w:pPr>
    </w:p>
    <w:p>
      <w:pPr>
        <w:ind w:left="370" w:hanging="370"/>
        <w:spacing w:after="0"/>
        <w:tabs>
          <w:tab w:leader="none" w:pos="370"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Filed herewith</w:t>
      </w:r>
    </w:p>
    <w:p>
      <w:pPr>
        <w:spacing w:after="0" w:line="130" w:lineRule="exact"/>
        <w:rPr>
          <w:sz w:val="20"/>
          <w:szCs w:val="20"/>
          <w:color w:val="auto"/>
        </w:rPr>
      </w:pPr>
    </w:p>
    <w:p>
      <w:pPr>
        <w:jc w:val="both"/>
        <w:ind w:left="370" w:hanging="370"/>
        <w:spacing w:after="0" w:line="260" w:lineRule="auto"/>
        <w:tabs>
          <w:tab w:leader="none" w:pos="370"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certification will not be deemed “filed” for purposes of Section 18 of the Securities Exchange Act of 1934, as amended (the “Exchange Act”), or otherwise subject to the liability of that section. Such certification will not be deemed to be incorporated by reference into any filing under the Securities Act of 1933, as amended, or the Exchange Act, except to the extent specifically incorporated by reference into such filing.</w:t>
      </w:r>
    </w:p>
    <w:p>
      <w:pPr>
        <w:spacing w:after="0" w:line="83" w:lineRule="exact"/>
        <w:rPr>
          <w:sz w:val="20"/>
          <w:szCs w:val="20"/>
          <w:color w:val="auto"/>
        </w:rPr>
      </w:pPr>
    </w:p>
    <w:p>
      <w:pPr>
        <w:ind w:left="370" w:hanging="370"/>
        <w:spacing w:after="0"/>
        <w:tabs>
          <w:tab w:leader="none" w:pos="370"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Portions of this exhibit (indicated by “[***]”) have been omitted pursuant to Item 601(b)(10) of Regulation S-K.</w:t>
      </w:r>
    </w:p>
    <w:p>
      <w:pPr>
        <w:spacing w:after="0" w:line="130" w:lineRule="exact"/>
        <w:rPr>
          <w:rFonts w:ascii="Times New Roman" w:cs="Times New Roman" w:eastAsia="Times New Roman" w:hAnsi="Times New Roman"/>
          <w:sz w:val="20"/>
          <w:szCs w:val="20"/>
          <w:color w:val="auto"/>
        </w:rPr>
      </w:pPr>
    </w:p>
    <w:p>
      <w:pPr>
        <w:ind w:left="1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Indicates a management contract or any compensatory plan, contract or arrangement.</w:t>
      </w:r>
    </w:p>
    <w:p>
      <w:pPr>
        <w:spacing w:after="0" w:line="366" w:lineRule="exact"/>
        <w:rPr>
          <w:sz w:val="20"/>
          <w:szCs w:val="20"/>
          <w:color w:val="auto"/>
        </w:rPr>
      </w:pPr>
    </w:p>
    <w:p>
      <w:pPr>
        <w:ind w:left="450" w:hanging="450"/>
        <w:spacing w:after="0"/>
        <w:tabs>
          <w:tab w:leader="none" w:pos="450" w:val="left"/>
        </w:tabs>
        <w:numPr>
          <w:ilvl w:val="0"/>
          <w:numId w:val="84"/>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Financial Statements:</w:t>
      </w:r>
    </w:p>
    <w:p>
      <w:pPr>
        <w:spacing w:after="0" w:line="133" w:lineRule="exact"/>
        <w:rPr>
          <w:rFonts w:ascii="Times New Roman" w:cs="Times New Roman" w:eastAsia="Times New Roman" w:hAnsi="Times New Roman"/>
          <w:sz w:val="20"/>
          <w:szCs w:val="20"/>
          <w:b w:val="1"/>
          <w:bCs w:val="1"/>
          <w:i w:val="1"/>
          <w:iCs w:val="1"/>
          <w:color w:val="auto"/>
        </w:rPr>
      </w:pPr>
    </w:p>
    <w:p>
      <w:pPr>
        <w:ind w:left="450"/>
        <w:spacing w:after="0"/>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color w:val="auto"/>
        </w:rPr>
        <w:t>The financial statements of the Registrant are included in Item 8 of this Annual Report on Form 10-K.</w:t>
      </w:r>
    </w:p>
    <w:p>
      <w:pPr>
        <w:spacing w:after="0" w:line="246" w:lineRule="exact"/>
        <w:rPr>
          <w:rFonts w:ascii="Times New Roman" w:cs="Times New Roman" w:eastAsia="Times New Roman" w:hAnsi="Times New Roman"/>
          <w:sz w:val="20"/>
          <w:szCs w:val="20"/>
          <w:b w:val="1"/>
          <w:bCs w:val="1"/>
          <w:i w:val="1"/>
          <w:iCs w:val="1"/>
          <w:color w:val="auto"/>
        </w:rPr>
      </w:pPr>
    </w:p>
    <w:p>
      <w:pPr>
        <w:ind w:left="370" w:hanging="370"/>
        <w:spacing w:after="0"/>
        <w:tabs>
          <w:tab w:leader="none" w:pos="370"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Financial Statements Schedules:</w:t>
      </w:r>
    </w:p>
    <w:p>
      <w:pPr>
        <w:spacing w:after="0" w:line="134" w:lineRule="exact"/>
        <w:rPr>
          <w:sz w:val="20"/>
          <w:szCs w:val="20"/>
          <w:color w:val="auto"/>
        </w:rPr>
      </w:pPr>
    </w:p>
    <w:p>
      <w:pPr>
        <w:ind w:left="10" w:right="20" w:firstLine="450"/>
        <w:spacing w:after="0" w:line="281" w:lineRule="auto"/>
        <w:rPr>
          <w:sz w:val="20"/>
          <w:szCs w:val="20"/>
          <w:color w:val="auto"/>
        </w:rPr>
      </w:pPr>
      <w:r>
        <w:rPr>
          <w:rFonts w:ascii="Times New Roman" w:cs="Times New Roman" w:eastAsia="Times New Roman" w:hAnsi="Times New Roman"/>
          <w:sz w:val="20"/>
          <w:szCs w:val="20"/>
          <w:color w:val="auto"/>
        </w:rPr>
        <w:t>Schedules have been omitted because the information required to be set forth therein is not applicable or is shown in the financial statements or notes thereto.</w:t>
      </w:r>
    </w:p>
    <w:p>
      <w:pPr>
        <w:spacing w:after="0" w:line="29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Item 16. Form 10-K Summary</w:t>
      </w:r>
    </w:p>
    <w:p>
      <w:pPr>
        <w:spacing w:after="0" w:line="37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None.</w:t>
      </w:r>
    </w:p>
    <w:p>
      <w:pPr>
        <w:sectPr>
          <w:pgSz w:w="12240" w:h="15840" w:orient="portrait"/>
          <w:cols w:equalWidth="0" w:num="1">
            <w:col w:w="9910"/>
          </w:cols>
          <w:pgMar w:left="1170" w:top="65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color w:val="auto"/>
        </w:rPr>
        <w:t>161</w:t>
      </w:r>
    </w:p>
    <w:p>
      <w:pPr>
        <w:sectPr>
          <w:pgSz w:w="12240" w:h="15840" w:orient="portrait"/>
          <w:cols w:equalWidth="0" w:num="1">
            <w:col w:w="9910"/>
          </w:cols>
          <w:pgMar w:left="1170" w:top="658" w:right="1160" w:bottom="0" w:gutter="0" w:footer="0" w:header="0"/>
          <w:type w:val="continuous"/>
        </w:sectPr>
      </w:pPr>
    </w:p>
    <w:bookmarkStart w:id="161" w:name="page162"/>
    <w:bookmarkEnd w:id="161"/>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jc w:val="center"/>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111" w:lineRule="exact"/>
        <w:rPr>
          <w:sz w:val="20"/>
          <w:szCs w:val="20"/>
          <w:color w:val="auto"/>
        </w:rPr>
      </w:pPr>
    </w:p>
    <w:p>
      <w:pPr>
        <w:ind w:firstLine="720"/>
        <w:spacing w:after="0" w:line="281"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thereunto duly authorized.</w:t>
      </w:r>
    </w:p>
    <w:p>
      <w:pPr>
        <w:spacing w:after="0" w:line="227"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0"/>
          <w:szCs w:val="20"/>
          <w:b w:val="1"/>
          <w:bCs w:val="1"/>
          <w:color w:val="auto"/>
        </w:rPr>
        <w:t>CENTESSA PHARMACEUTICALS PLC</w:t>
      </w:r>
    </w:p>
    <w:p>
      <w:pPr>
        <w:spacing w:after="0" w:line="302" w:lineRule="exact"/>
        <w:rPr>
          <w:sz w:val="20"/>
          <w:szCs w:val="20"/>
          <w:color w:val="auto"/>
        </w:rPr>
      </w:pPr>
    </w:p>
    <w:p>
      <w:pPr>
        <w:ind w:left="40"/>
        <w:spacing w:after="0"/>
        <w:tabs>
          <w:tab w:leader="none" w:pos="4760" w:val="left"/>
        </w:tabs>
        <w:rPr>
          <w:sz w:val="20"/>
          <w:szCs w:val="20"/>
          <w:color w:val="auto"/>
        </w:rPr>
      </w:pPr>
      <w:r>
        <w:rPr>
          <w:rFonts w:ascii="Times New Roman" w:cs="Times New Roman" w:eastAsia="Times New Roman" w:hAnsi="Times New Roman"/>
          <w:sz w:val="20"/>
          <w:szCs w:val="20"/>
          <w:color w:val="auto"/>
        </w:rPr>
        <w:t>Date: March 31, 2026</w:t>
      </w:r>
      <w:r>
        <w:rPr>
          <w:sz w:val="20"/>
          <w:szCs w:val="20"/>
          <w:color w:val="auto"/>
        </w:rPr>
        <w:tab/>
      </w:r>
      <w:r>
        <w:rPr>
          <w:rFonts w:ascii="Times New Roman" w:cs="Times New Roman" w:eastAsia="Times New Roman" w:hAnsi="Times New Roman"/>
          <w:sz w:val="20"/>
          <w:szCs w:val="20"/>
          <w:color w:val="auto"/>
        </w:rPr>
        <w:t>By: /s/ Mario Alberto Accardi, Ph.D.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3260725</wp:posOffset>
                </wp:positionH>
                <wp:positionV relativeFrom="paragraph">
                  <wp:posOffset>40640</wp:posOffset>
                </wp:positionV>
                <wp:extent cx="3009900" cy="0"/>
                <wp:wrapNone/>
                <wp:docPr id="47" name="Shape 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0099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47" o:spid="_x0000_s10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6.75pt,3.2pt" to="493.75pt,3.2pt" o:allowincell="f" strokecolor="#000000" strokeweight="1pt"/>
            </w:pict>
          </mc:Fallback>
        </mc:AlternateContent>
      </w:r>
    </w:p>
    <w:p>
      <w:pPr>
        <w:spacing w:after="0" w:line="35"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20"/>
          <w:szCs w:val="20"/>
          <w:color w:val="auto"/>
        </w:rPr>
        <w:t>Name: Mario Alberto Accardi, Ph.D.</w:t>
      </w:r>
    </w:p>
    <w:p>
      <w:pPr>
        <w:spacing w:after="0" w:line="51"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20"/>
          <w:szCs w:val="20"/>
          <w:color w:val="auto"/>
        </w:rPr>
        <w:t xml:space="preserve">Title: </w:t>
      </w:r>
      <w:r>
        <w:rPr>
          <w:rFonts w:ascii="Times New Roman" w:cs="Times New Roman" w:eastAsia="Times New Roman" w:hAnsi="Times New Roman"/>
          <w:sz w:val="20"/>
          <w:szCs w:val="20"/>
          <w:b w:val="1"/>
          <w:bCs w:val="1"/>
          <w:i w:val="1"/>
          <w:iCs w:val="1"/>
          <w:color w:val="auto"/>
        </w:rPr>
        <w:t>Chief Executive Officer (Principal Executive</w:t>
      </w:r>
    </w:p>
    <w:p>
      <w:pPr>
        <w:spacing w:after="0" w:line="26"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20"/>
          <w:szCs w:val="20"/>
          <w:b w:val="1"/>
          <w:bCs w:val="1"/>
          <w:i w:val="1"/>
          <w:iCs w:val="1"/>
          <w:color w:val="auto"/>
        </w:rPr>
        <w:t>Officer)</w:t>
      </w:r>
    </w:p>
    <w:p>
      <w:pPr>
        <w:sectPr>
          <w:pgSz w:w="12240" w:h="15840" w:orient="portrait"/>
          <w:cols w:equalWidth="0" w:num="1">
            <w:col w:w="9900"/>
          </w:cols>
          <w:pgMar w:left="1180" w:top="627"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162</w:t>
      </w:r>
    </w:p>
    <w:p>
      <w:pPr>
        <w:sectPr>
          <w:pgSz w:w="12240" w:h="15840" w:orient="portrait"/>
          <w:cols w:equalWidth="0" w:num="1">
            <w:col w:w="9900"/>
          </w:cols>
          <w:pgMar w:left="1180" w:top="627" w:right="1160" w:bottom="0" w:gutter="0" w:footer="0" w:header="0"/>
          <w:type w:val="continuous"/>
        </w:sectPr>
      </w:pPr>
    </w:p>
    <w:bookmarkStart w:id="162" w:name="page163"/>
    <w:bookmarkEnd w:id="162"/>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jc w:val="center"/>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111"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Each person whose individual signature appears below hereby constitutes and appoints Mario Alberto Accardi, Ph.D., John Crowley, and Raphael Deferiere, and each of them, with full power of substitution and resubstitution and full power to act without the other, as his or her true and lawful attorney-in-fact and agent to act in his or her name, place and stead and to execute in the name and on behalf of each person, individually and in each capacity stated below, and to file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ratifying and confirming all that said attorneys-in-fact and agents or any of them or their or his substitute or substitutes may lawfully do or cause to be done by virtue thereof.</w:t>
      </w:r>
    </w:p>
    <w:p>
      <w:pPr>
        <w:spacing w:after="0" w:line="209" w:lineRule="exact"/>
        <w:rPr>
          <w:sz w:val="20"/>
          <w:szCs w:val="20"/>
          <w:color w:val="auto"/>
        </w:rPr>
      </w:pPr>
    </w:p>
    <w:p>
      <w:pPr>
        <w:ind w:right="220" w:firstLine="720"/>
        <w:spacing w:after="0" w:line="274"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this Annual Report has been signed by the following persons in the capacities and on the dates indicated.</w:t>
      </w:r>
    </w:p>
    <w:tbl>
      <w:tblPr>
        <w:tblLayout w:type="fixed"/>
        <w:tblInd w:w="40" w:type="dxa"/>
        <w:tblCellMar>
          <w:top w:w="0" w:type="dxa"/>
          <w:left w:w="0" w:type="dxa"/>
          <w:bottom w:w="0" w:type="dxa"/>
          <w:right w:w="0" w:type="dxa"/>
        </w:tblCellMar>
      </w:tblPr>
      <w:tr>
        <w:trPr>
          <w:trHeight w:val="221"/>
        </w:trPr>
        <w:tc>
          <w:tcPr>
            <w:tcW w:w="1280" w:type="dxa"/>
            <w:vAlign w:val="bottom"/>
          </w:tcPr>
          <w:p>
            <w:pPr>
              <w:spacing w:after="0"/>
              <w:rPr>
                <w:sz w:val="19"/>
                <w:szCs w:val="19"/>
                <w:color w:val="auto"/>
              </w:rPr>
            </w:pPr>
          </w:p>
        </w:tc>
        <w:tc>
          <w:tcPr>
            <w:tcW w:w="840" w:type="dxa"/>
            <w:vAlign w:val="bottom"/>
          </w:tcPr>
          <w:p>
            <w:pPr>
              <w:spacing w:after="0" w:line="221" w:lineRule="exact"/>
              <w:rPr>
                <w:sz w:val="20"/>
                <w:szCs w:val="20"/>
                <w:color w:val="auto"/>
              </w:rPr>
            </w:pPr>
            <w:r>
              <w:rPr>
                <w:rFonts w:ascii="Times New Roman" w:cs="Times New Roman" w:eastAsia="Times New Roman" w:hAnsi="Times New Roman"/>
                <w:sz w:val="20"/>
                <w:szCs w:val="20"/>
                <w:b w:val="1"/>
                <w:bCs w:val="1"/>
                <w:color w:val="auto"/>
                <w:w w:val="98"/>
              </w:rPr>
              <w:t>Signature</w:t>
            </w:r>
          </w:p>
        </w:tc>
        <w:tc>
          <w:tcPr>
            <w:tcW w:w="128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2400" w:type="dxa"/>
            <w:vAlign w:val="bottom"/>
            <w:gridSpan w:val="2"/>
          </w:tcPr>
          <w:p>
            <w:pPr>
              <w:spacing w:after="0" w:line="221" w:lineRule="exact"/>
              <w:rPr>
                <w:sz w:val="20"/>
                <w:szCs w:val="20"/>
                <w:color w:val="auto"/>
              </w:rPr>
            </w:pPr>
            <w:r>
              <w:rPr>
                <w:rFonts w:ascii="Times New Roman" w:cs="Times New Roman" w:eastAsia="Times New Roman" w:hAnsi="Times New Roman"/>
                <w:sz w:val="20"/>
                <w:szCs w:val="20"/>
                <w:b w:val="1"/>
                <w:bCs w:val="1"/>
                <w:color w:val="auto"/>
              </w:rPr>
              <w:t>Title</w:t>
            </w:r>
          </w:p>
        </w:tc>
        <w:tc>
          <w:tcPr>
            <w:tcW w:w="640" w:type="dxa"/>
            <w:vAlign w:val="bottom"/>
          </w:tcPr>
          <w:p>
            <w:pPr>
              <w:spacing w:after="0"/>
              <w:rPr>
                <w:sz w:val="19"/>
                <w:szCs w:val="19"/>
                <w:color w:val="auto"/>
              </w:rPr>
            </w:pPr>
          </w:p>
        </w:tc>
        <w:tc>
          <w:tcPr>
            <w:tcW w:w="820" w:type="dxa"/>
            <w:vAlign w:val="bottom"/>
            <w:gridSpan w:val="2"/>
          </w:tcPr>
          <w:p>
            <w:pPr>
              <w:jc w:val="center"/>
              <w:ind w:right="420"/>
              <w:spacing w:after="0" w:line="221" w:lineRule="exact"/>
              <w:rPr>
                <w:sz w:val="20"/>
                <w:szCs w:val="20"/>
                <w:color w:val="auto"/>
              </w:rPr>
            </w:pPr>
            <w:r>
              <w:rPr>
                <w:rFonts w:ascii="Times New Roman" w:cs="Times New Roman" w:eastAsia="Times New Roman" w:hAnsi="Times New Roman"/>
                <w:sz w:val="20"/>
                <w:szCs w:val="20"/>
                <w:b w:val="1"/>
                <w:bCs w:val="1"/>
                <w:color w:val="auto"/>
                <w:w w:val="99"/>
              </w:rPr>
              <w:t>Date</w:t>
            </w:r>
          </w:p>
        </w:tc>
      </w:tr>
      <w:tr>
        <w:trPr>
          <w:trHeight w:val="20"/>
        </w:trPr>
        <w:tc>
          <w:tcPr>
            <w:tcW w:w="12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635"/>
        </w:trPr>
        <w:tc>
          <w:tcPr>
            <w:tcW w:w="340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20"/>
                <w:szCs w:val="20"/>
                <w:color w:val="auto"/>
              </w:rPr>
              <w:t>/s/ Mario Alberto Accardi, Ph.D.</w:t>
            </w:r>
          </w:p>
        </w:tc>
        <w:tc>
          <w:tcPr>
            <w:tcW w:w="2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60"/>
        </w:trPr>
        <w:tc>
          <w:tcPr>
            <w:tcW w:w="340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Name: Mario Alberto Accardi, Ph.D.</w:t>
            </w:r>
          </w:p>
        </w:tc>
        <w:tc>
          <w:tcPr>
            <w:tcW w:w="4800" w:type="dxa"/>
            <w:vAlign w:val="bottom"/>
            <w:gridSpan w:val="3"/>
          </w:tcPr>
          <w:p>
            <w:pPr>
              <w:ind w:left="320"/>
              <w:spacing w:after="0"/>
              <w:rPr>
                <w:sz w:val="20"/>
                <w:szCs w:val="20"/>
                <w:color w:val="auto"/>
              </w:rPr>
            </w:pPr>
            <w:r>
              <w:rPr>
                <w:rFonts w:ascii="Times New Roman" w:cs="Times New Roman" w:eastAsia="Times New Roman" w:hAnsi="Times New Roman"/>
                <w:sz w:val="20"/>
                <w:szCs w:val="20"/>
                <w:color w:val="auto"/>
              </w:rPr>
              <w:t>Chief Executive Officer (Principal Executive Officer)</w:t>
            </w:r>
          </w:p>
        </w:tc>
        <w:tc>
          <w:tcPr>
            <w:tcW w:w="1460" w:type="dxa"/>
            <w:vAlign w:val="bottom"/>
            <w:gridSpan w:val="3"/>
          </w:tcPr>
          <w:p>
            <w:pPr>
              <w:jc w:val="center"/>
              <w:ind w:left="100"/>
              <w:spacing w:after="0"/>
              <w:rPr>
                <w:sz w:val="20"/>
                <w:szCs w:val="20"/>
                <w:color w:val="auto"/>
              </w:rPr>
            </w:pPr>
            <w:r>
              <w:rPr>
                <w:rFonts w:ascii="Times New Roman" w:cs="Times New Roman" w:eastAsia="Times New Roman" w:hAnsi="Times New Roman"/>
                <w:sz w:val="20"/>
                <w:szCs w:val="20"/>
                <w:color w:val="auto"/>
                <w:w w:val="99"/>
              </w:rPr>
              <w:t>March 31, 2026</w:t>
            </w:r>
          </w:p>
        </w:tc>
      </w:tr>
      <w:tr>
        <w:trPr>
          <w:trHeight w:val="710"/>
        </w:trPr>
        <w:tc>
          <w:tcPr>
            <w:tcW w:w="340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20"/>
                <w:szCs w:val="20"/>
                <w:color w:val="auto"/>
              </w:rPr>
              <w:t>/s/ John Crowley</w:t>
            </w:r>
          </w:p>
        </w:tc>
        <w:tc>
          <w:tcPr>
            <w:tcW w:w="2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60"/>
        </w:trPr>
        <w:tc>
          <w:tcPr>
            <w:tcW w:w="340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Name: John Crowley</w:t>
            </w:r>
          </w:p>
        </w:tc>
        <w:tc>
          <w:tcPr>
            <w:tcW w:w="4800" w:type="dxa"/>
            <w:vAlign w:val="bottom"/>
            <w:gridSpan w:val="3"/>
          </w:tcPr>
          <w:p>
            <w:pPr>
              <w:ind w:left="320"/>
              <w:spacing w:after="0"/>
              <w:rPr>
                <w:sz w:val="20"/>
                <w:szCs w:val="20"/>
                <w:color w:val="auto"/>
              </w:rPr>
            </w:pPr>
            <w:r>
              <w:rPr>
                <w:rFonts w:ascii="Times New Roman" w:cs="Times New Roman" w:eastAsia="Times New Roman" w:hAnsi="Times New Roman"/>
                <w:sz w:val="20"/>
                <w:szCs w:val="20"/>
                <w:color w:val="auto"/>
              </w:rPr>
              <w:t>Chief Financial Officer (Principal Financial Officer)</w:t>
            </w:r>
          </w:p>
        </w:tc>
        <w:tc>
          <w:tcPr>
            <w:tcW w:w="1460" w:type="dxa"/>
            <w:vAlign w:val="bottom"/>
            <w:gridSpan w:val="3"/>
          </w:tcPr>
          <w:p>
            <w:pPr>
              <w:jc w:val="center"/>
              <w:ind w:left="100"/>
              <w:spacing w:after="0"/>
              <w:rPr>
                <w:sz w:val="20"/>
                <w:szCs w:val="20"/>
                <w:color w:val="auto"/>
              </w:rPr>
            </w:pPr>
            <w:r>
              <w:rPr>
                <w:rFonts w:ascii="Times New Roman" w:cs="Times New Roman" w:eastAsia="Times New Roman" w:hAnsi="Times New Roman"/>
                <w:sz w:val="20"/>
                <w:szCs w:val="20"/>
                <w:color w:val="auto"/>
                <w:w w:val="99"/>
              </w:rPr>
              <w:t>March 31, 2026</w:t>
            </w:r>
          </w:p>
        </w:tc>
      </w:tr>
      <w:tr>
        <w:trPr>
          <w:trHeight w:val="710"/>
        </w:trPr>
        <w:tc>
          <w:tcPr>
            <w:tcW w:w="340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20"/>
                <w:szCs w:val="20"/>
                <w:color w:val="auto"/>
              </w:rPr>
              <w:t>/s/ Raphael Deferiere</w:t>
            </w:r>
          </w:p>
        </w:tc>
        <w:tc>
          <w:tcPr>
            <w:tcW w:w="2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05"/>
        </w:trPr>
        <w:tc>
          <w:tcPr>
            <w:tcW w:w="3400" w:type="dxa"/>
            <w:vAlign w:val="bottom"/>
            <w:gridSpan w:val="3"/>
          </w:tcPr>
          <w:p>
            <w:pPr>
              <w:ind w:left="60"/>
              <w:spacing w:after="0" w:line="205" w:lineRule="exact"/>
              <w:rPr>
                <w:sz w:val="20"/>
                <w:szCs w:val="20"/>
                <w:color w:val="auto"/>
              </w:rPr>
            </w:pPr>
            <w:r>
              <w:rPr>
                <w:rFonts w:ascii="Times New Roman" w:cs="Times New Roman" w:eastAsia="Times New Roman" w:hAnsi="Times New Roman"/>
                <w:sz w:val="20"/>
                <w:szCs w:val="20"/>
                <w:color w:val="auto"/>
              </w:rPr>
              <w:t>Name: Raphael Deferiere</w:t>
            </w:r>
          </w:p>
        </w:tc>
        <w:tc>
          <w:tcPr>
            <w:tcW w:w="4800" w:type="dxa"/>
            <w:vAlign w:val="bottom"/>
            <w:gridSpan w:val="3"/>
          </w:tcPr>
          <w:p>
            <w:pPr>
              <w:ind w:left="320"/>
              <w:spacing w:after="0" w:line="205" w:lineRule="exact"/>
              <w:rPr>
                <w:sz w:val="20"/>
                <w:szCs w:val="20"/>
                <w:color w:val="auto"/>
              </w:rPr>
            </w:pPr>
            <w:r>
              <w:rPr>
                <w:rFonts w:ascii="Times New Roman" w:cs="Times New Roman" w:eastAsia="Times New Roman" w:hAnsi="Times New Roman"/>
                <w:sz w:val="20"/>
                <w:szCs w:val="20"/>
                <w:color w:val="auto"/>
              </w:rPr>
              <w:t>Chief Accounting Officer (Principal Accounting</w:t>
            </w:r>
          </w:p>
        </w:tc>
        <w:tc>
          <w:tcPr>
            <w:tcW w:w="1460" w:type="dxa"/>
            <w:vAlign w:val="bottom"/>
            <w:gridSpan w:val="3"/>
          </w:tcPr>
          <w:p>
            <w:pPr>
              <w:jc w:val="center"/>
              <w:ind w:left="100"/>
              <w:spacing w:after="0" w:line="205" w:lineRule="exact"/>
              <w:rPr>
                <w:sz w:val="20"/>
                <w:szCs w:val="20"/>
                <w:color w:val="auto"/>
              </w:rPr>
            </w:pPr>
            <w:r>
              <w:rPr>
                <w:rFonts w:ascii="Times New Roman" w:cs="Times New Roman" w:eastAsia="Times New Roman" w:hAnsi="Times New Roman"/>
                <w:sz w:val="20"/>
                <w:szCs w:val="20"/>
                <w:color w:val="auto"/>
                <w:w w:val="99"/>
              </w:rPr>
              <w:t>March 31, 2026</w:t>
            </w:r>
          </w:p>
        </w:tc>
      </w:tr>
      <w:tr>
        <w:trPr>
          <w:trHeight w:val="260"/>
        </w:trPr>
        <w:tc>
          <w:tcPr>
            <w:tcW w:w="12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4800" w:type="dxa"/>
            <w:vAlign w:val="bottom"/>
            <w:gridSpan w:val="3"/>
          </w:tcPr>
          <w:p>
            <w:pPr>
              <w:ind w:left="320"/>
              <w:spacing w:after="0"/>
              <w:rPr>
                <w:sz w:val="20"/>
                <w:szCs w:val="20"/>
                <w:color w:val="auto"/>
              </w:rPr>
            </w:pPr>
            <w:r>
              <w:rPr>
                <w:rFonts w:ascii="Times New Roman" w:cs="Times New Roman" w:eastAsia="Times New Roman" w:hAnsi="Times New Roman"/>
                <w:sz w:val="20"/>
                <w:szCs w:val="20"/>
                <w:color w:val="auto"/>
              </w:rPr>
              <w:t>Officer)</w:t>
            </w:r>
          </w:p>
        </w:tc>
        <w:tc>
          <w:tcPr>
            <w:tcW w:w="6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r>
      <w:tr>
        <w:trPr>
          <w:trHeight w:val="505"/>
        </w:trPr>
        <w:tc>
          <w:tcPr>
            <w:tcW w:w="340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20"/>
                <w:szCs w:val="20"/>
                <w:color w:val="auto"/>
              </w:rPr>
              <w:t>/s/ Francesco De Rubertis, Ph.D.</w:t>
            </w:r>
          </w:p>
        </w:tc>
        <w:tc>
          <w:tcPr>
            <w:tcW w:w="2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60"/>
        </w:trPr>
        <w:tc>
          <w:tcPr>
            <w:tcW w:w="340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Name: Francesco De Rubertis, Ph.D.</w:t>
            </w:r>
          </w:p>
        </w:tc>
        <w:tc>
          <w:tcPr>
            <w:tcW w:w="4800" w:type="dxa"/>
            <w:vAlign w:val="bottom"/>
            <w:gridSpan w:val="3"/>
          </w:tcPr>
          <w:p>
            <w:pPr>
              <w:ind w:left="320"/>
              <w:spacing w:after="0"/>
              <w:rPr>
                <w:sz w:val="20"/>
                <w:szCs w:val="20"/>
                <w:color w:val="auto"/>
              </w:rPr>
            </w:pPr>
            <w:r>
              <w:rPr>
                <w:rFonts w:ascii="Times New Roman" w:cs="Times New Roman" w:eastAsia="Times New Roman" w:hAnsi="Times New Roman"/>
                <w:sz w:val="20"/>
                <w:szCs w:val="20"/>
                <w:color w:val="auto"/>
              </w:rPr>
              <w:t>Director</w:t>
            </w:r>
          </w:p>
        </w:tc>
        <w:tc>
          <w:tcPr>
            <w:tcW w:w="1460" w:type="dxa"/>
            <w:vAlign w:val="bottom"/>
            <w:gridSpan w:val="3"/>
          </w:tcPr>
          <w:p>
            <w:pPr>
              <w:jc w:val="center"/>
              <w:ind w:left="100"/>
              <w:spacing w:after="0"/>
              <w:rPr>
                <w:sz w:val="20"/>
                <w:szCs w:val="20"/>
                <w:color w:val="auto"/>
              </w:rPr>
            </w:pPr>
            <w:r>
              <w:rPr>
                <w:rFonts w:ascii="Times New Roman" w:cs="Times New Roman" w:eastAsia="Times New Roman" w:hAnsi="Times New Roman"/>
                <w:sz w:val="20"/>
                <w:szCs w:val="20"/>
                <w:color w:val="auto"/>
                <w:w w:val="99"/>
              </w:rPr>
              <w:t>March 31, 2026</w:t>
            </w:r>
          </w:p>
        </w:tc>
      </w:tr>
      <w:tr>
        <w:trPr>
          <w:trHeight w:val="710"/>
        </w:trPr>
        <w:tc>
          <w:tcPr>
            <w:tcW w:w="340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20"/>
                <w:szCs w:val="20"/>
                <w:color w:val="auto"/>
              </w:rPr>
              <w:t>/s/ Arjun Goyal, M.D., M.Phil, M.B.A.</w:t>
            </w:r>
          </w:p>
        </w:tc>
        <w:tc>
          <w:tcPr>
            <w:tcW w:w="2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05"/>
        </w:trPr>
        <w:tc>
          <w:tcPr>
            <w:tcW w:w="3400" w:type="dxa"/>
            <w:vAlign w:val="bottom"/>
            <w:gridSpan w:val="3"/>
          </w:tcPr>
          <w:p>
            <w:pPr>
              <w:ind w:left="60"/>
              <w:spacing w:after="0" w:line="205" w:lineRule="exact"/>
              <w:rPr>
                <w:sz w:val="20"/>
                <w:szCs w:val="20"/>
                <w:color w:val="auto"/>
              </w:rPr>
            </w:pPr>
            <w:r>
              <w:rPr>
                <w:rFonts w:ascii="Times New Roman" w:cs="Times New Roman" w:eastAsia="Times New Roman" w:hAnsi="Times New Roman"/>
                <w:sz w:val="20"/>
                <w:szCs w:val="20"/>
                <w:color w:val="auto"/>
              </w:rPr>
              <w:t>Name: Arjun Goyal, M.D., M.Phil,</w:t>
            </w:r>
          </w:p>
        </w:tc>
        <w:tc>
          <w:tcPr>
            <w:tcW w:w="4800" w:type="dxa"/>
            <w:vAlign w:val="bottom"/>
            <w:gridSpan w:val="3"/>
          </w:tcPr>
          <w:p>
            <w:pPr>
              <w:ind w:left="320"/>
              <w:spacing w:after="0" w:line="205" w:lineRule="exact"/>
              <w:rPr>
                <w:sz w:val="20"/>
                <w:szCs w:val="20"/>
                <w:color w:val="auto"/>
              </w:rPr>
            </w:pPr>
            <w:r>
              <w:rPr>
                <w:rFonts w:ascii="Times New Roman" w:cs="Times New Roman" w:eastAsia="Times New Roman" w:hAnsi="Times New Roman"/>
                <w:sz w:val="20"/>
                <w:szCs w:val="20"/>
                <w:color w:val="auto"/>
              </w:rPr>
              <w:t>Director</w:t>
            </w:r>
          </w:p>
        </w:tc>
        <w:tc>
          <w:tcPr>
            <w:tcW w:w="1460" w:type="dxa"/>
            <w:vAlign w:val="bottom"/>
            <w:gridSpan w:val="3"/>
          </w:tcPr>
          <w:p>
            <w:pPr>
              <w:jc w:val="center"/>
              <w:ind w:left="100"/>
              <w:spacing w:after="0" w:line="205" w:lineRule="exact"/>
              <w:rPr>
                <w:sz w:val="20"/>
                <w:szCs w:val="20"/>
                <w:color w:val="auto"/>
              </w:rPr>
            </w:pPr>
            <w:r>
              <w:rPr>
                <w:rFonts w:ascii="Times New Roman" w:cs="Times New Roman" w:eastAsia="Times New Roman" w:hAnsi="Times New Roman"/>
                <w:sz w:val="20"/>
                <w:szCs w:val="20"/>
                <w:color w:val="auto"/>
                <w:w w:val="99"/>
              </w:rPr>
              <w:t>March 31, 2026</w:t>
            </w:r>
          </w:p>
        </w:tc>
      </w:tr>
      <w:tr>
        <w:trPr>
          <w:trHeight w:val="260"/>
        </w:trPr>
        <w:tc>
          <w:tcPr>
            <w:tcW w:w="340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M.B.A.</w:t>
            </w:r>
          </w:p>
        </w:tc>
        <w:tc>
          <w:tcPr>
            <w:tcW w:w="24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r>
      <w:tr>
        <w:trPr>
          <w:trHeight w:val="505"/>
        </w:trPr>
        <w:tc>
          <w:tcPr>
            <w:tcW w:w="340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20"/>
                <w:szCs w:val="20"/>
                <w:color w:val="auto"/>
              </w:rPr>
              <w:t>/s/ Mathias Hukkelhoven, Ph.D.</w:t>
            </w:r>
          </w:p>
        </w:tc>
        <w:tc>
          <w:tcPr>
            <w:tcW w:w="2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60"/>
        </w:trPr>
        <w:tc>
          <w:tcPr>
            <w:tcW w:w="340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Name: Mathias Hukkelhoven Ph.D.</w:t>
            </w:r>
          </w:p>
        </w:tc>
        <w:tc>
          <w:tcPr>
            <w:tcW w:w="4800" w:type="dxa"/>
            <w:vAlign w:val="bottom"/>
            <w:gridSpan w:val="3"/>
          </w:tcPr>
          <w:p>
            <w:pPr>
              <w:ind w:left="320"/>
              <w:spacing w:after="0"/>
              <w:rPr>
                <w:sz w:val="20"/>
                <w:szCs w:val="20"/>
                <w:color w:val="auto"/>
              </w:rPr>
            </w:pPr>
            <w:r>
              <w:rPr>
                <w:rFonts w:ascii="Times New Roman" w:cs="Times New Roman" w:eastAsia="Times New Roman" w:hAnsi="Times New Roman"/>
                <w:sz w:val="20"/>
                <w:szCs w:val="20"/>
                <w:color w:val="auto"/>
              </w:rPr>
              <w:t>Director</w:t>
            </w:r>
          </w:p>
        </w:tc>
        <w:tc>
          <w:tcPr>
            <w:tcW w:w="1460" w:type="dxa"/>
            <w:vAlign w:val="bottom"/>
            <w:gridSpan w:val="3"/>
          </w:tcPr>
          <w:p>
            <w:pPr>
              <w:jc w:val="center"/>
              <w:ind w:left="100"/>
              <w:spacing w:after="0"/>
              <w:rPr>
                <w:sz w:val="20"/>
                <w:szCs w:val="20"/>
                <w:color w:val="auto"/>
              </w:rPr>
            </w:pPr>
            <w:r>
              <w:rPr>
                <w:rFonts w:ascii="Times New Roman" w:cs="Times New Roman" w:eastAsia="Times New Roman" w:hAnsi="Times New Roman"/>
                <w:sz w:val="20"/>
                <w:szCs w:val="20"/>
                <w:color w:val="auto"/>
                <w:w w:val="99"/>
              </w:rPr>
              <w:t>March 31, 2026</w:t>
            </w:r>
          </w:p>
        </w:tc>
      </w:tr>
      <w:tr>
        <w:trPr>
          <w:trHeight w:val="710"/>
        </w:trPr>
        <w:tc>
          <w:tcPr>
            <w:tcW w:w="340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20"/>
                <w:szCs w:val="20"/>
                <w:color w:val="auto"/>
              </w:rPr>
              <w:t>/s/ Brett Zbar, M.D</w:t>
            </w:r>
          </w:p>
        </w:tc>
        <w:tc>
          <w:tcPr>
            <w:tcW w:w="2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60"/>
        </w:trPr>
        <w:tc>
          <w:tcPr>
            <w:tcW w:w="340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Name: Brett Zbar, M.D.</w:t>
            </w:r>
          </w:p>
        </w:tc>
        <w:tc>
          <w:tcPr>
            <w:tcW w:w="4800" w:type="dxa"/>
            <w:vAlign w:val="bottom"/>
            <w:gridSpan w:val="3"/>
          </w:tcPr>
          <w:p>
            <w:pPr>
              <w:ind w:left="320"/>
              <w:spacing w:after="0"/>
              <w:rPr>
                <w:sz w:val="20"/>
                <w:szCs w:val="20"/>
                <w:color w:val="auto"/>
              </w:rPr>
            </w:pPr>
            <w:r>
              <w:rPr>
                <w:rFonts w:ascii="Times New Roman" w:cs="Times New Roman" w:eastAsia="Times New Roman" w:hAnsi="Times New Roman"/>
                <w:sz w:val="20"/>
                <w:szCs w:val="20"/>
                <w:color w:val="auto"/>
              </w:rPr>
              <w:t>Director</w:t>
            </w:r>
          </w:p>
        </w:tc>
        <w:tc>
          <w:tcPr>
            <w:tcW w:w="1460" w:type="dxa"/>
            <w:vAlign w:val="bottom"/>
            <w:gridSpan w:val="3"/>
          </w:tcPr>
          <w:p>
            <w:pPr>
              <w:jc w:val="center"/>
              <w:ind w:left="100"/>
              <w:spacing w:after="0"/>
              <w:rPr>
                <w:sz w:val="20"/>
                <w:szCs w:val="20"/>
                <w:color w:val="auto"/>
              </w:rPr>
            </w:pPr>
            <w:r>
              <w:rPr>
                <w:rFonts w:ascii="Times New Roman" w:cs="Times New Roman" w:eastAsia="Times New Roman" w:hAnsi="Times New Roman"/>
                <w:sz w:val="20"/>
                <w:szCs w:val="20"/>
                <w:color w:val="auto"/>
                <w:w w:val="99"/>
              </w:rPr>
              <w:t>March 31, 2026</w:t>
            </w:r>
          </w:p>
        </w:tc>
      </w:tr>
      <w:tr>
        <w:trPr>
          <w:trHeight w:val="710"/>
        </w:trPr>
        <w:tc>
          <w:tcPr>
            <w:tcW w:w="340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20"/>
                <w:szCs w:val="20"/>
                <w:color w:val="auto"/>
              </w:rPr>
              <w:t>/s/ Mary Lynne Hedley, Ph.D.</w:t>
            </w:r>
          </w:p>
        </w:tc>
        <w:tc>
          <w:tcPr>
            <w:tcW w:w="2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60"/>
        </w:trPr>
        <w:tc>
          <w:tcPr>
            <w:tcW w:w="340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Name: Mary Lynne Hedley, Ph.D.</w:t>
            </w:r>
          </w:p>
        </w:tc>
        <w:tc>
          <w:tcPr>
            <w:tcW w:w="4800" w:type="dxa"/>
            <w:vAlign w:val="bottom"/>
            <w:gridSpan w:val="3"/>
          </w:tcPr>
          <w:p>
            <w:pPr>
              <w:ind w:left="320"/>
              <w:spacing w:after="0"/>
              <w:rPr>
                <w:sz w:val="20"/>
                <w:szCs w:val="20"/>
                <w:color w:val="auto"/>
              </w:rPr>
            </w:pPr>
            <w:r>
              <w:rPr>
                <w:rFonts w:ascii="Times New Roman" w:cs="Times New Roman" w:eastAsia="Times New Roman" w:hAnsi="Times New Roman"/>
                <w:sz w:val="20"/>
                <w:szCs w:val="20"/>
                <w:color w:val="auto"/>
              </w:rPr>
              <w:t>Director</w:t>
            </w:r>
          </w:p>
        </w:tc>
        <w:tc>
          <w:tcPr>
            <w:tcW w:w="1460" w:type="dxa"/>
            <w:vAlign w:val="bottom"/>
            <w:gridSpan w:val="3"/>
          </w:tcPr>
          <w:p>
            <w:pPr>
              <w:jc w:val="center"/>
              <w:ind w:left="100"/>
              <w:spacing w:after="0"/>
              <w:rPr>
                <w:sz w:val="20"/>
                <w:szCs w:val="20"/>
                <w:color w:val="auto"/>
              </w:rPr>
            </w:pPr>
            <w:r>
              <w:rPr>
                <w:rFonts w:ascii="Times New Roman" w:cs="Times New Roman" w:eastAsia="Times New Roman" w:hAnsi="Times New Roman"/>
                <w:sz w:val="20"/>
                <w:szCs w:val="20"/>
                <w:color w:val="auto"/>
                <w:w w:val="99"/>
              </w:rPr>
              <w:t>March 31, 2026</w:t>
            </w:r>
          </w:p>
        </w:tc>
      </w:tr>
      <w:tr>
        <w:trPr>
          <w:trHeight w:val="770"/>
        </w:trPr>
        <w:tc>
          <w:tcPr>
            <w:tcW w:w="340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20"/>
                <w:szCs w:val="20"/>
                <w:color w:val="auto"/>
              </w:rPr>
              <w:t>/s/ Samarth Kulkarni, Ph.D.</w:t>
            </w:r>
          </w:p>
        </w:tc>
        <w:tc>
          <w:tcPr>
            <w:tcW w:w="2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60"/>
        </w:trPr>
        <w:tc>
          <w:tcPr>
            <w:tcW w:w="340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Name: Samarth Kulkarni, Ph.D.</w:t>
            </w:r>
          </w:p>
        </w:tc>
        <w:tc>
          <w:tcPr>
            <w:tcW w:w="4800" w:type="dxa"/>
            <w:vAlign w:val="bottom"/>
            <w:gridSpan w:val="3"/>
          </w:tcPr>
          <w:p>
            <w:pPr>
              <w:ind w:left="320"/>
              <w:spacing w:after="0"/>
              <w:rPr>
                <w:sz w:val="20"/>
                <w:szCs w:val="20"/>
                <w:color w:val="auto"/>
              </w:rPr>
            </w:pPr>
            <w:r>
              <w:rPr>
                <w:rFonts w:ascii="Times New Roman" w:cs="Times New Roman" w:eastAsia="Times New Roman" w:hAnsi="Times New Roman"/>
                <w:sz w:val="20"/>
                <w:szCs w:val="20"/>
                <w:color w:val="auto"/>
              </w:rPr>
              <w:t>Director</w:t>
            </w:r>
          </w:p>
        </w:tc>
        <w:tc>
          <w:tcPr>
            <w:tcW w:w="1460" w:type="dxa"/>
            <w:vAlign w:val="bottom"/>
            <w:gridSpan w:val="3"/>
          </w:tcPr>
          <w:p>
            <w:pPr>
              <w:jc w:val="center"/>
              <w:ind w:left="100"/>
              <w:spacing w:after="0"/>
              <w:rPr>
                <w:sz w:val="20"/>
                <w:szCs w:val="20"/>
                <w:color w:val="auto"/>
              </w:rPr>
            </w:pPr>
            <w:r>
              <w:rPr>
                <w:rFonts w:ascii="Times New Roman" w:cs="Times New Roman" w:eastAsia="Times New Roman" w:hAnsi="Times New Roman"/>
                <w:sz w:val="20"/>
                <w:szCs w:val="20"/>
                <w:color w:val="auto"/>
                <w:w w:val="99"/>
              </w:rPr>
              <w:t>March 31, 2026</w:t>
            </w:r>
          </w:p>
        </w:tc>
      </w:tr>
      <w:tr>
        <w:trPr>
          <w:trHeight w:val="755"/>
        </w:trPr>
        <w:tc>
          <w:tcPr>
            <w:tcW w:w="340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20"/>
                <w:szCs w:val="20"/>
                <w:color w:val="auto"/>
              </w:rPr>
              <w:t>/s/ Carol Stuckley, M.B.A.</w:t>
            </w:r>
          </w:p>
        </w:tc>
        <w:tc>
          <w:tcPr>
            <w:tcW w:w="2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60"/>
        </w:trPr>
        <w:tc>
          <w:tcPr>
            <w:tcW w:w="340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Name: Carol Stuckley, M.B.A.</w:t>
            </w:r>
          </w:p>
        </w:tc>
        <w:tc>
          <w:tcPr>
            <w:tcW w:w="4800" w:type="dxa"/>
            <w:vAlign w:val="bottom"/>
            <w:gridSpan w:val="3"/>
          </w:tcPr>
          <w:p>
            <w:pPr>
              <w:ind w:left="320"/>
              <w:spacing w:after="0"/>
              <w:rPr>
                <w:sz w:val="20"/>
                <w:szCs w:val="20"/>
                <w:color w:val="auto"/>
              </w:rPr>
            </w:pPr>
            <w:r>
              <w:rPr>
                <w:rFonts w:ascii="Times New Roman" w:cs="Times New Roman" w:eastAsia="Times New Roman" w:hAnsi="Times New Roman"/>
                <w:sz w:val="20"/>
                <w:szCs w:val="20"/>
                <w:color w:val="auto"/>
              </w:rPr>
              <w:t>Director</w:t>
            </w:r>
          </w:p>
        </w:tc>
        <w:tc>
          <w:tcPr>
            <w:tcW w:w="1460" w:type="dxa"/>
            <w:vAlign w:val="bottom"/>
            <w:gridSpan w:val="3"/>
          </w:tcPr>
          <w:p>
            <w:pPr>
              <w:jc w:val="center"/>
              <w:ind w:left="100"/>
              <w:spacing w:after="0"/>
              <w:rPr>
                <w:sz w:val="20"/>
                <w:szCs w:val="20"/>
                <w:color w:val="auto"/>
              </w:rPr>
            </w:pPr>
            <w:r>
              <w:rPr>
                <w:rFonts w:ascii="Times New Roman" w:cs="Times New Roman" w:eastAsia="Times New Roman" w:hAnsi="Times New Roman"/>
                <w:sz w:val="20"/>
                <w:szCs w:val="20"/>
                <w:color w:val="auto"/>
                <w:w w:val="99"/>
              </w:rPr>
              <w:t>March 31, 2026</w:t>
            </w:r>
          </w:p>
        </w:tc>
      </w:tr>
    </w:tbl>
    <w:p>
      <w:pPr>
        <w:spacing w:after="0" w:line="200" w:lineRule="exact"/>
        <w:rPr>
          <w:sz w:val="20"/>
          <w:szCs w:val="20"/>
          <w:color w:val="auto"/>
        </w:rPr>
      </w:pPr>
    </w:p>
    <w:p>
      <w:pPr>
        <w:sectPr>
          <w:pgSz w:w="12240" w:h="15840" w:orient="portrait"/>
          <w:cols w:equalWidth="0" w:num="1">
            <w:col w:w="9900"/>
          </w:cols>
          <w:pgMar w:left="1180" w:top="627"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163</w:t>
      </w:r>
    </w:p>
    <w:sectPr>
      <w:pgSz w:w="12240" w:h="15840" w:orient="portrait"/>
      <w:cols w:equalWidth="0" w:num="1">
        <w:col w:w="9900"/>
      </w:cols>
      <w:pgMar w:left="1180" w:top="627" w:right="1160"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A2342EC"/>
    <w:multiLevelType w:val="hybridMultilevel"/>
    <w:lvl w:ilvl="0">
      <w:lvlJc w:val="left"/>
      <w:lvlText w:val="x"/>
      <w:numFmt w:val="bullet"/>
      <w:start w:val="1"/>
    </w:lvl>
  </w:abstractNum>
  <w:abstractNum w:abstractNumId="1">
    <w:nsid w:val="2A487CB0"/>
    <w:multiLevelType w:val="hybridMultilevel"/>
    <w:lvl w:ilvl="0">
      <w:lvlJc w:val="left"/>
      <w:lvlText w:val="o"/>
      <w:numFmt w:val="bullet"/>
      <w:start w:val="1"/>
    </w:lvl>
  </w:abstractNum>
  <w:abstractNum w:abstractNumId="2">
    <w:nsid w:val="1D4ED43B"/>
    <w:multiLevelType w:val="hybridMultilevel"/>
    <w:lvl w:ilvl="0">
      <w:lvlJc w:val="left"/>
      <w:lvlText w:val="•"/>
      <w:numFmt w:val="bullet"/>
      <w:start w:val="1"/>
    </w:lvl>
  </w:abstractNum>
  <w:abstractNum w:abstractNumId="3">
    <w:nsid w:val="725A06FB"/>
    <w:multiLevelType w:val="hybridMultilevel"/>
    <w:lvl w:ilvl="0">
      <w:lvlJc w:val="left"/>
      <w:lvlText w:val="•"/>
      <w:numFmt w:val="bullet"/>
      <w:start w:val="1"/>
    </w:lvl>
    <w:lvl w:ilvl="1">
      <w:lvlJc w:val="left"/>
      <w:lvlText w:val="•"/>
      <w:numFmt w:val="bullet"/>
      <w:start w:val="1"/>
    </w:lvl>
  </w:abstractNum>
  <w:abstractNum w:abstractNumId="4">
    <w:nsid w:val="2CD89A32"/>
    <w:multiLevelType w:val="hybridMultilevel"/>
    <w:lvl w:ilvl="0">
      <w:lvlJc w:val="left"/>
      <w:lvlText w:val="•"/>
      <w:numFmt w:val="bullet"/>
      <w:start w:val="1"/>
    </w:lvl>
  </w:abstractNum>
  <w:abstractNum w:abstractNumId="5">
    <w:nsid w:val="57E4CCAF"/>
    <w:multiLevelType w:val="hybridMultilevel"/>
    <w:lvl w:ilvl="0">
      <w:lvlJc w:val="left"/>
      <w:lvlText w:val="•"/>
      <w:numFmt w:val="bullet"/>
      <w:start w:val="1"/>
    </w:lvl>
  </w:abstractNum>
  <w:abstractNum w:abstractNumId="6">
    <w:nsid w:val="7A6D8D3C"/>
    <w:multiLevelType w:val="hybridMultilevel"/>
    <w:lvl w:ilvl="0">
      <w:lvlJc w:val="left"/>
      <w:lvlText w:val="%1."/>
      <w:numFmt w:val="lowerRoman"/>
      <w:start w:val="1"/>
    </w:lvl>
  </w:abstractNum>
  <w:abstractNum w:abstractNumId="7">
    <w:nsid w:val="4B588F54"/>
    <w:multiLevelType w:val="hybridMultilevel"/>
    <w:lvl w:ilvl="0">
      <w:lvlJc w:val="left"/>
      <w:lvlText w:val="%1."/>
      <w:numFmt w:val="lowerRoman"/>
      <w:start w:val="3"/>
    </w:lvl>
  </w:abstractNum>
  <w:abstractNum w:abstractNumId="8">
    <w:nsid w:val="542289EC"/>
    <w:multiLevelType w:val="hybridMultilevel"/>
    <w:lvl w:ilvl="0">
      <w:lvlJc w:val="left"/>
      <w:lvlText w:val="•"/>
      <w:numFmt w:val="bullet"/>
      <w:start w:val="1"/>
    </w:lvl>
  </w:abstractNum>
  <w:abstractNum w:abstractNumId="9">
    <w:nsid w:val="6DE91B18"/>
    <w:multiLevelType w:val="hybridMultilevel"/>
    <w:lvl w:ilvl="0">
      <w:lvlJc w:val="left"/>
      <w:lvlText w:val="•"/>
      <w:numFmt w:val="bullet"/>
      <w:start w:val="1"/>
    </w:lvl>
  </w:abstractNum>
  <w:abstractNum w:abstractNumId="10">
    <w:nsid w:val="38437FDB"/>
    <w:multiLevelType w:val="hybridMultilevel"/>
    <w:lvl w:ilvl="0">
      <w:lvlJc w:val="left"/>
      <w:lvlText w:val="•"/>
      <w:numFmt w:val="bullet"/>
      <w:start w:val="1"/>
    </w:lvl>
  </w:abstractNum>
  <w:abstractNum w:abstractNumId="11">
    <w:nsid w:val="7644A45C"/>
    <w:multiLevelType w:val="hybridMultilevel"/>
    <w:lvl w:ilvl="0">
      <w:lvlJc w:val="left"/>
      <w:lvlText w:val="•"/>
      <w:numFmt w:val="bullet"/>
      <w:start w:val="1"/>
    </w:lvl>
  </w:abstractNum>
  <w:abstractNum w:abstractNumId="12">
    <w:nsid w:val="32FFF902"/>
    <w:multiLevelType w:val="hybridMultilevel"/>
    <w:lvl w:ilvl="0">
      <w:lvlJc w:val="left"/>
      <w:lvlText w:val="•"/>
      <w:numFmt w:val="bullet"/>
      <w:start w:val="1"/>
    </w:lvl>
  </w:abstractNum>
  <w:abstractNum w:abstractNumId="13">
    <w:nsid w:val="684A481A"/>
    <w:multiLevelType w:val="hybridMultilevel"/>
    <w:lvl w:ilvl="0">
      <w:lvlJc w:val="left"/>
      <w:lvlText w:val="•"/>
      <w:numFmt w:val="bullet"/>
      <w:start w:val="1"/>
    </w:lvl>
  </w:abstractNum>
  <w:abstractNum w:abstractNumId="14">
    <w:nsid w:val="579478FE"/>
    <w:multiLevelType w:val="hybridMultilevel"/>
    <w:lvl w:ilvl="0">
      <w:lvlJc w:val="left"/>
      <w:lvlText w:val="•"/>
      <w:numFmt w:val="bullet"/>
      <w:start w:val="1"/>
    </w:lvl>
  </w:abstractNum>
  <w:abstractNum w:abstractNumId="15">
    <w:nsid w:val="749ABB43"/>
    <w:multiLevelType w:val="hybridMultilevel"/>
    <w:lvl w:ilvl="0">
      <w:lvlJc w:val="left"/>
      <w:lvlText w:val="•"/>
      <w:numFmt w:val="bullet"/>
      <w:start w:val="1"/>
    </w:lvl>
  </w:abstractNum>
  <w:abstractNum w:abstractNumId="16">
    <w:nsid w:val="3DC240FB"/>
    <w:multiLevelType w:val="hybridMultilevel"/>
    <w:lvl w:ilvl="0">
      <w:lvlJc w:val="left"/>
      <w:lvlText w:val="•"/>
      <w:numFmt w:val="bullet"/>
      <w:start w:val="1"/>
    </w:lvl>
  </w:abstractNum>
  <w:abstractNum w:abstractNumId="17">
    <w:nsid w:val="1BA026FA"/>
    <w:multiLevelType w:val="hybridMultilevel"/>
    <w:lvl w:ilvl="0">
      <w:lvlJc w:val="left"/>
      <w:lvlText w:val="•"/>
      <w:numFmt w:val="bullet"/>
      <w:start w:val="1"/>
    </w:lvl>
  </w:abstractNum>
  <w:abstractNum w:abstractNumId="18">
    <w:nsid w:val="79A1DEAA"/>
    <w:multiLevelType w:val="hybridMultilevel"/>
    <w:lvl w:ilvl="0">
      <w:lvlJc w:val="left"/>
      <w:lvlText w:val="•"/>
      <w:numFmt w:val="bullet"/>
      <w:start w:val="1"/>
    </w:lvl>
  </w:abstractNum>
  <w:abstractNum w:abstractNumId="19">
    <w:nsid w:val="75C6C33A"/>
    <w:multiLevelType w:val="hybridMultilevel"/>
    <w:lvl w:ilvl="0">
      <w:lvlJc w:val="left"/>
      <w:lvlText w:val="•"/>
      <w:numFmt w:val="bullet"/>
      <w:start w:val="1"/>
    </w:lvl>
  </w:abstractNum>
  <w:abstractNum w:abstractNumId="20">
    <w:nsid w:val="12E685FB"/>
    <w:multiLevelType w:val="hybridMultilevel"/>
    <w:lvl w:ilvl="0">
      <w:lvlJc w:val="left"/>
      <w:lvlText w:val="•"/>
      <w:numFmt w:val="bullet"/>
      <w:start w:val="1"/>
    </w:lvl>
  </w:abstractNum>
  <w:abstractNum w:abstractNumId="21">
    <w:nsid w:val="70C6A529"/>
    <w:multiLevelType w:val="hybridMultilevel"/>
    <w:lvl w:ilvl="0">
      <w:lvlJc w:val="left"/>
      <w:lvlText w:val="•"/>
      <w:numFmt w:val="bullet"/>
      <w:start w:val="1"/>
    </w:lvl>
  </w:abstractNum>
  <w:abstractNum w:abstractNumId="22">
    <w:nsid w:val="520EEDD1"/>
    <w:multiLevelType w:val="hybridMultilevel"/>
    <w:lvl w:ilvl="0">
      <w:lvlJc w:val="left"/>
      <w:lvlText w:val="•"/>
      <w:numFmt w:val="bullet"/>
      <w:start w:val="1"/>
    </w:lvl>
  </w:abstractNum>
  <w:abstractNum w:abstractNumId="23">
    <w:nsid w:val="374A3FE6"/>
    <w:multiLevelType w:val="hybridMultilevel"/>
    <w:lvl w:ilvl="0">
      <w:lvlJc w:val="left"/>
      <w:lvlText w:val="•"/>
      <w:numFmt w:val="bullet"/>
      <w:start w:val="1"/>
    </w:lvl>
  </w:abstractNum>
  <w:abstractNum w:abstractNumId="24">
    <w:nsid w:val="4F4EF005"/>
    <w:multiLevelType w:val="hybridMultilevel"/>
    <w:lvl w:ilvl="0">
      <w:lvlJc w:val="left"/>
      <w:lvlText w:val="•"/>
      <w:numFmt w:val="bullet"/>
      <w:start w:val="1"/>
    </w:lvl>
  </w:abstractNum>
  <w:abstractNum w:abstractNumId="25">
    <w:nsid w:val="23F9C13C"/>
    <w:multiLevelType w:val="hybridMultilevel"/>
    <w:lvl w:ilvl="0">
      <w:lvlJc w:val="left"/>
      <w:lvlText w:val="•"/>
      <w:numFmt w:val="bullet"/>
      <w:start w:val="1"/>
    </w:lvl>
  </w:abstractNum>
  <w:abstractNum w:abstractNumId="26">
    <w:nsid w:val="649BB77C"/>
    <w:multiLevelType w:val="hybridMultilevel"/>
    <w:lvl w:ilvl="0">
      <w:lvlJc w:val="left"/>
      <w:lvlText w:val="•"/>
      <w:numFmt w:val="bullet"/>
      <w:start w:val="1"/>
    </w:lvl>
  </w:abstractNum>
  <w:abstractNum w:abstractNumId="27">
    <w:nsid w:val="275AC794"/>
    <w:multiLevelType w:val="hybridMultilevel"/>
    <w:lvl w:ilvl="0">
      <w:lvlJc w:val="left"/>
      <w:lvlText w:val="•"/>
      <w:numFmt w:val="bullet"/>
      <w:start w:val="1"/>
    </w:lvl>
  </w:abstractNum>
  <w:abstractNum w:abstractNumId="28">
    <w:nsid w:val="39386575"/>
    <w:multiLevelType w:val="hybridMultilevel"/>
    <w:lvl w:ilvl="0">
      <w:lvlJc w:val="left"/>
      <w:lvlText w:val="•"/>
      <w:numFmt w:val="bullet"/>
      <w:start w:val="1"/>
    </w:lvl>
  </w:abstractNum>
  <w:abstractNum w:abstractNumId="29">
    <w:nsid w:val="1CF10FD8"/>
    <w:multiLevelType w:val="hybridMultilevel"/>
    <w:lvl w:ilvl="0">
      <w:lvlJc w:val="left"/>
      <w:lvlText w:val="•"/>
      <w:numFmt w:val="bullet"/>
      <w:start w:val="1"/>
    </w:lvl>
  </w:abstractNum>
  <w:abstractNum w:abstractNumId="30">
    <w:nsid w:val="180115BE"/>
    <w:multiLevelType w:val="hybridMultilevel"/>
    <w:lvl w:ilvl="0">
      <w:lvlJc w:val="left"/>
      <w:lvlText w:val="•"/>
      <w:numFmt w:val="bullet"/>
      <w:start w:val="1"/>
    </w:lvl>
  </w:abstractNum>
  <w:abstractNum w:abstractNumId="31">
    <w:nsid w:val="235BA861"/>
    <w:multiLevelType w:val="hybridMultilevel"/>
    <w:lvl w:ilvl="0">
      <w:lvlJc w:val="left"/>
      <w:lvlText w:val="•"/>
      <w:numFmt w:val="bullet"/>
      <w:start w:val="1"/>
    </w:lvl>
  </w:abstractNum>
  <w:abstractNum w:abstractNumId="32">
    <w:nsid w:val="47398C89"/>
    <w:multiLevelType w:val="hybridMultilevel"/>
    <w:lvl w:ilvl="0">
      <w:lvlJc w:val="left"/>
      <w:lvlText w:val="•"/>
      <w:numFmt w:val="bullet"/>
      <w:start w:val="1"/>
    </w:lvl>
  </w:abstractNum>
  <w:abstractNum w:abstractNumId="33">
    <w:nsid w:val="354FE9F9"/>
    <w:multiLevelType w:val="hybridMultilevel"/>
    <w:lvl w:ilvl="0">
      <w:lvlJc w:val="left"/>
      <w:lvlText w:val="•"/>
      <w:numFmt w:val="bullet"/>
      <w:start w:val="1"/>
    </w:lvl>
  </w:abstractNum>
  <w:abstractNum w:abstractNumId="34">
    <w:nsid w:val="15B5AF5C"/>
    <w:multiLevelType w:val="hybridMultilevel"/>
    <w:lvl w:ilvl="0">
      <w:lvlJc w:val="left"/>
      <w:lvlText w:val="•"/>
      <w:numFmt w:val="bullet"/>
      <w:start w:val="1"/>
    </w:lvl>
  </w:abstractNum>
  <w:abstractNum w:abstractNumId="35">
    <w:nsid w:val="741226BB"/>
    <w:multiLevelType w:val="hybridMultilevel"/>
    <w:lvl w:ilvl="0">
      <w:lvlJc w:val="left"/>
      <w:lvlText w:val="•"/>
      <w:numFmt w:val="bullet"/>
      <w:start w:val="1"/>
    </w:lvl>
  </w:abstractNum>
  <w:abstractNum w:abstractNumId="36">
    <w:nsid w:val="D34B6A8"/>
    <w:multiLevelType w:val="hybridMultilevel"/>
    <w:lvl w:ilvl="0">
      <w:lvlJc w:val="left"/>
      <w:lvlText w:val="•"/>
      <w:numFmt w:val="bullet"/>
      <w:start w:val="1"/>
    </w:lvl>
  </w:abstractNum>
  <w:abstractNum w:abstractNumId="37">
    <w:nsid w:val="10233C99"/>
    <w:multiLevelType w:val="hybridMultilevel"/>
    <w:lvl w:ilvl="0">
      <w:lvlJc w:val="left"/>
      <w:lvlText w:val="•"/>
      <w:numFmt w:val="bullet"/>
      <w:start w:val="1"/>
    </w:lvl>
  </w:abstractNum>
  <w:abstractNum w:abstractNumId="38">
    <w:nsid w:val="3F6AB60F"/>
    <w:multiLevelType w:val="hybridMultilevel"/>
    <w:lvl w:ilvl="0">
      <w:lvlJc w:val="left"/>
      <w:lvlText w:val="•"/>
      <w:numFmt w:val="bullet"/>
      <w:start w:val="1"/>
    </w:lvl>
  </w:abstractNum>
  <w:abstractNum w:abstractNumId="39">
    <w:nsid w:val="61574095"/>
    <w:multiLevelType w:val="hybridMultilevel"/>
    <w:lvl w:ilvl="0">
      <w:lvlJc w:val="left"/>
      <w:lvlText w:val="•"/>
      <w:numFmt w:val="bullet"/>
      <w:start w:val="1"/>
    </w:lvl>
  </w:abstractNum>
  <w:abstractNum w:abstractNumId="40">
    <w:nsid w:val="7E0C57B1"/>
    <w:multiLevelType w:val="hybridMultilevel"/>
    <w:lvl w:ilvl="0">
      <w:lvlJc w:val="left"/>
      <w:lvlText w:val="•"/>
      <w:numFmt w:val="bullet"/>
      <w:start w:val="1"/>
    </w:lvl>
  </w:abstractNum>
  <w:abstractNum w:abstractNumId="41">
    <w:nsid w:val="77AE35EB"/>
    <w:multiLevelType w:val="hybridMultilevel"/>
    <w:lvl w:ilvl="0">
      <w:lvlJc w:val="left"/>
      <w:lvlText w:val="•"/>
      <w:numFmt w:val="bullet"/>
      <w:start w:val="1"/>
    </w:lvl>
  </w:abstractNum>
  <w:abstractNum w:abstractNumId="42">
    <w:nsid w:val="579BE4F1"/>
    <w:multiLevelType w:val="hybridMultilevel"/>
    <w:lvl w:ilvl="0">
      <w:lvlJc w:val="left"/>
      <w:lvlText w:val="•"/>
      <w:numFmt w:val="bullet"/>
      <w:start w:val="1"/>
    </w:lvl>
  </w:abstractNum>
  <w:abstractNum w:abstractNumId="43">
    <w:nsid w:val="310C50B3"/>
    <w:multiLevelType w:val="hybridMultilevel"/>
    <w:lvl w:ilvl="0">
      <w:lvlJc w:val="left"/>
      <w:lvlText w:val="•"/>
      <w:numFmt w:val="bullet"/>
      <w:start w:val="1"/>
    </w:lvl>
  </w:abstractNum>
  <w:abstractNum w:abstractNumId="44">
    <w:nsid w:val="5FF87E05"/>
    <w:multiLevelType w:val="hybridMultilevel"/>
    <w:lvl w:ilvl="0">
      <w:lvlJc w:val="left"/>
      <w:lvlText w:val="•"/>
      <w:numFmt w:val="bullet"/>
      <w:start w:val="1"/>
    </w:lvl>
  </w:abstractNum>
  <w:abstractNum w:abstractNumId="45">
    <w:nsid w:val="2F305DEF"/>
    <w:multiLevelType w:val="hybridMultilevel"/>
    <w:lvl w:ilvl="0">
      <w:lvlJc w:val="left"/>
      <w:lvlText w:val="•"/>
      <w:numFmt w:val="bullet"/>
      <w:start w:val="1"/>
    </w:lvl>
  </w:abstractNum>
  <w:abstractNum w:abstractNumId="46">
    <w:nsid w:val="25A70BF7"/>
    <w:multiLevelType w:val="hybridMultilevel"/>
    <w:lvl w:ilvl="0">
      <w:lvlJc w:val="left"/>
      <w:lvlText w:val="•"/>
      <w:numFmt w:val="bullet"/>
      <w:start w:val="1"/>
    </w:lvl>
  </w:abstractNum>
  <w:abstractNum w:abstractNumId="47">
    <w:nsid w:val="1DBABF00"/>
    <w:multiLevelType w:val="hybridMultilevel"/>
    <w:lvl w:ilvl="0">
      <w:lvlJc w:val="left"/>
      <w:lvlText w:val="•"/>
      <w:numFmt w:val="bullet"/>
      <w:start w:val="1"/>
    </w:lvl>
  </w:abstractNum>
  <w:abstractNum w:abstractNumId="48">
    <w:nsid w:val="4AD084E9"/>
    <w:multiLevelType w:val="hybridMultilevel"/>
    <w:lvl w:ilvl="0">
      <w:lvlJc w:val="left"/>
      <w:lvlText w:val="•"/>
      <w:numFmt w:val="bullet"/>
      <w:start w:val="1"/>
    </w:lvl>
  </w:abstractNum>
  <w:abstractNum w:abstractNumId="49">
    <w:nsid w:val="1F48EAA1"/>
    <w:multiLevelType w:val="hybridMultilevel"/>
    <w:lvl w:ilvl="0">
      <w:lvlJc w:val="left"/>
      <w:lvlText w:val="•"/>
      <w:numFmt w:val="bullet"/>
      <w:start w:val="1"/>
    </w:lvl>
  </w:abstractNum>
  <w:abstractNum w:abstractNumId="50">
    <w:nsid w:val="1381823A"/>
    <w:multiLevelType w:val="hybridMultilevel"/>
    <w:lvl w:ilvl="0">
      <w:lvlJc w:val="left"/>
      <w:lvlText w:val="•"/>
      <w:numFmt w:val="bullet"/>
      <w:start w:val="1"/>
    </w:lvl>
  </w:abstractNum>
  <w:abstractNum w:abstractNumId="51">
    <w:nsid w:val="5DB70AE5"/>
    <w:multiLevelType w:val="hybridMultilevel"/>
    <w:lvl w:ilvl="0">
      <w:lvlJc w:val="left"/>
      <w:lvlText w:val="•"/>
      <w:numFmt w:val="bullet"/>
      <w:start w:val="1"/>
    </w:lvl>
  </w:abstractNum>
  <w:abstractNum w:abstractNumId="52">
    <w:nsid w:val="100F8FCA"/>
    <w:multiLevelType w:val="hybridMultilevel"/>
    <w:lvl w:ilvl="0">
      <w:lvlJc w:val="left"/>
      <w:lvlText w:val="•"/>
      <w:numFmt w:val="bullet"/>
      <w:start w:val="1"/>
    </w:lvl>
  </w:abstractNum>
  <w:abstractNum w:abstractNumId="53">
    <w:nsid w:val="6590700B"/>
    <w:multiLevelType w:val="hybridMultilevel"/>
    <w:lvl w:ilvl="0">
      <w:lvlJc w:val="left"/>
      <w:lvlText w:val="•"/>
      <w:numFmt w:val="bullet"/>
      <w:start w:val="1"/>
    </w:lvl>
  </w:abstractNum>
  <w:abstractNum w:abstractNumId="54">
    <w:nsid w:val="15014ACB"/>
    <w:multiLevelType w:val="hybridMultilevel"/>
    <w:lvl w:ilvl="0">
      <w:lvlJc w:val="left"/>
      <w:lvlText w:val="•"/>
      <w:numFmt w:val="bullet"/>
      <w:start w:val="1"/>
    </w:lvl>
  </w:abstractNum>
  <w:abstractNum w:abstractNumId="55">
    <w:nsid w:val="5F5E7FD0"/>
    <w:multiLevelType w:val="hybridMultilevel"/>
    <w:lvl w:ilvl="0">
      <w:lvlJc w:val="left"/>
      <w:lvlText w:val="•"/>
      <w:numFmt w:val="bullet"/>
      <w:start w:val="1"/>
    </w:lvl>
  </w:abstractNum>
  <w:abstractNum w:abstractNumId="56">
    <w:nsid w:val="98A3148"/>
    <w:multiLevelType w:val="hybridMultilevel"/>
    <w:lvl w:ilvl="0">
      <w:lvlJc w:val="left"/>
      <w:lvlText w:val="(%1)"/>
      <w:numFmt w:val="lowerRoman"/>
      <w:start w:val="1"/>
    </w:lvl>
  </w:abstractNum>
  <w:abstractNum w:abstractNumId="57">
    <w:nsid w:val="799D0247"/>
    <w:multiLevelType w:val="hybridMultilevel"/>
    <w:lvl w:ilvl="0">
      <w:lvlJc w:val="left"/>
      <w:lvlText w:val="(%1)"/>
      <w:numFmt w:val="lowerLetter"/>
      <w:start w:val="1"/>
    </w:lvl>
  </w:abstractNum>
  <w:abstractNum w:abstractNumId="58">
    <w:nsid w:val="6B94764"/>
    <w:multiLevelType w:val="hybridMultilevel"/>
    <w:lvl w:ilvl="0">
      <w:lvlJc w:val="left"/>
      <w:lvlText w:val="•"/>
      <w:numFmt w:val="bullet"/>
      <w:start w:val="1"/>
    </w:lvl>
  </w:abstractNum>
  <w:abstractNum w:abstractNumId="59">
    <w:nsid w:val="42C296BD"/>
    <w:multiLevelType w:val="hybridMultilevel"/>
    <w:lvl w:ilvl="0">
      <w:lvlJc w:val="left"/>
      <w:lvlText w:val="•"/>
      <w:numFmt w:val="bullet"/>
      <w:start w:val="1"/>
    </w:lvl>
  </w:abstractNum>
  <w:abstractNum w:abstractNumId="60">
    <w:nsid w:val="168E121F"/>
    <w:multiLevelType w:val="hybridMultilevel"/>
    <w:lvl w:ilvl="0">
      <w:lvlJc w:val="left"/>
      <w:lvlText w:val="•"/>
      <w:numFmt w:val="bullet"/>
      <w:start w:val="1"/>
    </w:lvl>
  </w:abstractNum>
  <w:abstractNum w:abstractNumId="61">
    <w:nsid w:val="1EBA5D23"/>
    <w:multiLevelType w:val="hybridMultilevel"/>
    <w:lvl w:ilvl="0">
      <w:lvlJc w:val="left"/>
      <w:lvlText w:val="•"/>
      <w:numFmt w:val="bullet"/>
      <w:start w:val="1"/>
    </w:lvl>
  </w:abstractNum>
  <w:abstractNum w:abstractNumId="62">
    <w:nsid w:val="661E3F1E"/>
    <w:multiLevelType w:val="hybridMultilevel"/>
    <w:lvl w:ilvl="0">
      <w:lvlJc w:val="left"/>
      <w:lvlText w:val="•"/>
      <w:numFmt w:val="bullet"/>
      <w:start w:val="1"/>
    </w:lvl>
  </w:abstractNum>
  <w:abstractNum w:abstractNumId="63">
    <w:nsid w:val="5DC79EA8"/>
    <w:multiLevelType w:val="hybridMultilevel"/>
    <w:lvl w:ilvl="0">
      <w:lvlJc w:val="left"/>
      <w:lvlText w:val="•"/>
      <w:numFmt w:val="bullet"/>
      <w:start w:val="1"/>
    </w:lvl>
  </w:abstractNum>
  <w:abstractNum w:abstractNumId="64">
    <w:nsid w:val="540A471C"/>
    <w:multiLevelType w:val="hybridMultilevel"/>
    <w:lvl w:ilvl="0">
      <w:lvlJc w:val="left"/>
      <w:lvlText w:val="•"/>
      <w:numFmt w:val="bullet"/>
      <w:start w:val="1"/>
    </w:lvl>
  </w:abstractNum>
  <w:abstractNum w:abstractNumId="65">
    <w:nsid w:val="7BD3EE7B"/>
    <w:multiLevelType w:val="hybridMultilevel"/>
    <w:lvl w:ilvl="0">
      <w:lvlJc w:val="left"/>
      <w:lvlText w:val="•"/>
      <w:numFmt w:val="bullet"/>
      <w:start w:val="1"/>
    </w:lvl>
  </w:abstractNum>
  <w:abstractNum w:abstractNumId="66">
    <w:nsid w:val="51D9C564"/>
    <w:multiLevelType w:val="hybridMultilevel"/>
    <w:lvl w:ilvl="0">
      <w:lvlJc w:val="left"/>
      <w:lvlText w:val="1"/>
      <w:numFmt w:val="bullet"/>
      <w:start w:val="1"/>
    </w:lvl>
  </w:abstractNum>
  <w:abstractNum w:abstractNumId="67">
    <w:nsid w:val="613EFDC5"/>
    <w:multiLevelType w:val="hybridMultilevel"/>
    <w:lvl w:ilvl="0">
      <w:lvlJc w:val="left"/>
      <w:lvlText w:val="•"/>
      <w:numFmt w:val="bullet"/>
      <w:start w:val="1"/>
    </w:lvl>
  </w:abstractNum>
  <w:abstractNum w:abstractNumId="68">
    <w:nsid w:val="BF72B14"/>
    <w:multiLevelType w:val="hybridMultilevel"/>
    <w:lvl w:ilvl="0">
      <w:lvlJc w:val="left"/>
      <w:lvlText w:val="•"/>
      <w:numFmt w:val="bullet"/>
      <w:start w:val="1"/>
    </w:lvl>
  </w:abstractNum>
  <w:abstractNum w:abstractNumId="69">
    <w:nsid w:val="11447B73"/>
    <w:multiLevelType w:val="hybridMultilevel"/>
    <w:lvl w:ilvl="0">
      <w:lvlJc w:val="left"/>
      <w:lvlText w:val="•"/>
      <w:numFmt w:val="bullet"/>
      <w:start w:val="1"/>
    </w:lvl>
  </w:abstractNum>
  <w:abstractNum w:abstractNumId="70">
    <w:nsid w:val="42963E5A"/>
    <w:multiLevelType w:val="hybridMultilevel"/>
    <w:lvl w:ilvl="0">
      <w:lvlJc w:val="left"/>
      <w:lvlText w:val="•"/>
      <w:numFmt w:val="bullet"/>
      <w:start w:val="1"/>
    </w:lvl>
  </w:abstractNum>
  <w:abstractNum w:abstractNumId="71">
    <w:nsid w:val="A0382C5"/>
    <w:multiLevelType w:val="hybridMultilevel"/>
    <w:lvl w:ilvl="0">
      <w:lvlJc w:val="left"/>
      <w:lvlText w:val="•"/>
      <w:numFmt w:val="bullet"/>
      <w:start w:val="1"/>
    </w:lvl>
  </w:abstractNum>
  <w:abstractNum w:abstractNumId="72">
    <w:nsid w:val="8F2B15E"/>
    <w:multiLevelType w:val="hybridMultilevel"/>
    <w:lvl w:ilvl="0">
      <w:lvlJc w:val="left"/>
      <w:lvlText w:val="¹"/>
      <w:numFmt w:val="bullet"/>
      <w:start w:val="1"/>
    </w:lvl>
  </w:abstractNum>
  <w:abstractNum w:abstractNumId="73">
    <w:nsid w:val="1A32234B"/>
    <w:multiLevelType w:val="hybridMultilevel"/>
    <w:lvl w:ilvl="0">
      <w:lvlJc w:val="left"/>
      <w:lvlText w:val="²"/>
      <w:numFmt w:val="bullet"/>
      <w:start w:val="1"/>
    </w:lvl>
  </w:abstractNum>
  <w:abstractNum w:abstractNumId="74">
    <w:nsid w:val="3B0FD379"/>
    <w:multiLevelType w:val="hybridMultilevel"/>
    <w:lvl w:ilvl="0">
      <w:lvlJc w:val="left"/>
      <w:lvlText w:val="(%1)"/>
      <w:numFmt w:val="lowerLetter"/>
      <w:start w:val="2"/>
    </w:lvl>
  </w:abstractNum>
  <w:abstractNum w:abstractNumId="75">
    <w:nsid w:val="68EB2F63"/>
    <w:multiLevelType w:val="hybridMultilevel"/>
    <w:lvl w:ilvl="0">
      <w:lvlJc w:val="left"/>
      <w:lvlText w:val="(%1)"/>
      <w:numFmt w:val="lowerRoman"/>
      <w:start w:val="2"/>
    </w:lvl>
  </w:abstractNum>
  <w:abstractNum w:abstractNumId="76">
    <w:nsid w:val="4962813B"/>
    <w:multiLevelType w:val="hybridMultilevel"/>
    <w:lvl w:ilvl="0">
      <w:lvlJc w:val="left"/>
      <w:lvlText w:val="(%1)"/>
      <w:numFmt w:val="lowerLetter"/>
      <w:start w:val="1"/>
    </w:lvl>
  </w:abstractNum>
  <w:abstractNum w:abstractNumId="77">
    <w:nsid w:val="60B6DF70"/>
    <w:multiLevelType w:val="hybridMultilevel"/>
    <w:lvl w:ilvl="0">
      <w:lvlJc w:val="left"/>
      <w:lvlText w:val="%1"/>
      <w:numFmt w:val="decimal"/>
      <w:start w:val="97"/>
    </w:lvl>
  </w:abstractNum>
  <w:abstractNum w:abstractNumId="78">
    <w:nsid w:val="6A5EE64"/>
    <w:multiLevelType w:val="hybridMultilevel"/>
    <w:lvl w:ilvl="0">
      <w:lvlJc w:val="left"/>
      <w:lvlText w:val="%1"/>
      <w:numFmt w:val="decimal"/>
      <w:start w:val="104"/>
    </w:lvl>
  </w:abstractNum>
  <w:abstractNum w:abstractNumId="79">
    <w:nsid w:val="14330624"/>
    <w:multiLevelType w:val="hybridMultilevel"/>
    <w:lvl w:ilvl="0">
      <w:lvlJc w:val="left"/>
      <w:lvlText w:val="^"/>
      <w:numFmt w:val="bullet"/>
      <w:start w:val="1"/>
    </w:lvl>
  </w:abstractNum>
  <w:abstractNum w:abstractNumId="80">
    <w:nsid w:val="7FFFCA11"/>
    <w:multiLevelType w:val="hybridMultilevel"/>
    <w:lvl w:ilvl="0">
      <w:lvlJc w:val="left"/>
      <w:lvlText w:val="*"/>
      <w:numFmt w:val="bullet"/>
      <w:start w:val="1"/>
    </w:lvl>
  </w:abstractNum>
  <w:abstractNum w:abstractNumId="81">
    <w:nsid w:val="1A27709E"/>
    <w:multiLevelType w:val="hybridMultilevel"/>
    <w:lvl w:ilvl="0">
      <w:lvlJc w:val="left"/>
      <w:lvlText w:val="**"/>
      <w:numFmt w:val="bullet"/>
      <w:start w:val="1"/>
    </w:lvl>
  </w:abstractNum>
  <w:abstractNum w:abstractNumId="82">
    <w:nsid w:val="71EA1109"/>
    <w:multiLevelType w:val="hybridMultilevel"/>
    <w:lvl w:ilvl="0">
      <w:lvlJc w:val="left"/>
      <w:lvlText w:val="†"/>
      <w:numFmt w:val="bullet"/>
      <w:start w:val="1"/>
    </w:lvl>
  </w:abstractNum>
  <w:abstractNum w:abstractNumId="83">
    <w:nsid w:val="100F59DC"/>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2026-05-01T01:38:10Z</dcterms:created>
  <dcterms:modified xsi:type="dcterms:W3CDTF">2026-05-01T01:38:10Z</dcterms:modified>
</cp:coreProperties>
</file>