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2267d8k.htm"/>
      <w:bookmarkStart w:id="1" w:name="ksd9322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February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CENTESSA PHARMACEUTICALS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70" w:type="dxa"/>
        <w:jc w:val="left"/>
        <w:tblInd w:w="0" w:type="dxa"/>
        <w:tblLayout w:type="fixed"/>
        <w:tblCellMar>
          <w:top w:w="0" w:type="dxa"/>
          <w:left w:w="0" w:type="dxa"/>
          <w:bottom w:w="0" w:type="dxa"/>
          <w:right w:w="0" w:type="dxa"/>
        </w:tblCellMar>
      </w:tblPr>
      <w:tblGrid>
        <w:gridCol w:w="2720"/>
        <w:gridCol w:w="60"/>
        <w:gridCol w:w="1055"/>
        <w:gridCol w:w="60"/>
        <w:gridCol w:w="2375"/>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001-40445</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98-1612294</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Mailing address:</w:t>
      </w:r>
    </w:p>
    <w:p>
      <w:pPr>
        <w:pStyle w:val="TextBody"/>
        <w:bidi w:val="0"/>
        <w:spacing w:before="0" w:after="0"/>
        <w:jc w:val="center"/>
        <w:rPr>
          <w:rFonts w:ascii="Times New Roman" w:hAnsi="Times New Roman"/>
          <w:b/>
          <w:sz w:val="20"/>
        </w:rPr>
      </w:pPr>
      <w:r>
        <w:rPr>
          <w:rFonts w:ascii="Times New Roman" w:hAnsi="Times New Roman"/>
          <w:b/>
          <w:sz w:val="20"/>
        </w:rPr>
        <w:t>3rd Floor</w:t>
      </w:r>
    </w:p>
    <w:p>
      <w:pPr>
        <w:pStyle w:val="TextBody"/>
        <w:bidi w:val="0"/>
        <w:spacing w:before="0" w:after="0"/>
        <w:jc w:val="center"/>
        <w:rPr>
          <w:rFonts w:ascii="Times New Roman" w:hAnsi="Times New Roman"/>
          <w:b/>
          <w:sz w:val="20"/>
        </w:rPr>
      </w:pPr>
      <w:r>
        <w:rPr>
          <w:rFonts w:ascii="Times New Roman" w:hAnsi="Times New Roman"/>
          <w:b/>
          <w:sz w:val="20"/>
        </w:rPr>
        <w:t>1 Ashley Road</w:t>
      </w:r>
    </w:p>
    <w:p>
      <w:pPr>
        <w:pStyle w:val="TextBody"/>
        <w:bidi w:val="0"/>
        <w:spacing w:before="0" w:after="0"/>
        <w:jc w:val="center"/>
        <w:rPr>
          <w:rFonts w:ascii="Times New Roman" w:hAnsi="Times New Roman"/>
          <w:b/>
          <w:sz w:val="20"/>
        </w:rPr>
      </w:pPr>
      <w:r>
        <w:rPr>
          <w:rFonts w:ascii="Times New Roman" w:hAnsi="Times New Roman"/>
          <w:b/>
          <w:sz w:val="20"/>
        </w:rPr>
        <w:t>Altrincham</w:t>
      </w:r>
    </w:p>
    <w:p>
      <w:pPr>
        <w:pStyle w:val="TextBody"/>
        <w:bidi w:val="0"/>
        <w:spacing w:before="0" w:after="0"/>
        <w:jc w:val="center"/>
        <w:rPr>
          <w:rFonts w:ascii="Times New Roman" w:hAnsi="Times New Roman"/>
          <w:b/>
          <w:sz w:val="20"/>
        </w:rPr>
      </w:pPr>
      <w:r>
        <w:rPr>
          <w:rFonts w:ascii="Times New Roman" w:hAnsi="Times New Roman"/>
          <w:b/>
          <w:sz w:val="20"/>
        </w:rPr>
        <w:t>Cheshire WA14 2DT</w:t>
      </w:r>
    </w:p>
    <w:p>
      <w:pPr>
        <w:pStyle w:val="TextBody"/>
        <w:bidi w:val="0"/>
        <w:spacing w:before="0" w:after="0"/>
        <w:jc w:val="center"/>
        <w:rPr>
          <w:rFonts w:ascii="Times New Roman" w:hAnsi="Times New Roman"/>
          <w:b/>
          <w:sz w:val="20"/>
        </w:rPr>
      </w:pPr>
      <w:r>
        <w:rPr>
          <w:rFonts w:ascii="Times New Roman" w:hAnsi="Times New Roman"/>
          <w:b/>
          <w:sz w:val="20"/>
        </w:rPr>
        <w:t>United Kingdom</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+1 (617) 468-5770</w:t>
      </w:r>
    </w:p>
    <w:p>
      <w:pPr>
        <w:pStyle w:val="TextBody"/>
        <w:bidi w:val="0"/>
        <w:spacing w:before="240" w:after="0"/>
        <w:jc w:val="center"/>
        <w:rPr>
          <w:rFonts w:ascii="Times New Roman" w:hAnsi="Times New Roman"/>
          <w:b/>
          <w:sz w:val="20"/>
        </w:rPr>
      </w:pPr>
      <w:r>
        <w:rPr>
          <w:rFonts w:ascii="Times New Roman" w:hAnsi="Times New Roman"/>
          <w:b/>
          <w:sz w:val="20"/>
        </w:rPr>
        <w:t>Former name or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22"/>
        <w:gridCol w:w="60"/>
        <w:gridCol w:w="726"/>
        <w:gridCol w:w="60"/>
        <w:gridCol w:w="2437"/>
      </w:tblGrid>
      <w:tr>
        <w:trPr/>
        <w:tc>
          <w:tcPr>
            <w:tcW w:w="6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92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922" w:type="dxa"/>
            <w:tcBorders/>
            <w:vAlign w:val="center"/>
          </w:tcPr>
          <w:p>
            <w:pPr>
              <w:pStyle w:val="TableContents"/>
              <w:bidi w:val="0"/>
              <w:spacing w:before="0" w:after="283"/>
              <w:jc w:val="center"/>
              <w:rPr/>
            </w:pPr>
            <w:r>
              <w:rPr/>
              <w:t>Ordinary shares, nominal value £0.002 per share</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CNTA</w:t>
            </w:r>
          </w:p>
        </w:tc>
        <w:tc>
          <w:tcPr>
            <w:tcW w:w="60"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center"/>
              <w:rPr/>
            </w:pPr>
            <w:r>
              <w:rPr/>
              <w:t>The Nasdaq Stock Market LLC*</w:t>
            </w:r>
          </w:p>
        </w:tc>
      </w:tr>
      <w:tr>
        <w:trPr/>
        <w:tc>
          <w:tcPr>
            <w:tcW w:w="6922" w:type="dxa"/>
            <w:tcBorders/>
            <w:vAlign w:val="center"/>
          </w:tcPr>
          <w:p>
            <w:pPr>
              <w:pStyle w:val="TableContents"/>
              <w:bidi w:val="0"/>
              <w:spacing w:before="0" w:after="283"/>
              <w:jc w:val="center"/>
              <w:rPr/>
            </w:pPr>
            <w:r>
              <w:rPr/>
              <w:t>American Depositary Shares, each representing one ordinary share, nominal value £0.002 per share</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CNTA</w:t>
            </w:r>
          </w:p>
        </w:tc>
        <w:tc>
          <w:tcPr>
            <w:tcW w:w="60" w:type="dxa"/>
            <w:tcBorders/>
            <w:vAlign w:val="center"/>
          </w:tcPr>
          <w:p>
            <w:pPr>
              <w:pStyle w:val="TableContents"/>
              <w:bidi w:val="0"/>
              <w:spacing w:before="0" w:after="283"/>
              <w:jc w:val="left"/>
              <w:rPr/>
            </w:pPr>
            <w:r>
              <w:rPr/>
              <w:t> </w:t>
            </w:r>
          </w:p>
        </w:tc>
        <w:tc>
          <w:tcPr>
            <w:tcW w:w="2437" w:type="dxa"/>
            <w:tcBorders/>
            <w:vAlign w:val="center"/>
          </w:tcPr>
          <w:p>
            <w:pPr>
              <w:pStyle w:val="TableContents"/>
              <w:bidi w:val="0"/>
              <w:spacing w:before="0" w:after="283"/>
              <w:jc w:val="center"/>
              <w:rPr/>
            </w:pPr>
            <w:r>
              <w:rPr/>
              <w:t>The Nasdaq Stock Market LLC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for trading, but only in connection with the listing of the American Depositary Shares on 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left"/>
        <w:rPr>
          <w:rFonts w:ascii="Times New Roman" w:hAnsi="Times New Roman"/>
          <w:sz w:val="20"/>
        </w:rPr>
      </w:pPr>
      <w:r>
        <w:rPr>
          <w:rFonts w:ascii="Times New Roman" w:hAnsi="Times New Roman"/>
          <w:sz w:val="20"/>
        </w:rPr>
        <w:t>As previously disclosed, effective January 1, 2026, Saurabh Saha, M.D., Ph.D., stepped down from his position as Chief Executive Officer and a member of the Board of Directors of Centessa Pharmaceuticals plc (the “Company” or “Centessa”). In connection with his appointment as advisor to the CEO, on February 9, 2026, the Company entered into an Advisory Agreement (the “Advisory Agreement”) and a separation agreement and general release (the “Separation Agreement”) with Dr. Saha. Pursuant to the Advisory Agreement, Dr. Saha has agreed to provide certain advisory services to the Company for an initial six-month period, automatically continuing thereafter unless terminated by either party, for an hourly advisory fee of $376.00, plus reimbursement of business expenses. The Separation Agreement provides for (i) vesting of Dr. Saha’s equity grants that were due to vest on or prior to February 2, 2026 under the Centessa Amended and Restated 2021 Stock Option and Incentive Plan, with all equity due to vest after that date forfeited, and with an exercise window for vested equity awards through three months following termination of the Advisory Agreement, (ii) subject to Compensation Committee approval, a bonus payment equal to 100% of Dr. Saha’s target bonus for the year ended December 31, 2025, and (iii) eligibility to participate in applicable Company benefit plans. These extended benefits are provided in lieu of any other severance payments or noncompetition consideration under prior agreements, and the Separation Agreement, which includes a general release of claims, becomes effective upon expiration of a seven-business-day revocation period following execution.</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240" w:after="0"/>
        <w:jc w:val="left"/>
        <w:rPr>
          <w:rFonts w:ascii="Times New Roman" w:hAnsi="Times New Roman"/>
          <w:sz w:val="20"/>
        </w:rPr>
      </w:pPr>
      <w:r>
        <w:rPr>
          <w:rFonts w:ascii="Times New Roman" w:hAnsi="Times New Roman"/>
          <w:sz w:val="20"/>
        </w:rPr>
        <w:t>Date: February 13, 2026</w:t>
      </w:r>
    </w:p>
    <w:p>
      <w:pPr>
        <w:pStyle w:val="TextBody"/>
        <w:bidi w:val="0"/>
        <w:spacing w:before="0" w:after="0"/>
        <w:jc w:val="left"/>
        <w:rPr/>
      </w:pPr>
      <w:r>
        <w:rPr/>
        <w:t> </w:t>
      </w:r>
    </w:p>
    <w:tbl>
      <w:tblPr>
        <w:tblW w:w="4704" w:type="dxa"/>
        <w:jc w:val="left"/>
        <w:tblInd w:w="0" w:type="dxa"/>
        <w:tblLayout w:type="fixed"/>
        <w:tblCellMar>
          <w:top w:w="0" w:type="dxa"/>
          <w:left w:w="0" w:type="dxa"/>
          <w:bottom w:w="0" w:type="dxa"/>
          <w:right w:w="0" w:type="dxa"/>
        </w:tblCellMar>
      </w:tblPr>
      <w:tblGrid>
        <w:gridCol w:w="155"/>
        <w:gridCol w:w="60"/>
        <w:gridCol w:w="1047"/>
        <w:gridCol w:w="90"/>
        <w:gridCol w:w="3352"/>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89" w:type="dxa"/>
            <w:gridSpan w:val="3"/>
            <w:tcBorders/>
            <w:vAlign w:val="center"/>
          </w:tcPr>
          <w:p>
            <w:pPr>
              <w:pStyle w:val="TableContents"/>
              <w:bidi w:val="0"/>
              <w:spacing w:before="0" w:after="283"/>
              <w:jc w:val="left"/>
              <w:rPr>
                <w:b/>
              </w:rPr>
            </w:pPr>
            <w:r>
              <w:rPr>
                <w:b/>
              </w:rPr>
              <w:t>CENTESSA PHARMACEUTICALS PLC</w:t>
            </w:r>
          </w:p>
        </w:tc>
      </w:tr>
      <w:tr>
        <w:trPr/>
        <w:tc>
          <w:tcPr>
            <w:tcW w:w="155" w:type="dxa"/>
            <w:tcBorders/>
            <w:vAlign w:val="center"/>
          </w:tcPr>
          <w:p>
            <w:pPr>
              <w:pStyle w:val="TableContents"/>
              <w:bidi w:val="0"/>
              <w:spacing w:before="0" w:after="283"/>
              <w:jc w:val="left"/>
              <w:rPr>
                <w:sz w:val="4"/>
                <w:szCs w:val="4"/>
              </w:rPr>
            </w:pPr>
            <w:r>
              <w:rPr>
                <w:sz w:val="4"/>
                <w:szCs w:val="4"/>
              </w:rPr>
            </w:r>
          </w:p>
        </w:tc>
        <w:tc>
          <w:tcPr>
            <w:tcW w:w="1107" w:type="dxa"/>
            <w:gridSpan w:val="2"/>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b/>
              </w:rPr>
            </w:pPr>
            <w:r>
              <w:rPr>
                <w:b/>
              </w:rPr>
              <w:t>By:</w:t>
            </w:r>
          </w:p>
        </w:tc>
        <w:tc>
          <w:tcPr>
            <w:tcW w:w="90" w:type="dxa"/>
            <w:tcBorders/>
            <w:vAlign w:val="center"/>
          </w:tcPr>
          <w:p>
            <w:pPr>
              <w:pStyle w:val="TableContents"/>
              <w:bidi w:val="0"/>
              <w:spacing w:before="0" w:after="283"/>
              <w:jc w:val="left"/>
              <w:rPr/>
            </w:pPr>
            <w:r>
              <w:rPr/>
              <w:t> </w:t>
            </w:r>
          </w:p>
        </w:tc>
        <w:tc>
          <w:tcPr>
            <w:tcW w:w="3352"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John Crowley</w:t>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3352" w:type="dxa"/>
            <w:tcBorders/>
            <w:vAlign w:val="center"/>
          </w:tcPr>
          <w:p>
            <w:pPr>
              <w:pStyle w:val="TableContents"/>
              <w:bidi w:val="0"/>
              <w:spacing w:before="0" w:after="283"/>
              <w:jc w:val="left"/>
              <w:rPr/>
            </w:pPr>
            <w:r>
              <w:rPr/>
              <w:t>John Crowley</w:t>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b/>
              </w:rPr>
            </w:pPr>
            <w:r>
              <w:rPr>
                <w:b/>
              </w:rPr>
              <w:t>Title:</w:t>
            </w:r>
          </w:p>
        </w:tc>
        <w:tc>
          <w:tcPr>
            <w:tcW w:w="90" w:type="dxa"/>
            <w:tcBorders/>
            <w:vAlign w:val="center"/>
          </w:tcPr>
          <w:p>
            <w:pPr>
              <w:pStyle w:val="TableContents"/>
              <w:bidi w:val="0"/>
              <w:spacing w:before="0" w:after="283"/>
              <w:jc w:val="left"/>
              <w:rPr/>
            </w:pPr>
            <w:r>
              <w:rPr/>
              <w:t> </w:t>
            </w:r>
          </w:p>
        </w:tc>
        <w:tc>
          <w:tcPr>
            <w:tcW w:w="3352"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677</Words>
  <Characters>3807</Characters>
  <CharactersWithSpaces>4463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