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0.002 GBP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8,925,010.00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8,925,010.00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8,925,010.00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8,925,010.00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8,925,010.00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8,925,010.00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8,925,010.00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8,925,010.00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8,925,010.00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Centessa Pharmaceuticals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399"/>
        <w:spacing w:after="0"/>
        <w:rPr>
          <w:sz w:val="20"/>
          <w:szCs w:val="20"/>
          <w:color w:val="auto"/>
        </w:rPr>
      </w:pPr>
      <w:r>
        <w:rPr>
          <w:rFonts w:ascii="Times New Roman" w:cs="Times New Roman" w:eastAsia="Times New Roman" w:hAnsi="Times New Roman"/>
          <w:sz w:val="22"/>
          <w:szCs w:val="22"/>
          <w:color w:val="auto"/>
        </w:rPr>
        <w:t>3rd Floor, 1 Ashley Road, Altrincham, Cheshire, WA14 2DT United Kingdom</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American Depositary Shares, each representing one ordinary share, nominal value 0.002 GBP per share ("Ordinary Shares") of Centessa Pharmaceuticals PLC, a limited liability company incorporated under the laws of England and Wales (the "Company") underlying the ADSs (as defined below)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w:t>
      </w:r>
    </w:p>
    <w:p>
      <w:pPr>
        <w:spacing w:after="0" w:line="4" w:lineRule="exact"/>
        <w:rPr>
          <w:sz w:val="20"/>
          <w:szCs w:val="20"/>
          <w:color w:val="auto"/>
        </w:rPr>
      </w:pPr>
    </w:p>
    <w:p>
      <w:pPr>
        <w:ind w:left="920" w:right="60" w:hanging="912"/>
        <w:spacing w:after="0" w:line="23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managing member of Adage Capital Partners LLC, a Delaware limited liability company ("ACPLLC"), general partner of ACM, with respect to the Ordinary Shares underlying the ADSs directly held by ACP; and (iii) Phillip Gross ("Mr. Gross"), as (1) managing member of ACA, managing member of ACPGP and (2) managing member of ACPLLC, general partner of ACM, with respect to the Ordinary Shares underlying the ADSs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 There is no CUSIP number assigned to the Ordinary Shares. The CUSIP number 152309100 has been assigned to the American Depositary Shares ("ADSs") of the Company, which are quoted on Nasdaq under the symbol "CNTA." Each ADS represents one Ordinary Share.</w:t>
      </w:r>
    </w:p>
    <w:p>
      <w:pPr>
        <w:sectPr>
          <w:pgSz w:w="11900" w:h="16838" w:orient="portrait"/>
          <w:cols w:equalWidth="0" w:num="1">
            <w:col w:w="11120"/>
          </w:cols>
          <w:pgMar w:left="360" w:top="112" w:right="419" w:bottom="0" w:gutter="0" w:footer="0" w:header="0"/>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0.002 GBP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154,568,531 Ordinary Shares outstanding as of March 17, 2026 as reported in the Company's Annual Report on Form 10-K for the fiscal year ended December 31, 2025, filed with the Securities and Exchange Commission on March 31,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5.77% %</w:t>
      </w:r>
    </w:p>
    <w:p>
      <w:pPr>
        <w:sectPr>
          <w:pgSz w:w="11900" w:h="16838" w:orient="portrait"/>
          <w:cols w:equalWidth="0" w:num="1">
            <w:col w:w="1112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2026-05-13T08:03:48Z</dcterms:created>
  <dcterms:modified xsi:type="dcterms:W3CDTF">2026-05-13T08:03:48Z</dcterms:modified>
</cp:coreProperties>
</file>