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CENTESSA PHARMACEUTICALS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94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001-40445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98-1612294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946"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92" w:lineRule="exact"/>
        <w:rPr>
          <w:sz w:val="24"/>
          <w:szCs w:val="24"/>
          <w:color w:val="auto"/>
        </w:rPr>
      </w:pPr>
    </w:p>
    <w:p>
      <w:pPr>
        <w:sectPr>
          <w:pgSz w:w="11900" w:h="16838" w:orient="portrait"/>
          <w:cols w:equalWidth="0" w:num="3">
            <w:col w:w="4484" w:space="720"/>
            <w:col w:w="2620" w:space="720"/>
            <w:col w:w="2480"/>
          </w:cols>
          <w:pgMar w:left="436" w:top="376" w:right="439" w:bottom="946"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color w:val="auto"/>
        </w:rPr>
        <w:t>Mailing address:</w:t>
      </w:r>
    </w:p>
    <w:p>
      <w:pPr>
        <w:spacing w:after="0" w:line="2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3rd Floor</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 Ashley Road</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Altrincham</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Cheshire WA14 2DT</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4"/>
          </w:cols>
          <w:pgMar w:left="436" w:top="376" w:right="439" w:bottom="946"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(617) 468-5770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£0.002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CNTA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American Depositary Shares, each representing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CNTA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ordinary share, nominal value £0.002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2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94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14, 2025, Centessa Pharmaceuticals (UK) Limited (“Centessa”), a wholly-owned subsidiary of Centessa Pharmaceuticals plc (the “Company”), entered into a License Agreement (the “License Agreement”) with Genmab A/S (“Genmab”) pursuant to which Centessa granted to Genmab an exclusive worldwide license to leverage the Company’s proprietary LockBody platform to research products against up to three undisclosed targets during a multi-year research period, with an option to take up to three exclusive commercial licenses for worldwide development and commercialization of products against each selected target. Genmab will be conducting all research and development activities under the License Agreement and the products may combine Centessa’s LockBody technology with Genmab’s proprietary antibody technologies. The LockBody technology platform is designed to improve the therapeutic index of therapies by allowing targeted conditional activation of potent cell killing mechanisms in diseased tissue only.</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terms of the License Agreement, Centessa will receive an upfront payment of $15 million and option exercise fees potentially totaling up to an additional $15 million and is eligible to receive potential payouts of approximately $230 million in development, regulatory and sales milestones per product, as well as tiered royalties ranging in the mid-single digits on annual global net licensed product sales.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License Agreement includes various representations, warranties, covenants, indemnities, and other customary provisions. Unless earlier terminated in accordance with its terms, the License Agreement will expire upon expiration of the last royalty term for the last licensed product. Genmab may terminate the License Agreement or on a target-by-target basis for convenience upon specified time periods. On a target-by-target basis, if Genmab elects not to exercise its option for an exclusive commercial license for worldwide development and commercialization of products against the applicable target (a “Reserved Target”), then the License Agreement will automatically terminate with respect to such Reserved Target. Subject to the terms and specified exceptions set forth in the License Agreement, either party may terminate the License Agreement for the other party’s uncured material breach or insolvency upon a specified notice period.</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foregoing summary of the License Agreement does not purport to be complete and is qualified in its entirety by reference to the full text of the License Agreement. A copy of the License Agreement will be filed as an exhibit to the Company’s Annual Report on Form 10-K for the year ended December 31, 2024.</w:t>
      </w:r>
    </w:p>
    <w:p>
      <w:pPr>
        <w:sectPr>
          <w:pgSz w:w="11900" w:h="16838" w:orient="portrait"/>
          <w:cols w:equalWidth="0" w:num="1">
            <w:col w:w="10940"/>
          </w:cols>
          <w:pgMar w:left="440" w:top="293" w:right="51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00" w:lineRule="exact"/>
        <w:rPr>
          <w:sz w:val="20"/>
          <w:szCs w:val="20"/>
          <w:color w:val="auto"/>
        </w:rPr>
      </w:pPr>
    </w:p>
    <w:p>
      <w:pPr>
        <w:spacing w:after="0" w:line="264"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Saurabh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19685</wp:posOffset>
            </wp:positionV>
            <wp:extent cx="2400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Saurabh Saha, M.D., Ph.D.</w:t>
      </w:r>
    </w:p>
    <w:p>
      <w:pPr>
        <w:spacing w:after="0" w:line="31"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sectPr>
      <w:pgSz w:w="11900" w:h="16838" w:orient="portrait"/>
      <w:cols w:equalWidth="0" w:num="1">
        <w:col w:w="10840"/>
      </w:cols>
      <w:pgMar w:left="440" w:top="29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2025-02-21T15:10:43Z</dcterms:created>
  <dcterms:modified xsi:type="dcterms:W3CDTF">2025-02-21T15:10:43Z</dcterms:modified>
</cp:coreProperties>
</file>