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6989445" cy="510222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51022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8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160"/>
            <w:col w:w="8600"/>
          </w:cols>
          <w:pgMar w:left="460" w:top="219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SAHA SAURABH</w:t>
        </w:r>
      </w:hyperlink>
    </w:p>
    <w:p>
      <w:pPr>
        <w:spacing w:after="0" w:line="309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5" w:lineRule="exact"/>
        <w:rPr>
          <w:sz w:val="24"/>
          <w:szCs w:val="24"/>
          <w:color w:val="auto"/>
        </w:rPr>
      </w:pPr>
    </w:p>
    <w:p>
      <w:pPr>
        <w:ind w:left="120"/>
        <w:spacing w:after="0" w:line="336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C/O CENTESSA PHARMACEUTICALS PLC 3RD FL., 1 ASHLEY RD, ALTRINCHAM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21"/>
          <w:szCs w:val="21"/>
          <w:color w:val="0000EE"/>
        </w:rPr>
      </w:pPr>
      <w:hyperlink r:id="rId14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Centessa Pharmaceuticals plc</w:t>
        </w:r>
        <w:r>
          <w:rPr>
            <w:rFonts w:ascii="Times New Roman" w:cs="Times New Roman" w:eastAsia="Times New Roman" w:hAnsi="Times New Roman"/>
            <w:sz w:val="21"/>
            <w:szCs w:val="21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[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CNTA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]</w:t>
      </w:r>
    </w:p>
    <w:p>
      <w:pPr>
        <w:spacing w:after="0" w:line="38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1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12/31/2024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5" w:right="540" w:hanging="5"/>
        <w:spacing w:after="0" w:line="275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7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77" w:lineRule="exact"/>
        <w:rPr>
          <w:sz w:val="24"/>
          <w:szCs w:val="24"/>
          <w:color w:val="auto"/>
        </w:rPr>
      </w:pPr>
    </w:p>
    <w:p>
      <w:pPr>
        <w:jc w:val="right"/>
        <w:ind w:right="42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37" w:lineRule="exact"/>
        <w:rPr>
          <w:sz w:val="24"/>
          <w:szCs w:val="24"/>
          <w:color w:val="auto"/>
        </w:rPr>
      </w:pPr>
    </w:p>
    <w:p>
      <w:pPr>
        <w:ind w:left="745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Chief Executive Officer</w:t>
      </w:r>
    </w:p>
    <w:p>
      <w:pPr>
        <w:spacing w:after="0" w:line="43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440" w:space="480"/>
            <w:col w:w="3280" w:space="535"/>
            <w:col w:w="3345"/>
          </w:cols>
          <w:pgMar w:left="460" w:top="219" w:right="359" w:bottom="1440" w:gutter="0" w:footer="0" w:header="0"/>
          <w:type w:val="continuous"/>
        </w:sectPr>
      </w:pPr>
    </w:p>
    <w:p>
      <w:pPr>
        <w:spacing w:after="0" w:line="213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5"/>
        </w:trPr>
        <w:tc>
          <w:tcPr>
            <w:tcW w:w="10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23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CHESHIRE</w:t>
            </w:r>
          </w:p>
        </w:tc>
        <w:tc>
          <w:tcPr>
            <w:tcW w:w="100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X0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WA14 2DT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00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8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38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77" w:lineRule="exact"/>
        <w:rPr>
          <w:sz w:val="24"/>
          <w:szCs w:val="24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8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160"/>
            <w:col w:w="7160"/>
          </w:cols>
          <w:pgMar w:left="460" w:top="219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3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8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5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80" w:type="dxa"/>
            <w:vAlign w:val="bottom"/>
            <w:gridSpan w:val="6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</w:tcPr>
          <w:p>
            <w:pPr>
              <w:ind w:left="5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40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Ordinary Shares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12/31/2024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F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36,263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(2)</w:t>
            </w: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16.35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484,398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Ordinary Shares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jc w:val="right"/>
              <w:ind w:righ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38,000</w:t>
            </w:r>
          </w:p>
        </w:tc>
        <w:tc>
          <w:tcPr>
            <w:tcW w:w="920" w:type="dxa"/>
            <w:vAlign w:val="bottom"/>
            <w:vMerge w:val="restart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By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trust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(3)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3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0" w:type="dxa"/>
            <w:vAlign w:val="bottom"/>
            <w:gridSpan w:val="14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80" w:type="dxa"/>
            <w:vAlign w:val="bottom"/>
            <w:gridSpan w:val="10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2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Amount of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  <w:gridSpan w:val="4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  <w:gridSpan w:val="4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ectPr>
          <w:pgSz w:w="11900" w:h="16838" w:orient="portrait"/>
          <w:cols w:equalWidth="0" w:num="1">
            <w:col w:w="11080"/>
          </w:cols>
          <w:pgMar w:left="460" w:top="219" w:right="359" w:bottom="1440" w:gutter="0" w:footer="0" w:header="0"/>
          <w:type w:val="continuous"/>
        </w:sectPr>
      </w:pP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180" w:hanging="133"/>
        <w:spacing w:after="0"/>
        <w:tabs>
          <w:tab w:leader="none" w:pos="18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The Ordinary Shares may be represented by American Depositary Shares, each of which currently represents one Ordinary Share.</w:t>
      </w:r>
    </w:p>
    <w:p>
      <w:pPr>
        <w:spacing w:after="0" w:line="50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80" w:hanging="133"/>
        <w:spacing w:after="0"/>
        <w:tabs>
          <w:tab w:leader="none" w:pos="18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Represents the number of shares withheld by the Issuer to cover tax withholding obligations in connection with the vesting of restricted share units.</w:t>
      </w:r>
    </w:p>
    <w:p>
      <w:pPr>
        <w:spacing w:after="0" w:line="50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80" w:hanging="133"/>
        <w:spacing w:after="0"/>
        <w:tabs>
          <w:tab w:leader="none" w:pos="18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These shares are held directly in a trust, for which the Reporting Person and his spouse serve as trustees.</w:t>
      </w:r>
    </w:p>
    <w:p>
      <w:pPr>
        <w:spacing w:after="0" w:line="4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38" w:lineRule="exact"/>
        <w:rPr>
          <w:sz w:val="24"/>
          <w:szCs w:val="24"/>
          <w:color w:val="auto"/>
        </w:rPr>
      </w:pP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/s/ Gregory Weinhoff,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-4445</wp:posOffset>
            </wp:positionV>
            <wp:extent cx="963295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6329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attorney-in-fact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-12700</wp:posOffset>
            </wp:positionV>
            <wp:extent cx="683895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8389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0" w:lineRule="exact"/>
        <w:rPr>
          <w:sz w:val="24"/>
          <w:szCs w:val="24"/>
          <w:color w:val="auto"/>
        </w:rPr>
      </w:pPr>
    </w:p>
    <w:p>
      <w:pPr>
        <w:jc w:val="right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8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12/31/2024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5080</wp:posOffset>
            </wp:positionH>
            <wp:positionV relativeFrom="paragraph">
              <wp:posOffset>-4445</wp:posOffset>
            </wp:positionV>
            <wp:extent cx="501015" cy="8255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101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5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8520" w:space="260"/>
            <w:col w:w="2300"/>
          </w:cols>
          <w:pgMar w:left="460" w:top="219" w:right="359" w:bottom="1440" w:gutter="0" w:footer="0" w:header="0"/>
          <w:type w:val="continuous"/>
        </w:sect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8" Type="http://schemas.openxmlformats.org/officeDocument/2006/relationships/image" Target="media/image9.png"/><Relationship Id="rId13" Type="http://schemas.openxmlformats.org/officeDocument/2006/relationships/hyperlink" Target="http://www.sec.gov/cgi-bin/browse-edgar?action=getcompany&amp;CIK=0001861926" TargetMode="External"/><Relationship Id="rId14" Type="http://schemas.openxmlformats.org/officeDocument/2006/relationships/hyperlink" Target="http://www.sec.gov/cgi-bin/browse-edgar?action=getcompany&amp;CIK=0001847903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2024-12-31T15:41:54Z</dcterms:created>
  <dcterms:modified xsi:type="dcterms:W3CDTF">2024-12-31T15:41:54Z</dcterms:modified>
</cp:coreProperties>
</file>