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As filed with the Securities and Exchange Commission on July 1, 2022</w:t>
      </w:r>
    </w:p>
    <w:p>
      <w:pPr>
        <w:spacing w:after="0" w:line="27" w:lineRule="exact"/>
        <w:rPr>
          <w:sz w:val="24"/>
          <w:szCs w:val="24"/>
          <w:color w:val="auto"/>
        </w:rPr>
      </w:pPr>
    </w:p>
    <w:p>
      <w:pPr>
        <w:ind w:left="8140"/>
        <w:spacing w:after="0"/>
        <w:rPr>
          <w:sz w:val="20"/>
          <w:szCs w:val="20"/>
          <w:color w:val="auto"/>
        </w:rPr>
      </w:pPr>
      <w:r>
        <w:rPr>
          <w:rFonts w:ascii="Arial" w:cs="Arial" w:eastAsia="Arial" w:hAnsi="Arial"/>
          <w:sz w:val="18"/>
          <w:szCs w:val="18"/>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S-3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-232410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Registration Statement</w:t>
      </w:r>
    </w:p>
    <w:p>
      <w:pPr>
        <w:jc w:val="center"/>
        <w:ind w:right="-1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90170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CENTESSA PHARMACEUTICALS PLC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5" w:lineRule="exact"/>
        <w:rPr>
          <w:sz w:val="24"/>
          <w:szCs w:val="24"/>
          <w:color w:val="auto"/>
        </w:rPr>
      </w:pPr>
    </w:p>
    <w:tbl>
      <w:tblPr>
        <w:tblLayout w:type="fixed"/>
        <w:tblInd w:w="1960" w:type="dxa"/>
        <w:tblCellMar>
          <w:top w:w="0" w:type="dxa"/>
          <w:left w:w="0" w:type="dxa"/>
          <w:bottom w:w="0" w:type="dxa"/>
          <w:right w:w="0" w:type="dxa"/>
        </w:tblCellMar>
      </w:tblPr>
      <w:tr>
        <w:trPr>
          <w:trHeight w:val="161"/>
        </w:trPr>
        <w:tc>
          <w:tcPr>
            <w:tcW w:w="3900" w:type="dxa"/>
            <w:vAlign w:val="bottom"/>
          </w:tcPr>
          <w:p>
            <w:pPr>
              <w:jc w:val="center"/>
              <w:ind w:right="1948"/>
              <w:spacing w:after="0"/>
              <w:rPr>
                <w:sz w:val="20"/>
                <w:szCs w:val="20"/>
                <w:color w:val="auto"/>
              </w:rPr>
            </w:pPr>
            <w:r>
              <w:rPr>
                <w:rFonts w:ascii="Arial" w:cs="Arial" w:eastAsia="Arial" w:hAnsi="Arial"/>
                <w:sz w:val="14"/>
                <w:szCs w:val="14"/>
                <w:b w:val="1"/>
                <w:bCs w:val="1"/>
                <w:color w:val="auto"/>
                <w:w w:val="93"/>
              </w:rPr>
              <w:t>England and Wales</w:t>
            </w:r>
          </w:p>
        </w:tc>
        <w:tc>
          <w:tcPr>
            <w:tcW w:w="3160" w:type="dxa"/>
            <w:vAlign w:val="bottom"/>
          </w:tcPr>
          <w:p>
            <w:pPr>
              <w:jc w:val="center"/>
              <w:ind w:left="1968"/>
              <w:spacing w:after="0"/>
              <w:rPr>
                <w:sz w:val="20"/>
                <w:szCs w:val="20"/>
                <w:color w:val="auto"/>
              </w:rPr>
            </w:pPr>
            <w:r>
              <w:rPr>
                <w:rFonts w:ascii="Arial" w:cs="Arial" w:eastAsia="Arial" w:hAnsi="Arial"/>
                <w:sz w:val="14"/>
                <w:szCs w:val="14"/>
                <w:b w:val="1"/>
                <w:bCs w:val="1"/>
                <w:color w:val="auto"/>
                <w:w w:val="90"/>
              </w:rPr>
              <w:t>98-1612294</w:t>
            </w:r>
          </w:p>
        </w:tc>
      </w:tr>
      <w:tr>
        <w:trPr>
          <w:trHeight w:val="148"/>
        </w:trPr>
        <w:tc>
          <w:tcPr>
            <w:tcW w:w="3900" w:type="dxa"/>
            <w:vAlign w:val="bottom"/>
          </w:tcPr>
          <w:p>
            <w:pPr>
              <w:jc w:val="center"/>
              <w:ind w:right="194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8"/>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8"/>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Centessa Pharmaceuticals plc</w:t>
      </w:r>
    </w:p>
    <w:p>
      <w:pPr>
        <w:jc w:val="center"/>
        <w:ind w:right="-119"/>
        <w:spacing w:after="0" w:line="226" w:lineRule="auto"/>
        <w:rPr>
          <w:sz w:val="20"/>
          <w:szCs w:val="20"/>
          <w:color w:val="auto"/>
        </w:rPr>
      </w:pPr>
      <w:r>
        <w:rPr>
          <w:rFonts w:ascii="Arial" w:cs="Arial" w:eastAsia="Arial" w:hAnsi="Arial"/>
          <w:sz w:val="14"/>
          <w:szCs w:val="14"/>
          <w:b w:val="1"/>
          <w:bCs w:val="1"/>
          <w:color w:val="auto"/>
        </w:rPr>
        <w:t>3rd Floor, 1 Ashley Rd,</w:t>
      </w:r>
    </w:p>
    <w:p>
      <w:pPr>
        <w:jc w:val="center"/>
        <w:ind w:right="-119"/>
        <w:spacing w:after="0" w:line="221" w:lineRule="auto"/>
        <w:rPr>
          <w:sz w:val="20"/>
          <w:szCs w:val="20"/>
          <w:color w:val="auto"/>
        </w:rPr>
      </w:pPr>
      <w:r>
        <w:rPr>
          <w:rFonts w:ascii="Arial" w:cs="Arial" w:eastAsia="Arial" w:hAnsi="Arial"/>
          <w:sz w:val="14"/>
          <w:szCs w:val="14"/>
          <w:b w:val="1"/>
          <w:bCs w:val="1"/>
          <w:color w:val="auto"/>
        </w:rPr>
        <w:t>Altrincham, Cheshire,</w:t>
      </w:r>
    </w:p>
    <w:p>
      <w:pPr>
        <w:jc w:val="center"/>
        <w:ind w:right="-119"/>
        <w:spacing w:after="0" w:line="222" w:lineRule="auto"/>
        <w:rPr>
          <w:sz w:val="20"/>
          <w:szCs w:val="20"/>
          <w:color w:val="auto"/>
        </w:rPr>
      </w:pPr>
      <w:r>
        <w:rPr>
          <w:rFonts w:ascii="Arial" w:cs="Arial" w:eastAsia="Arial" w:hAnsi="Arial"/>
          <w:sz w:val="14"/>
          <w:szCs w:val="14"/>
          <w:b w:val="1"/>
          <w:bCs w:val="1"/>
          <w:color w:val="auto"/>
        </w:rPr>
        <w:t>United Kingdom, WA14 2DT</w:t>
      </w:r>
    </w:p>
    <w:p>
      <w:pPr>
        <w:jc w:val="center"/>
        <w:ind w:right="-119"/>
        <w:spacing w:after="0" w:line="221" w:lineRule="auto"/>
        <w:rPr>
          <w:sz w:val="20"/>
          <w:szCs w:val="20"/>
          <w:color w:val="auto"/>
        </w:rPr>
      </w:pPr>
      <w:r>
        <w:rPr>
          <w:rFonts w:ascii="Arial" w:cs="Arial" w:eastAsia="Arial" w:hAnsi="Arial"/>
          <w:sz w:val="14"/>
          <w:szCs w:val="14"/>
          <w:b w:val="1"/>
          <w:bCs w:val="1"/>
          <w:color w:val="auto"/>
        </w:rPr>
        <w:t>+44 (0) 203 920 6789, ext. 9999</w:t>
      </w: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Saurabh Saha</w:t>
      </w:r>
    </w:p>
    <w:p>
      <w:pPr>
        <w:jc w:val="center"/>
        <w:ind w:right="-119"/>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ind w:right="-119"/>
        <w:spacing w:after="0" w:line="221" w:lineRule="auto"/>
        <w:rPr>
          <w:sz w:val="20"/>
          <w:szCs w:val="20"/>
          <w:color w:val="auto"/>
        </w:rPr>
      </w:pPr>
      <w:r>
        <w:rPr>
          <w:rFonts w:ascii="Arial" w:cs="Arial" w:eastAsia="Arial" w:hAnsi="Arial"/>
          <w:sz w:val="14"/>
          <w:szCs w:val="14"/>
          <w:b w:val="1"/>
          <w:bCs w:val="1"/>
          <w:color w:val="auto"/>
        </w:rPr>
        <w:t>Centessa Pharmaceuticals, Inc.</w:t>
      </w:r>
    </w:p>
    <w:p>
      <w:pPr>
        <w:jc w:val="center"/>
        <w:ind w:right="-119"/>
        <w:spacing w:after="0" w:line="222" w:lineRule="auto"/>
        <w:rPr>
          <w:sz w:val="20"/>
          <w:szCs w:val="20"/>
          <w:color w:val="auto"/>
        </w:rPr>
      </w:pPr>
      <w:r>
        <w:rPr>
          <w:rFonts w:ascii="Arial" w:cs="Arial" w:eastAsia="Arial" w:hAnsi="Arial"/>
          <w:sz w:val="14"/>
          <w:szCs w:val="14"/>
          <w:b w:val="1"/>
          <w:bCs w:val="1"/>
          <w:color w:val="auto"/>
        </w:rPr>
        <w:t>One Federal Street, 38th Floor</w:t>
      </w:r>
    </w:p>
    <w:p>
      <w:pPr>
        <w:jc w:val="center"/>
        <w:ind w:right="-119"/>
        <w:spacing w:after="0" w:line="221" w:lineRule="auto"/>
        <w:rPr>
          <w:sz w:val="20"/>
          <w:szCs w:val="20"/>
          <w:color w:val="auto"/>
        </w:rPr>
      </w:pPr>
      <w:r>
        <w:rPr>
          <w:rFonts w:ascii="Arial" w:cs="Arial" w:eastAsia="Arial" w:hAnsi="Arial"/>
          <w:sz w:val="14"/>
          <w:szCs w:val="14"/>
          <w:b w:val="1"/>
          <w:bCs w:val="1"/>
          <w:color w:val="auto"/>
        </w:rPr>
        <w:t>Boston, Massachusetts 02110</w:t>
      </w:r>
    </w:p>
    <w:p>
      <w:pPr>
        <w:jc w:val="center"/>
        <w:ind w:right="-119"/>
        <w:spacing w:after="0" w:line="222" w:lineRule="auto"/>
        <w:rPr>
          <w:sz w:val="20"/>
          <w:szCs w:val="20"/>
          <w:color w:val="auto"/>
        </w:rPr>
      </w:pPr>
      <w:r>
        <w:rPr>
          <w:rFonts w:ascii="Arial" w:cs="Arial" w:eastAsia="Arial" w:hAnsi="Arial"/>
          <w:sz w:val="14"/>
          <w:szCs w:val="14"/>
          <w:b w:val="1"/>
          <w:bCs w:val="1"/>
          <w:color w:val="auto"/>
        </w:rPr>
        <w:t>+1 (617)-468-5770</w:t>
      </w: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8" w:lineRule="exact"/>
        <w:rPr>
          <w:sz w:val="24"/>
          <w:szCs w:val="24"/>
          <w:color w:val="auto"/>
        </w:rPr>
      </w:pPr>
    </w:p>
    <w:tbl>
      <w:tblPr>
        <w:tblLayout w:type="fixed"/>
        <w:tblInd w:w="1300" w:type="dxa"/>
        <w:tblCellMar>
          <w:top w:w="0" w:type="dxa"/>
          <w:left w:w="0" w:type="dxa"/>
          <w:bottom w:w="0" w:type="dxa"/>
          <w:right w:w="0" w:type="dxa"/>
        </w:tblCellMar>
      </w:tblPr>
      <w:tr>
        <w:trPr>
          <w:trHeight w:val="182"/>
        </w:trPr>
        <w:tc>
          <w:tcPr>
            <w:tcW w:w="2440" w:type="dxa"/>
            <w:vAlign w:val="bottom"/>
          </w:tcPr>
          <w:p>
            <w:pPr>
              <w:spacing w:after="0"/>
              <w:rPr>
                <w:sz w:val="15"/>
                <w:szCs w:val="15"/>
                <w:color w:val="auto"/>
              </w:rPr>
            </w:pPr>
          </w:p>
        </w:tc>
        <w:tc>
          <w:tcPr>
            <w:tcW w:w="3860" w:type="dxa"/>
            <w:vAlign w:val="bottom"/>
          </w:tcPr>
          <w:p>
            <w:pPr>
              <w:ind w:left="1580"/>
              <w:spacing w:after="0"/>
              <w:rPr>
                <w:sz w:val="20"/>
                <w:szCs w:val="20"/>
                <w:color w:val="auto"/>
              </w:rPr>
            </w:pPr>
            <w:r>
              <w:rPr>
                <w:rFonts w:ascii="Arial" w:cs="Arial" w:eastAsia="Arial" w:hAnsi="Arial"/>
                <w:sz w:val="14"/>
                <w:szCs w:val="14"/>
                <w:b w:val="1"/>
                <w:bCs w:val="1"/>
                <w:i w:val="1"/>
                <w:iCs w:val="1"/>
                <w:color w:val="auto"/>
              </w:rPr>
              <w:t>Copies to:</w:t>
            </w:r>
          </w:p>
        </w:tc>
        <w:tc>
          <w:tcPr>
            <w:tcW w:w="2640" w:type="dxa"/>
            <w:vAlign w:val="bottom"/>
          </w:tcPr>
          <w:p>
            <w:pPr>
              <w:spacing w:after="0"/>
              <w:rPr>
                <w:sz w:val="15"/>
                <w:szCs w:val="15"/>
                <w:color w:val="auto"/>
              </w:rPr>
            </w:pPr>
          </w:p>
        </w:tc>
      </w:tr>
      <w:tr>
        <w:trPr>
          <w:trHeight w:val="151"/>
        </w:trPr>
        <w:tc>
          <w:tcPr>
            <w:tcW w:w="2440" w:type="dxa"/>
            <w:vAlign w:val="bottom"/>
          </w:tcPr>
          <w:p>
            <w:pPr>
              <w:jc w:val="center"/>
              <w:ind w:right="988"/>
              <w:spacing w:after="0" w:line="151" w:lineRule="exact"/>
              <w:rPr>
                <w:sz w:val="20"/>
                <w:szCs w:val="20"/>
                <w:color w:val="auto"/>
              </w:rPr>
            </w:pPr>
            <w:r>
              <w:rPr>
                <w:rFonts w:ascii="Arial" w:cs="Arial" w:eastAsia="Arial" w:hAnsi="Arial"/>
                <w:sz w:val="14"/>
                <w:szCs w:val="14"/>
                <w:b w:val="1"/>
                <w:bCs w:val="1"/>
                <w:color w:val="auto"/>
                <w:w w:val="94"/>
              </w:rPr>
              <w:t>Mitchell S. Bloom</w:t>
            </w:r>
          </w:p>
        </w:tc>
        <w:tc>
          <w:tcPr>
            <w:tcW w:w="3860" w:type="dxa"/>
            <w:vAlign w:val="bottom"/>
          </w:tcPr>
          <w:p>
            <w:pPr>
              <w:jc w:val="center"/>
              <w:ind w:left="48"/>
              <w:spacing w:after="0" w:line="151" w:lineRule="exact"/>
              <w:rPr>
                <w:sz w:val="20"/>
                <w:szCs w:val="20"/>
                <w:color w:val="auto"/>
              </w:rPr>
            </w:pPr>
            <w:r>
              <w:rPr>
                <w:rFonts w:ascii="Arial" w:cs="Arial" w:eastAsia="Arial" w:hAnsi="Arial"/>
                <w:sz w:val="14"/>
                <w:szCs w:val="14"/>
                <w:b w:val="1"/>
                <w:bCs w:val="1"/>
                <w:color w:val="auto"/>
                <w:w w:val="94"/>
              </w:rPr>
              <w:t>Iqbal Hussain</w:t>
            </w:r>
          </w:p>
        </w:tc>
        <w:tc>
          <w:tcPr>
            <w:tcW w:w="2640" w:type="dxa"/>
            <w:vAlign w:val="bottom"/>
          </w:tcPr>
          <w:p>
            <w:pPr>
              <w:jc w:val="center"/>
              <w:ind w:left="828"/>
              <w:spacing w:after="0" w:line="151" w:lineRule="exact"/>
              <w:rPr>
                <w:sz w:val="20"/>
                <w:szCs w:val="20"/>
                <w:color w:val="auto"/>
              </w:rPr>
            </w:pPr>
            <w:r>
              <w:rPr>
                <w:rFonts w:ascii="Arial" w:cs="Arial" w:eastAsia="Arial" w:hAnsi="Arial"/>
                <w:sz w:val="14"/>
                <w:szCs w:val="14"/>
                <w:b w:val="1"/>
                <w:bCs w:val="1"/>
                <w:color w:val="auto"/>
                <w:w w:val="93"/>
              </w:rPr>
              <w:t>Graham Defries</w:t>
            </w:r>
          </w:p>
        </w:tc>
      </w:tr>
      <w:tr>
        <w:trPr>
          <w:trHeight w:val="148"/>
        </w:trPr>
        <w:tc>
          <w:tcPr>
            <w:tcW w:w="2440" w:type="dxa"/>
            <w:vAlign w:val="bottom"/>
          </w:tcPr>
          <w:p>
            <w:pPr>
              <w:jc w:val="center"/>
              <w:ind w:right="1008"/>
              <w:spacing w:after="0" w:line="149" w:lineRule="exact"/>
              <w:rPr>
                <w:sz w:val="20"/>
                <w:szCs w:val="20"/>
                <w:color w:val="auto"/>
              </w:rPr>
            </w:pPr>
            <w:r>
              <w:rPr>
                <w:rFonts w:ascii="Arial" w:cs="Arial" w:eastAsia="Arial" w:hAnsi="Arial"/>
                <w:sz w:val="14"/>
                <w:szCs w:val="14"/>
                <w:b w:val="1"/>
                <w:bCs w:val="1"/>
                <w:color w:val="auto"/>
                <w:w w:val="99"/>
              </w:rPr>
              <w:t>Edwin M. O’Connor</w:t>
            </w:r>
          </w:p>
        </w:tc>
        <w:tc>
          <w:tcPr>
            <w:tcW w:w="386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0"/>
              </w:rPr>
              <w:t>Centessa Pharmaceuticals plc</w:t>
            </w:r>
          </w:p>
        </w:tc>
        <w:tc>
          <w:tcPr>
            <w:tcW w:w="2640" w:type="dxa"/>
            <w:vAlign w:val="bottom"/>
          </w:tcPr>
          <w:p>
            <w:pPr>
              <w:jc w:val="center"/>
              <w:ind w:left="848"/>
              <w:spacing w:after="0" w:line="149" w:lineRule="exact"/>
              <w:rPr>
                <w:sz w:val="20"/>
                <w:szCs w:val="20"/>
                <w:color w:val="auto"/>
              </w:rPr>
            </w:pPr>
            <w:r>
              <w:rPr>
                <w:rFonts w:ascii="Arial" w:cs="Arial" w:eastAsia="Arial" w:hAnsi="Arial"/>
                <w:sz w:val="14"/>
                <w:szCs w:val="14"/>
                <w:b w:val="1"/>
                <w:bCs w:val="1"/>
                <w:color w:val="auto"/>
                <w:w w:val="97"/>
              </w:rPr>
              <w:t>Goodwin Procter (UK) LLP</w:t>
            </w:r>
          </w:p>
        </w:tc>
      </w:tr>
      <w:tr>
        <w:trPr>
          <w:trHeight w:val="149"/>
        </w:trPr>
        <w:tc>
          <w:tcPr>
            <w:tcW w:w="2440" w:type="dxa"/>
            <w:vAlign w:val="bottom"/>
          </w:tcPr>
          <w:p>
            <w:pPr>
              <w:jc w:val="center"/>
              <w:ind w:right="1008"/>
              <w:spacing w:after="0" w:line="149" w:lineRule="exact"/>
              <w:rPr>
                <w:sz w:val="20"/>
                <w:szCs w:val="20"/>
                <w:color w:val="auto"/>
              </w:rPr>
            </w:pPr>
            <w:r>
              <w:rPr>
                <w:rFonts w:ascii="Arial" w:cs="Arial" w:eastAsia="Arial" w:hAnsi="Arial"/>
                <w:sz w:val="14"/>
                <w:szCs w:val="14"/>
                <w:b w:val="1"/>
                <w:bCs w:val="1"/>
                <w:color w:val="auto"/>
                <w:w w:val="91"/>
              </w:rPr>
              <w:t>James Xu</w:t>
            </w:r>
          </w:p>
        </w:tc>
        <w:tc>
          <w:tcPr>
            <w:tcW w:w="386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4"/>
              </w:rPr>
              <w:t>3rd Floor, 1 Ashley Rd,</w:t>
            </w:r>
          </w:p>
        </w:tc>
        <w:tc>
          <w:tcPr>
            <w:tcW w:w="2640" w:type="dxa"/>
            <w:vAlign w:val="bottom"/>
          </w:tcPr>
          <w:p>
            <w:pPr>
              <w:jc w:val="center"/>
              <w:ind w:left="828"/>
              <w:spacing w:after="0" w:line="149" w:lineRule="exact"/>
              <w:rPr>
                <w:sz w:val="20"/>
                <w:szCs w:val="20"/>
                <w:color w:val="auto"/>
              </w:rPr>
            </w:pPr>
            <w:r>
              <w:rPr>
                <w:rFonts w:ascii="Arial" w:cs="Arial" w:eastAsia="Arial" w:hAnsi="Arial"/>
                <w:sz w:val="14"/>
                <w:szCs w:val="14"/>
                <w:b w:val="1"/>
                <w:bCs w:val="1"/>
                <w:color w:val="auto"/>
                <w:w w:val="91"/>
              </w:rPr>
              <w:t>100 Cheapside</w:t>
            </w:r>
          </w:p>
        </w:tc>
      </w:tr>
      <w:tr>
        <w:trPr>
          <w:trHeight w:val="148"/>
        </w:trPr>
        <w:tc>
          <w:tcPr>
            <w:tcW w:w="2440" w:type="dxa"/>
            <w:vAlign w:val="bottom"/>
          </w:tcPr>
          <w:p>
            <w:pPr>
              <w:jc w:val="center"/>
              <w:ind w:right="988"/>
              <w:spacing w:after="0" w:line="149" w:lineRule="exact"/>
              <w:rPr>
                <w:sz w:val="20"/>
                <w:szCs w:val="20"/>
                <w:color w:val="auto"/>
              </w:rPr>
            </w:pPr>
            <w:r>
              <w:rPr>
                <w:rFonts w:ascii="Arial" w:cs="Arial" w:eastAsia="Arial" w:hAnsi="Arial"/>
                <w:sz w:val="14"/>
                <w:szCs w:val="14"/>
                <w:b w:val="1"/>
                <w:bCs w:val="1"/>
                <w:color w:val="auto"/>
                <w:w w:val="96"/>
              </w:rPr>
              <w:t>Goodwin Procter LLP</w:t>
            </w:r>
          </w:p>
        </w:tc>
        <w:tc>
          <w:tcPr>
            <w:tcW w:w="386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3"/>
              </w:rPr>
              <w:t>Altrincham, Cheshire,</w:t>
            </w:r>
          </w:p>
        </w:tc>
        <w:tc>
          <w:tcPr>
            <w:tcW w:w="2640" w:type="dxa"/>
            <w:vAlign w:val="bottom"/>
          </w:tcPr>
          <w:p>
            <w:pPr>
              <w:jc w:val="center"/>
              <w:ind w:left="828"/>
              <w:spacing w:after="0" w:line="149" w:lineRule="exact"/>
              <w:rPr>
                <w:sz w:val="20"/>
                <w:szCs w:val="20"/>
                <w:color w:val="auto"/>
              </w:rPr>
            </w:pPr>
            <w:r>
              <w:rPr>
                <w:rFonts w:ascii="Arial" w:cs="Arial" w:eastAsia="Arial" w:hAnsi="Arial"/>
                <w:sz w:val="14"/>
                <w:szCs w:val="14"/>
                <w:b w:val="1"/>
                <w:bCs w:val="1"/>
                <w:color w:val="auto"/>
                <w:w w:val="99"/>
              </w:rPr>
              <w:t>London EC2V 6DY</w:t>
            </w:r>
          </w:p>
        </w:tc>
      </w:tr>
      <w:tr>
        <w:trPr>
          <w:trHeight w:val="149"/>
        </w:trPr>
        <w:tc>
          <w:tcPr>
            <w:tcW w:w="2440" w:type="dxa"/>
            <w:vAlign w:val="bottom"/>
          </w:tcPr>
          <w:p>
            <w:pPr>
              <w:jc w:val="center"/>
              <w:ind w:right="1008"/>
              <w:spacing w:after="0" w:line="149" w:lineRule="exact"/>
              <w:rPr>
                <w:sz w:val="20"/>
                <w:szCs w:val="20"/>
                <w:color w:val="auto"/>
              </w:rPr>
            </w:pPr>
            <w:r>
              <w:rPr>
                <w:rFonts w:ascii="Arial" w:cs="Arial" w:eastAsia="Arial" w:hAnsi="Arial"/>
                <w:sz w:val="14"/>
                <w:szCs w:val="14"/>
                <w:b w:val="1"/>
                <w:bCs w:val="1"/>
                <w:color w:val="auto"/>
                <w:w w:val="93"/>
              </w:rPr>
              <w:t>100 Northern Avenue</w:t>
            </w:r>
          </w:p>
        </w:tc>
        <w:tc>
          <w:tcPr>
            <w:tcW w:w="386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7"/>
              </w:rPr>
              <w:t>United Kingdom, WA14 2DT</w:t>
            </w:r>
          </w:p>
        </w:tc>
        <w:tc>
          <w:tcPr>
            <w:tcW w:w="2640" w:type="dxa"/>
            <w:vAlign w:val="bottom"/>
          </w:tcPr>
          <w:p>
            <w:pPr>
              <w:jc w:val="center"/>
              <w:ind w:left="828"/>
              <w:spacing w:after="0" w:line="149" w:lineRule="exact"/>
              <w:rPr>
                <w:sz w:val="20"/>
                <w:szCs w:val="20"/>
                <w:color w:val="auto"/>
              </w:rPr>
            </w:pPr>
            <w:r>
              <w:rPr>
                <w:rFonts w:ascii="Arial" w:cs="Arial" w:eastAsia="Arial" w:hAnsi="Arial"/>
                <w:sz w:val="14"/>
                <w:szCs w:val="14"/>
                <w:b w:val="1"/>
                <w:bCs w:val="1"/>
                <w:color w:val="auto"/>
                <w:w w:val="94"/>
              </w:rPr>
              <w:t>United Kingdom</w:t>
            </w:r>
          </w:p>
        </w:tc>
      </w:tr>
      <w:tr>
        <w:trPr>
          <w:trHeight w:val="148"/>
        </w:trPr>
        <w:tc>
          <w:tcPr>
            <w:tcW w:w="2440" w:type="dxa"/>
            <w:vAlign w:val="bottom"/>
          </w:tcPr>
          <w:p>
            <w:pPr>
              <w:jc w:val="center"/>
              <w:ind w:right="988"/>
              <w:spacing w:after="0" w:line="149" w:lineRule="exact"/>
              <w:rPr>
                <w:sz w:val="20"/>
                <w:szCs w:val="20"/>
                <w:color w:val="auto"/>
              </w:rPr>
            </w:pPr>
            <w:r>
              <w:rPr>
                <w:rFonts w:ascii="Arial" w:cs="Arial" w:eastAsia="Arial" w:hAnsi="Arial"/>
                <w:sz w:val="14"/>
                <w:szCs w:val="14"/>
                <w:b w:val="1"/>
                <w:bCs w:val="1"/>
                <w:color w:val="auto"/>
                <w:w w:val="94"/>
              </w:rPr>
              <w:t>Boston, MA 02210</w:t>
            </w:r>
          </w:p>
        </w:tc>
        <w:tc>
          <w:tcPr>
            <w:tcW w:w="386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3"/>
              </w:rPr>
              <w:t>+44 (0) 203 920 6789, ext. 9999</w:t>
            </w:r>
          </w:p>
        </w:tc>
        <w:tc>
          <w:tcPr>
            <w:tcW w:w="2640" w:type="dxa"/>
            <w:vAlign w:val="bottom"/>
          </w:tcPr>
          <w:p>
            <w:pPr>
              <w:jc w:val="center"/>
              <w:ind w:left="828"/>
              <w:spacing w:after="0" w:line="149" w:lineRule="exact"/>
              <w:rPr>
                <w:sz w:val="20"/>
                <w:szCs w:val="20"/>
                <w:color w:val="auto"/>
              </w:rPr>
            </w:pPr>
            <w:r>
              <w:rPr>
                <w:rFonts w:ascii="Arial" w:cs="Arial" w:eastAsia="Arial" w:hAnsi="Arial"/>
                <w:sz w:val="14"/>
                <w:szCs w:val="14"/>
                <w:b w:val="1"/>
                <w:bCs w:val="1"/>
                <w:color w:val="auto"/>
                <w:w w:val="93"/>
              </w:rPr>
              <w:t>+44 20 7447 4200</w:t>
            </w:r>
          </w:p>
        </w:tc>
      </w:tr>
      <w:tr>
        <w:trPr>
          <w:trHeight w:val="186"/>
        </w:trPr>
        <w:tc>
          <w:tcPr>
            <w:tcW w:w="2440" w:type="dxa"/>
            <w:vAlign w:val="bottom"/>
          </w:tcPr>
          <w:p>
            <w:pPr>
              <w:jc w:val="center"/>
              <w:ind w:right="988"/>
              <w:spacing w:after="0"/>
              <w:rPr>
                <w:sz w:val="20"/>
                <w:szCs w:val="20"/>
                <w:color w:val="auto"/>
              </w:rPr>
            </w:pPr>
            <w:r>
              <w:rPr>
                <w:rFonts w:ascii="Arial" w:cs="Arial" w:eastAsia="Arial" w:hAnsi="Arial"/>
                <w:sz w:val="14"/>
                <w:szCs w:val="14"/>
                <w:b w:val="1"/>
                <w:bCs w:val="1"/>
                <w:color w:val="auto"/>
                <w:w w:val="93"/>
              </w:rPr>
              <w:t>(617) 570-1000</w:t>
            </w:r>
          </w:p>
        </w:tc>
        <w:tc>
          <w:tcPr>
            <w:tcW w:w="3860" w:type="dxa"/>
            <w:vAlign w:val="bottom"/>
          </w:tcPr>
          <w:p>
            <w:pPr>
              <w:spacing w:after="0"/>
              <w:rPr>
                <w:sz w:val="16"/>
                <w:szCs w:val="16"/>
                <w:color w:val="auto"/>
              </w:rPr>
            </w:pPr>
          </w:p>
        </w:tc>
        <w:tc>
          <w:tcPr>
            <w:tcW w:w="26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93345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8"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the effective date of this Registration Statement.</w:t>
      </w:r>
    </w:p>
    <w:p>
      <w:pPr>
        <w:spacing w:after="0" w:line="25"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48" w:lineRule="exact"/>
        <w:rPr>
          <w:sz w:val="24"/>
          <w:szCs w:val="24"/>
          <w:color w:val="auto"/>
        </w:rPr>
      </w:pPr>
    </w:p>
    <w:p>
      <w:pPr>
        <w:ind w:left="120" w:right="28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32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34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220"/>
        <w:spacing w:after="0" w:line="180" w:lineRule="exact"/>
        <w:rPr>
          <w:sz w:val="20"/>
          <w:szCs w:val="20"/>
          <w:color w:val="auto"/>
        </w:rPr>
      </w:pPr>
      <w:r>
        <w:rPr>
          <w:rFonts w:ascii="Arial" w:cs="Arial" w:eastAsia="Arial" w:hAnsi="Arial"/>
          <w:sz w:val="14"/>
          <w:szCs w:val="14"/>
          <w:color w:val="auto"/>
        </w:rPr>
        <w:t xml:space="preserve">If this Form is a post-effective amendment to a registration statement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24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46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6"/>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46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4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280" w:type="dxa"/>
            <w:vAlign w:val="bottom"/>
          </w:tcPr>
          <w:p>
            <w:pPr>
              <w:ind w:left="3460"/>
              <w:spacing w:after="0"/>
              <w:rPr>
                <w:sz w:val="20"/>
                <w:szCs w:val="20"/>
                <w:color w:val="auto"/>
              </w:rPr>
            </w:pPr>
            <w:r>
              <w:rPr>
                <w:rFonts w:ascii="Arial" w:cs="Arial" w:eastAsia="Arial" w:hAnsi="Arial"/>
                <w:sz w:val="14"/>
                <w:szCs w:val="14"/>
                <w:color w:val="auto"/>
              </w:rPr>
              <w:t>Emerging growth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 w:lineRule="exact"/>
        <w:rPr>
          <w:sz w:val="24"/>
          <w:szCs w:val="24"/>
          <w:color w:val="auto"/>
        </w:rPr>
      </w:pPr>
    </w:p>
    <w:p>
      <w:pPr>
        <w:ind w:left="120" w:right="3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60"/>
        <w:spacing w:after="0" w:line="235"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93980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230" w:right="4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66" w:lineRule="auto"/>
        <w:rPr>
          <w:sz w:val="20"/>
          <w:szCs w:val="20"/>
          <w:color w:val="auto"/>
        </w:rPr>
      </w:pPr>
      <w:r>
        <w:rPr>
          <w:rFonts w:ascii="Arial" w:cs="Arial" w:eastAsia="Arial" w:hAnsi="Arial"/>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SUBJECT TO COMPLETION, DATED July 1, 2022</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83185</wp:posOffset>
            </wp:positionV>
            <wp:extent cx="2571750"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$350,000,000</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Ordinary Shares</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American Depositary Shares representing Ordinary Shares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5"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may offer and sell from time to time up to $350,000,000 in the aggregate of our ordinary shares, each of which may be represented by one American Depositary Share; senior or subordinated debt securities; warrants to purchase any securities that may be sold under this prospectus; units or any combination of these securities as described in this prospectus. We will describe in a prospectus supplement the securities we are offering and selling, as well as the specific terms of the securities. We may also authorize one or more free writing prospectuses to be provided to you in connection with each offering of the securities. Any prospectus supplement and related free writing prospectuses may also add, update or change information contained in this prospectus. For more detailed information, see “Plan of Distribution” on page 60.</w:t>
      </w:r>
    </w:p>
    <w:p>
      <w:pPr>
        <w:spacing w:after="0" w:line="70"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We may offer these securities in amounts, at prices and on terms determined at the time of offering. We may sell the securities directly to you, through agents, or through underwriters and dealers on or off the Nasdaq Global Select Market. If we use agents, underwriters or dealers to sell the securities, we will name them and describe their compensation in a prospectus supplement. You should read this prospectus and the accompanying prospectus supplement and any free writing prospectus, as well as documents incorporated by reference into this prospectus, carefully before you invest.</w:t>
      </w:r>
    </w:p>
    <w:p>
      <w:pPr>
        <w:spacing w:after="0" w:line="4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Our American Depositary Shares representing ordinary shares are traded on The Nasdaq Global Select Market under the symbol “CNTA”. A separate Registration Statement on Form F-6 for the registration of American Depositary Shares issuable upon deposit of the ordinary shares was previously filed with the Securities and Exchange Commission and was effective on May 27, 2021 (Registration No. 333-256385). If we decide to list any of these other securities on a national securities exchange upon issuance, the applicable prospectus supplement to this prospectus will identify the exchange and the date when we expect trading to begin. On June 30, 2022, the closing price of our American Depositary Shares on The Nasdaq Global Select Market was $4.87 per share.</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an “emerging growth company” under federal securities laws and are subject to reduced public company disclosure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160655</wp:posOffset>
            </wp:positionV>
            <wp:extent cx="147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6" w:lineRule="exact"/>
        <w:rPr>
          <w:sz w:val="20"/>
          <w:szCs w:val="20"/>
          <w:color w:val="auto"/>
        </w:rPr>
      </w:pPr>
    </w:p>
    <w:p>
      <w:pPr>
        <w:ind w:left="120" w:right="14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certain risks. See “</w:t>
      </w:r>
      <w:hyperlink w:anchor="page10">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7 of this prospectus and in the applicable prospectus supplement and any related free writing prospectus and in the documents that are incorporated by reference into this prospectus or the applicable prospectus supplement for certain risks you should consider. You should read the entire prospectus carefully before you make your investment decision.</w:t>
      </w:r>
    </w:p>
    <w:p>
      <w:pPr>
        <w:spacing w:after="0" w:line="72" w:lineRule="exact"/>
        <w:rPr>
          <w:sz w:val="20"/>
          <w:szCs w:val="20"/>
          <w:color w:val="auto"/>
        </w:rPr>
      </w:pPr>
    </w:p>
    <w:p>
      <w:pPr>
        <w:ind w:left="120" w:right="20"/>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or other securities commission or other regulatory body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93980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1"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 2022</w:t>
            </w:r>
          </w:p>
        </w:tc>
      </w:tr>
    </w:tbl>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100" w:type="dxa"/>
            <w:vAlign w:val="bottom"/>
            <w:gridSpan w:val="4"/>
          </w:tcPr>
          <w:p>
            <w:pPr>
              <w:ind w:left="500"/>
              <w:spacing w:after="0"/>
              <w:rPr>
                <w:sz w:val="20"/>
                <w:szCs w:val="20"/>
                <w:color w:val="auto"/>
              </w:rPr>
            </w:pPr>
            <w:r>
              <w:rPr>
                <w:rFonts w:ascii="Arial" w:cs="Arial" w:eastAsia="Arial" w:hAnsi="Arial"/>
                <w:sz w:val="18"/>
                <w:szCs w:val="18"/>
                <w:b w:val="1"/>
                <w:bCs w:val="1"/>
                <w:color w:val="auto"/>
              </w:rPr>
              <w:t>Table of Contents</w:t>
            </w:r>
          </w:p>
        </w:tc>
        <w:tc>
          <w:tcPr>
            <w:tcW w:w="2540" w:type="dxa"/>
            <w:vAlign w:val="bottom"/>
          </w:tcPr>
          <w:p>
            <w:pPr>
              <w:spacing w:after="0"/>
              <w:rPr>
                <w:sz w:val="20"/>
                <w:szCs w:val="20"/>
                <w:color w:val="auto"/>
              </w:rPr>
            </w:pPr>
          </w:p>
        </w:tc>
      </w:tr>
      <w:tr>
        <w:trPr>
          <w:trHeight w:val="377"/>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8420" w:type="dxa"/>
            <w:vAlign w:val="bottom"/>
            <w:gridSpan w:val="20"/>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254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PRESENTATION OF FINANCIAL INFORMATION</w:t>
              </w:r>
            </w:hyperlink>
          </w:p>
        </w:tc>
        <w:tc>
          <w:tcPr>
            <w:tcW w:w="4540" w:type="dxa"/>
            <w:vAlign w:val="bottom"/>
            <w:gridSpan w:val="5"/>
          </w:tcPr>
          <w:p>
            <w:pPr>
              <w:spacing w:after="0"/>
              <w:rPr>
                <w:sz w:val="17"/>
                <w:szCs w:val="17"/>
                <w:color w:val="auto"/>
              </w:rPr>
            </w:pPr>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42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PROSPECTUS SUMMARY</w:t>
              </w:r>
            </w:hyperlink>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6340" w:type="dxa"/>
            <w:vAlign w:val="bottom"/>
            <w:gridSpan w:val="12"/>
          </w:tcPr>
          <w:p>
            <w:pPr>
              <w:spacing w:after="0"/>
              <w:rPr>
                <w:sz w:val="17"/>
                <w:szCs w:val="17"/>
                <w:color w:val="auto"/>
              </w:rPr>
            </w:pPr>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8420" w:type="dxa"/>
            <w:vAlign w:val="bottom"/>
            <w:gridSpan w:val="2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SPECIAL NOTE REGARDING FORWARD-LOOKING STATEMENTS</w:t>
              </w:r>
            </w:hyperlink>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4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SECURITIES WE MAY OFFER</w:t>
              </w:r>
            </w:hyperlink>
          </w:p>
        </w:tc>
        <w:tc>
          <w:tcPr>
            <w:tcW w:w="2920" w:type="dxa"/>
            <w:vAlign w:val="bottom"/>
            <w:tcBorders>
              <w:top w:val="single" w:sz="8" w:color="0000EE"/>
            </w:tcBorders>
            <w:gridSpan w:val="8"/>
          </w:tcPr>
          <w:p>
            <w:pPr>
              <w:spacing w:after="0"/>
              <w:rPr>
                <w:sz w:val="17"/>
                <w:szCs w:val="17"/>
                <w:color w:val="auto"/>
              </w:rPr>
            </w:pPr>
          </w:p>
        </w:tc>
        <w:tc>
          <w:tcPr>
            <w:tcW w:w="3100" w:type="dxa"/>
            <w:vAlign w:val="bottom"/>
            <w:gridSpan w:val="2"/>
          </w:tcPr>
          <w:p>
            <w:pPr>
              <w:spacing w:after="0"/>
              <w:rPr>
                <w:sz w:val="17"/>
                <w:szCs w:val="17"/>
                <w:color w:val="auto"/>
              </w:rPr>
            </w:pPr>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570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w:anchor="page14">
              <w:r>
                <w:rPr>
                  <w:rFonts w:ascii="Arial" w:cs="Arial" w:eastAsia="Arial" w:hAnsi="Arial"/>
                  <w:sz w:val="18"/>
                  <w:szCs w:val="18"/>
                  <w:color w:val="0000EE"/>
                  <w:w w:val="95"/>
                </w:rPr>
                <w:t>DESCRIPTION OF SHARE CAPITAL AND ARTICLES OF ASSOCIATION</w:t>
              </w:r>
            </w:hyperlink>
          </w:p>
        </w:tc>
        <w:tc>
          <w:tcPr>
            <w:tcW w:w="2720" w:type="dxa"/>
            <w:vAlign w:val="bottom"/>
          </w:tcPr>
          <w:p>
            <w:pPr>
              <w:spacing w:after="0"/>
              <w:rPr>
                <w:sz w:val="17"/>
                <w:szCs w:val="17"/>
                <w:color w:val="auto"/>
              </w:rPr>
            </w:pPr>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842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AMERICAN DEPOSITARY SHARES</w:t>
              </w:r>
            </w:hyperlink>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30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4"/>
              </w:rPr>
            </w:pPr>
            <w:hyperlink w:anchor="page46">
              <w:r>
                <w:rPr>
                  <w:rFonts w:ascii="Arial" w:cs="Arial" w:eastAsia="Arial" w:hAnsi="Arial"/>
                  <w:sz w:val="18"/>
                  <w:szCs w:val="18"/>
                  <w:color w:val="0000EE"/>
                  <w:w w:val="94"/>
                </w:rPr>
                <w:t>DESCRIPTION OF DEBT SECURITIES</w:t>
              </w:r>
            </w:hyperlink>
          </w:p>
        </w:tc>
        <w:tc>
          <w:tcPr>
            <w:tcW w:w="1300" w:type="dxa"/>
            <w:vAlign w:val="bottom"/>
            <w:tcBorders>
              <w:top w:val="single" w:sz="8" w:color="0000EE"/>
            </w:tcBorders>
            <w:gridSpan w:val="3"/>
          </w:tcPr>
          <w:p>
            <w:pPr>
              <w:spacing w:after="0"/>
              <w:rPr>
                <w:sz w:val="17"/>
                <w:szCs w:val="17"/>
                <w:color w:val="auto"/>
              </w:rPr>
            </w:pPr>
          </w:p>
        </w:tc>
        <w:tc>
          <w:tcPr>
            <w:tcW w:w="4100" w:type="dxa"/>
            <w:vAlign w:val="bottom"/>
            <w:gridSpan w:val="4"/>
          </w:tcPr>
          <w:p>
            <w:pPr>
              <w:spacing w:after="0"/>
              <w:rPr>
                <w:sz w:val="17"/>
                <w:szCs w:val="17"/>
                <w:color w:val="auto"/>
              </w:rPr>
            </w:pPr>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248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59">
              <w:r>
                <w:rPr>
                  <w:rFonts w:ascii="Arial" w:cs="Arial" w:eastAsia="Arial" w:hAnsi="Arial"/>
                  <w:sz w:val="18"/>
                  <w:szCs w:val="18"/>
                  <w:color w:val="0000EE"/>
                  <w:w w:val="94"/>
                </w:rPr>
                <w:t>DESCRIPTION OF WARRANTS</w:t>
              </w:r>
            </w:hyperlink>
          </w:p>
        </w:tc>
        <w:tc>
          <w:tcPr>
            <w:tcW w:w="5940" w:type="dxa"/>
            <w:vAlign w:val="bottom"/>
            <w:gridSpan w:val="9"/>
          </w:tcPr>
          <w:p>
            <w:pPr>
              <w:spacing w:after="0"/>
              <w:rPr>
                <w:sz w:val="17"/>
                <w:szCs w:val="17"/>
                <w:color w:val="auto"/>
              </w:rPr>
            </w:pPr>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202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60">
              <w:r>
                <w:rPr>
                  <w:rFonts w:ascii="Arial" w:cs="Arial" w:eastAsia="Arial" w:hAnsi="Arial"/>
                  <w:sz w:val="18"/>
                  <w:szCs w:val="18"/>
                  <w:color w:val="0000EE"/>
                  <w:w w:val="94"/>
                </w:rPr>
                <w:t>DESCRIPTION OF UNITS</w:t>
              </w:r>
            </w:hyperlink>
          </w:p>
        </w:tc>
        <w:tc>
          <w:tcPr>
            <w:tcW w:w="6400" w:type="dxa"/>
            <w:vAlign w:val="bottom"/>
            <w:gridSpan w:val="14"/>
          </w:tcPr>
          <w:p>
            <w:pPr>
              <w:spacing w:after="0"/>
              <w:rPr>
                <w:sz w:val="17"/>
                <w:szCs w:val="17"/>
                <w:color w:val="auto"/>
              </w:rPr>
            </w:pPr>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97"/>
              </w:rPr>
            </w:pPr>
            <w:hyperlink w:anchor="page61">
              <w:r>
                <w:rPr>
                  <w:rFonts w:ascii="Arial" w:cs="Arial" w:eastAsia="Arial" w:hAnsi="Arial"/>
                  <w:sz w:val="18"/>
                  <w:szCs w:val="18"/>
                  <w:color w:val="0000EE"/>
                  <w:w w:val="97"/>
                </w:rPr>
                <w:t>TAXATION</w:t>
              </w:r>
            </w:hyperlink>
          </w:p>
        </w:tc>
        <w:tc>
          <w:tcPr>
            <w:tcW w:w="7520" w:type="dxa"/>
            <w:vAlign w:val="bottom"/>
            <w:gridSpan w:val="18"/>
          </w:tcPr>
          <w:p>
            <w:pPr>
              <w:spacing w:after="0"/>
              <w:rPr>
                <w:sz w:val="17"/>
                <w:szCs w:val="17"/>
                <w:color w:val="auto"/>
              </w:rPr>
            </w:pPr>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5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USE OF PROCEEDS</w:t>
              </w:r>
            </w:hyperlink>
          </w:p>
        </w:tc>
        <w:tc>
          <w:tcPr>
            <w:tcW w:w="6840" w:type="dxa"/>
            <w:vAlign w:val="bottom"/>
            <w:gridSpan w:val="15"/>
          </w:tcPr>
          <w:p>
            <w:pPr>
              <w:spacing w:after="0"/>
              <w:rPr>
                <w:sz w:val="17"/>
                <w:szCs w:val="17"/>
                <w:color w:val="auto"/>
              </w:rPr>
            </w:pPr>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8420" w:type="dxa"/>
            <w:vAlign w:val="bottom"/>
            <w:gridSpan w:val="20"/>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PLAN OF DISTRIBUTION</w:t>
              </w:r>
            </w:hyperlink>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66">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3"/>
          </w:tcPr>
          <w:p>
            <w:pPr>
              <w:spacing w:after="0"/>
              <w:rPr>
                <w:sz w:val="17"/>
                <w:szCs w:val="17"/>
                <w:color w:val="auto"/>
              </w:rPr>
            </w:pPr>
          </w:p>
        </w:tc>
        <w:tc>
          <w:tcPr>
            <w:tcW w:w="6380" w:type="dxa"/>
            <w:vAlign w:val="bottom"/>
            <w:gridSpan w:val="13"/>
          </w:tcPr>
          <w:p>
            <w:pPr>
              <w:spacing w:after="0"/>
              <w:rPr>
                <w:sz w:val="17"/>
                <w:szCs w:val="17"/>
                <w:color w:val="auto"/>
              </w:rPr>
            </w:pPr>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8420" w:type="dxa"/>
            <w:vAlign w:val="bottom"/>
            <w:gridSpan w:val="2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EXPERTS</w:t>
              </w:r>
            </w:hyperlink>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760" w:type="dxa"/>
            <w:vAlign w:val="bottom"/>
            <w:shd w:val="clear" w:color="auto" w:fill="0000EE"/>
          </w:tcPr>
          <w:p>
            <w:pPr>
              <w:spacing w:after="0" w:line="20" w:lineRule="exact"/>
              <w:rPr>
                <w:sz w:val="1"/>
                <w:szCs w:val="1"/>
                <w:color w:val="auto"/>
              </w:rPr>
            </w:pPr>
          </w:p>
        </w:tc>
        <w:tc>
          <w:tcPr>
            <w:tcW w:w="2060" w:type="dxa"/>
            <w:vAlign w:val="bottom"/>
            <w:gridSpan w:val="11"/>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8420" w:type="dxa"/>
            <w:vAlign w:val="bottom"/>
            <w:gridSpan w:val="2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SERVICE OF PROCESS AND ENFORCEMENT OF LIABILITIES</w:t>
              </w:r>
            </w:hyperlink>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49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WHERE YOU CAN FIND MORE INFORMATION</w:t>
              </w:r>
            </w:hyperlink>
          </w:p>
        </w:tc>
        <w:tc>
          <w:tcPr>
            <w:tcW w:w="3440" w:type="dxa"/>
            <w:vAlign w:val="bottom"/>
            <w:gridSpan w:val="3"/>
          </w:tcPr>
          <w:p>
            <w:pPr>
              <w:spacing w:after="0"/>
              <w:rPr>
                <w:sz w:val="17"/>
                <w:szCs w:val="17"/>
                <w:color w:val="auto"/>
              </w:rPr>
            </w:pPr>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28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4"/>
              </w:rPr>
            </w:pPr>
            <w:hyperlink w:anchor="page69">
              <w:r>
                <w:rPr>
                  <w:rFonts w:ascii="Arial" w:cs="Arial" w:eastAsia="Arial" w:hAnsi="Arial"/>
                  <w:sz w:val="18"/>
                  <w:szCs w:val="18"/>
                  <w:color w:val="0000EE"/>
                  <w:w w:val="94"/>
                </w:rPr>
                <w:t>INCORPORATION BY REFERENCE</w:t>
              </w:r>
            </w:hyperlink>
          </w:p>
        </w:tc>
        <w:tc>
          <w:tcPr>
            <w:tcW w:w="980" w:type="dxa"/>
            <w:vAlign w:val="bottom"/>
            <w:tcBorders>
              <w:top w:val="single" w:sz="8" w:color="0000EE"/>
            </w:tcBorders>
            <w:gridSpan w:val="2"/>
          </w:tcPr>
          <w:p>
            <w:pPr>
              <w:spacing w:after="0"/>
              <w:rPr>
                <w:sz w:val="17"/>
                <w:szCs w:val="17"/>
                <w:color w:val="auto"/>
              </w:rPr>
            </w:pPr>
          </w:p>
        </w:tc>
        <w:tc>
          <w:tcPr>
            <w:tcW w:w="4620" w:type="dxa"/>
            <w:vAlign w:val="bottom"/>
            <w:gridSpan w:val="6"/>
          </w:tcPr>
          <w:p>
            <w:pPr>
              <w:spacing w:after="0"/>
              <w:rPr>
                <w:sz w:val="17"/>
                <w:szCs w:val="17"/>
                <w:color w:val="auto"/>
              </w:rPr>
            </w:pPr>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bl>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(the “SEC”) under the Securities Act of 1933, as amended, which we refer to as the Securities Act.</w:t>
      </w:r>
    </w:p>
    <w:p>
      <w:pPr>
        <w:spacing w:after="0" w:line="170"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Under this shelf registration process, we may offer the securities described in this prospectus from time to time in one or more offerings for an aggregate offering amount of up to $350,000,000, at prices and on terms to be determined by market conditions at the time of offering. This prospectus provides you with a general description of the securities we may offer. Each time we offer a type or series of securities, we will provide a prospectus supplement that will describe the specific amounts, prices and other important terms of the securities.</w:t>
      </w:r>
    </w:p>
    <w:p>
      <w:pPr>
        <w:spacing w:after="0" w:line="17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Registration of the securities covered by this prospectus does not mean that these securities will necessarily be offered or sold. As of the date of filing this registration statement, we have no specific plans for selling the securities registered hereunder.</w:t>
      </w:r>
    </w:p>
    <w:p>
      <w:pPr>
        <w:spacing w:after="0" w:line="170"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A prospectus supplement may include a discussion of risks or other special considerations applicable to us or the offered securities. A prospectus supplement or any free writing prospectus may also add, update or change information in this prospectus. If there is any inconsistency between the information in this prospectus and the applicable prospectus supplement, you must rely on the information in the prospectus supplement. Please carefully read both this prospectus, including the information incorporated by reference into this prospectus, and the applicable prospectus supplement or any free writing prospectus together with additional information described under the heading “Where You Can Find More Information.” This prospectus may not be used to offer or sell any securities unless accompanied by a prospectus supplement.</w:t>
      </w:r>
    </w:p>
    <w:p>
      <w:pPr>
        <w:spacing w:after="0" w:line="164"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The registration statement containing this prospectus, including exhibits to the registration statement, provides additional information about us and the securities offered under this prospectus. The registration statement can be read at the SEC website mentioned under the heading “Where You Can Find More Information.”</w:t>
      </w:r>
    </w:p>
    <w:p>
      <w:pPr>
        <w:spacing w:after="0" w:line="184"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We may sell the securities directly to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89" w:lineRule="exact"/>
        <w:rPr>
          <w:sz w:val="20"/>
          <w:szCs w:val="20"/>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names of those underwriters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21"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b w:val="1"/>
          <w:bCs w:val="1"/>
          <w:color w:val="auto"/>
        </w:rPr>
        <w:t>We have not authorized any broker-dealer, salesperson or other person to give any information or to make any representation other than those contained or incorporated by reference in this prospectus and the accompanying supplement to this prospectus. You must not rely upon any information or representation not contained or incorporated by reference in this prospectus or the accompanying prospectus supplement. This prospectus and the accompanying supplement to this prospectus and any free writing prospectus do not constitute an offer to sell or the solicitation of an offer to buy securities, nor do this prospectus and the accompanying supplement to this prospectus constitute an offer to sell or the solicitation of an offer to buy securities in any jurisdiction to any person to whom it is unlawful to make such offer or solicitation. The information contained in this prospectus and the accompanying prospectus supplement speaks only as of their respective dates and may not reflect subsequent changes in our business, financial condition, results of operations and prospects even though this prospectus and any accompanying prospectus supplement is delivered or securities are sold on a later date.</w:t>
      </w:r>
    </w:p>
    <w:p>
      <w:pPr>
        <w:spacing w:after="0" w:line="170"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color w:val="auto"/>
        </w:rPr>
        <w:t>We own various trademark registrations and applications, and unregistered trademarks, including our name and our corporate logo. All other trade names, trademarks and service marks of other companies appearing in this prospectus are the property of their respective holders. Solely for convenience, the trademarks and trade names in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 xml:space="preserve">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We maintain the books and records of Centessa Pharmaceuticals plc in U.S. dollars, as of the second quarter of 2021, and the Company’s wholly owned subsidiaries in their respective local currency. For financial reporting, our results are presented in or translated to, as appropriate, U.S. dollars and we prepare our consolidated financial statements in accordance with generally accepted accounting principles in the United States (“U.S. GAAP”) as issued by the Financial Accounting Standards Board. All references in this prospectus to “$” are to U.S. dollars and all references to “£” are to pounds sterling.</w:t>
      </w:r>
    </w:p>
    <w:p>
      <w:pPr>
        <w:spacing w:after="0" w:line="15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We have made rounding adjustments to some of the figures included in this prospectus. Accordingly, numerical figures shown as totals in some tables may not be an arithmetic aggregation of the figures that preceded them. Prior to the re-registration, we have historically conducted our business through Centessa Pharmaceuticals Limited’s subsidiaries and therefore our historical financial statements present the results of operations of Centessa Pharmaceuticals Limited. After the re-registration of Centessa Pharmaceuticals Limited as a public limited company named Centessa Pharmaceuticals plc, our consolidated financial statements will present the consolidated results of operations of Centessa Pharmaceuticals plc.</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0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or incorporated by reference in this prospectus. It may not contain all of the information that is important to you. You should carefully read the entire prospectus and the documents incorporated by reference in this prospectus before deciding whether to invest in our securities.</w:t>
      </w:r>
    </w:p>
    <w:p>
      <w:pPr>
        <w:spacing w:after="0" w:line="184" w:lineRule="exact"/>
        <w:rPr>
          <w:sz w:val="20"/>
          <w:szCs w:val="20"/>
          <w:color w:val="auto"/>
        </w:rPr>
      </w:pPr>
    </w:p>
    <w:p>
      <w:pPr>
        <w:jc w:val="both"/>
        <w:ind w:left="300" w:right="180"/>
        <w:spacing w:after="0" w:line="263" w:lineRule="auto"/>
        <w:rPr>
          <w:sz w:val="20"/>
          <w:szCs w:val="20"/>
          <w:color w:val="auto"/>
        </w:rPr>
      </w:pPr>
      <w:r>
        <w:rPr>
          <w:rFonts w:ascii="Arial" w:cs="Arial" w:eastAsia="Arial" w:hAnsi="Arial"/>
          <w:sz w:val="18"/>
          <w:szCs w:val="18"/>
          <w:i w:val="1"/>
          <w:iCs w:val="1"/>
          <w:color w:val="auto"/>
        </w:rPr>
        <w:t>Unless otherwise indicated or the context requires otherwise, in this prospectus and any prospectus supplement hereto, references to “Centessa,” “the Company,” “our company,” “we,” “us” and “our” mean Centessa Pharmaceuticals plc, a public limited company incorporated under the laws of England and Wales.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Vision</w:t>
      </w:r>
    </w:p>
    <w:p>
      <w:pPr>
        <w:spacing w:after="0" w:line="121" w:lineRule="exact"/>
        <w:rPr>
          <w:sz w:val="20"/>
          <w:szCs w:val="20"/>
          <w:color w:val="auto"/>
        </w:rPr>
      </w:pPr>
    </w:p>
    <w:p>
      <w:pPr>
        <w:ind w:left="300" w:right="460"/>
        <w:spacing w:after="0" w:line="259" w:lineRule="auto"/>
        <w:rPr>
          <w:sz w:val="20"/>
          <w:szCs w:val="20"/>
          <w:color w:val="auto"/>
        </w:rPr>
      </w:pPr>
      <w:r>
        <w:rPr>
          <w:rFonts w:ascii="Arial" w:cs="Arial" w:eastAsia="Arial" w:hAnsi="Arial"/>
          <w:sz w:val="18"/>
          <w:szCs w:val="18"/>
          <w:color w:val="auto"/>
        </w:rPr>
        <w:t>We aim to be a Research &amp; Development (“R&amp;D”) innovation engine that discovers, develops and ultimately delivers impactful medicines to patients. We seek to pursue the best assets in a capital efficient manner with objective and strategic decision-making to rapidly progress our programs through development. Through our approach, we strive to deliver medicines that can lead to significant impact for patients who are desperately in need of new treatments.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40"/>
        <w:spacing w:after="0" w:line="254" w:lineRule="auto"/>
        <w:rPr>
          <w:sz w:val="20"/>
          <w:szCs w:val="20"/>
          <w:color w:val="auto"/>
        </w:rPr>
      </w:pPr>
      <w:r>
        <w:rPr>
          <w:rFonts w:ascii="Arial" w:cs="Arial" w:eastAsia="Arial" w:hAnsi="Arial"/>
          <w:sz w:val="18"/>
          <w:szCs w:val="18"/>
          <w:color w:val="auto"/>
        </w:rPr>
        <w:t>Centessa Pharmaceuticals plc was formed in October 2020 with the purpose of bringing impactful new medicines to patients by combining the primary strengths of the asset-centric venture capital model with the benefits of diversification and scale typically attributed to traditional large R&amp;D organizations. Medicxi formed Centessa with a view to ultimately acquiring several pre-revenue, development stage biotech companies, each of which was either controlled by and/or invested in by a fund affiliated with Medicxi or Index Ventures. On January 29, 2021, we acquired 11 biotechnology companies as direct subsidiaries (together referred to as the “Centessa Subsidiaries”) and simultaneously closed a Series A funding round of $250 million. Prior to the acquisition, our activities were primarily focused on engaging advisors, preparing for the acquisition and Series A and recruiting.</w:t>
      </w:r>
    </w:p>
    <w:p>
      <w:pPr>
        <w:spacing w:after="0" w:line="195" w:lineRule="exact"/>
        <w:rPr>
          <w:sz w:val="20"/>
          <w:szCs w:val="20"/>
          <w:color w:val="auto"/>
        </w:rPr>
      </w:pPr>
    </w:p>
    <w:p>
      <w:pPr>
        <w:ind w:left="300" w:right="60"/>
        <w:spacing w:after="0" w:line="259" w:lineRule="auto"/>
        <w:rPr>
          <w:sz w:val="20"/>
          <w:szCs w:val="20"/>
          <w:color w:val="auto"/>
        </w:rPr>
      </w:pPr>
      <w:r>
        <w:rPr>
          <w:rFonts w:ascii="Arial" w:cs="Arial" w:eastAsia="Arial" w:hAnsi="Arial"/>
          <w:sz w:val="18"/>
          <w:szCs w:val="18"/>
          <w:color w:val="auto"/>
        </w:rPr>
        <w:t>In June 2021, we completed an initial public offering (“IPO”) of the ordinary shares through the sale and issuance of 16,500,000 American Depositary Shares (“ADSs”), at an initial price of $20.00 per ADS. Each ADS represents one ordinary share with a nominal value of £0.002 per ordinary share. Following the close of the IPO, the underwriters fully exercised their option to purchase an additional 2,475,000 ADSs at the initial public offering price of $20.00 per ADS.</w:t>
      </w:r>
    </w:p>
    <w:p>
      <w:pPr>
        <w:spacing w:after="0" w:line="187" w:lineRule="exact"/>
        <w:rPr>
          <w:sz w:val="20"/>
          <w:szCs w:val="20"/>
          <w:color w:val="auto"/>
        </w:rPr>
      </w:pPr>
    </w:p>
    <w:p>
      <w:pPr>
        <w:ind w:left="300" w:right="20"/>
        <w:spacing w:after="0" w:line="291" w:lineRule="auto"/>
        <w:rPr>
          <w:sz w:val="20"/>
          <w:szCs w:val="20"/>
          <w:color w:val="auto"/>
        </w:rPr>
      </w:pPr>
      <w:r>
        <w:rPr>
          <w:rFonts w:ascii="Arial" w:cs="Arial" w:eastAsia="Arial" w:hAnsi="Arial"/>
          <w:sz w:val="16"/>
          <w:szCs w:val="16"/>
          <w:color w:val="auto"/>
        </w:rPr>
        <w:t>We operate as a clinical-stage pharmaceutical company with a Research &amp; Development (“R&amp;D”) innovation engine that aims to discover, develop and ultimately deliver impactful medicines to patients. Our model seeks to minimize infrastructure investment and fixed costs by incorporating extensive outsourced resources into our research and development model to optimize deployment of funds for discovery and development. We are led by a management team with extensive R&amp;D experience from leading biotech and pharmaceutical companies. We are focused on rapidly advancing our programs from research through all stages of development leveraging the integrated one-team structure of our operating model. The management team is also responsible for judicious capital and resource allocation decisions for discovery and development efforts across the portfolio and aims to expeditiously evaluate and potentially terminate programs when the data do not support advancing a program.</w:t>
      </w:r>
    </w:p>
    <w:p>
      <w:pPr>
        <w:spacing w:after="0" w:line="166" w:lineRule="exact"/>
        <w:rPr>
          <w:sz w:val="20"/>
          <w:szCs w:val="20"/>
          <w:color w:val="auto"/>
        </w:rPr>
      </w:pPr>
    </w:p>
    <w:p>
      <w:pPr>
        <w:ind w:left="300" w:right="160"/>
        <w:spacing w:after="0" w:line="259" w:lineRule="auto"/>
        <w:rPr>
          <w:sz w:val="20"/>
          <w:szCs w:val="20"/>
          <w:color w:val="auto"/>
        </w:rPr>
      </w:pPr>
      <w:r>
        <w:rPr>
          <w:rFonts w:ascii="Arial" w:cs="Arial" w:eastAsia="Arial" w:hAnsi="Arial"/>
          <w:sz w:val="18"/>
          <w:szCs w:val="18"/>
          <w:color w:val="auto"/>
        </w:rPr>
        <w:t>Our programs span discovery to development stage and cover a range of high-value indications in rare diseases and immuno-oncology. We have categorized each of our programs as registrational, emerging or exploratory. We currently have one registrational program which has established clinical proof of concept, with registrational trials planned for SerpinPC in Hemophilia B this year; four emerging programs with clinical proof of concept</w:t>
      </w:r>
    </w:p>
    <w:p>
      <w:pPr>
        <w:spacing w:after="0" w:line="29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848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93" w:lineRule="auto"/>
        <w:rPr>
          <w:sz w:val="20"/>
          <w:szCs w:val="20"/>
          <w:color w:val="auto"/>
        </w:rPr>
      </w:pPr>
      <w:r>
        <w:rPr>
          <w:rFonts w:ascii="Arial" w:cs="Arial" w:eastAsia="Arial" w:hAnsi="Arial"/>
          <w:sz w:val="16"/>
          <w:szCs w:val="16"/>
          <w:color w:val="auto"/>
        </w:rPr>
        <w:t>anticipated in the next 18 months with LB101 in solid tumors, ZF874 in Alpha-1 Antitrypsin Deficiency (AATD), MGX292 in Pulmonary Arterial Hypertension (PAH), and orexin agonists in Narcolepsy; and we have several exploratory programs including CBS001 in inflammatory / fibrotic diseases and CBS004 in autoimmune conditions. We aim to pursue programs we believe could be first-in-class and/or best-in-class in areas of significant unmet need. Where appropriate, we are also pursuing opportunities for agile, lean and potentially rapid development, including orphan drug designation, fast track designation, and other regulatory and development avenues. Based on our internal epidemiological-based market models, we believe each of our current programs, if approved, has the potential to compete in multi-billion dollar markets.</w:t>
      </w:r>
    </w:p>
    <w:p>
      <w:pPr>
        <w:spacing w:after="0" w:line="164" w:lineRule="exact"/>
        <w:rPr>
          <w:sz w:val="20"/>
          <w:szCs w:val="20"/>
          <w:color w:val="auto"/>
        </w:rPr>
      </w:pPr>
    </w:p>
    <w:p>
      <w:pPr>
        <w:ind w:left="300" w:right="280"/>
        <w:spacing w:after="0" w:line="263" w:lineRule="auto"/>
        <w:rPr>
          <w:sz w:val="20"/>
          <w:szCs w:val="20"/>
          <w:color w:val="auto"/>
        </w:rPr>
      </w:pPr>
      <w:r>
        <w:rPr>
          <w:rFonts w:ascii="Arial" w:cs="Arial" w:eastAsia="Arial" w:hAnsi="Arial"/>
          <w:sz w:val="18"/>
          <w:szCs w:val="18"/>
          <w:color w:val="auto"/>
        </w:rPr>
        <w:t>We shared clinical read-outs in 2021 for our Hemophilia and AATD programs. Over the next 12-24 months, we plan to bring multiple programs into the clinic and to share further clinical read-outs across our portfolio. As a company focused on development of therapeutics, we intend to relentlessly focus on efficiently delivering impactful medicines to patients.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Operating Model</w:t>
      </w:r>
    </w:p>
    <w:p>
      <w:pPr>
        <w:spacing w:after="0" w:line="121" w:lineRule="exact"/>
        <w:rPr>
          <w:sz w:val="20"/>
          <w:szCs w:val="20"/>
          <w:color w:val="auto"/>
        </w:rPr>
      </w:pPr>
    </w:p>
    <w:p>
      <w:pPr>
        <w:ind w:left="300" w:right="40"/>
        <w:spacing w:after="0" w:line="290" w:lineRule="auto"/>
        <w:rPr>
          <w:sz w:val="20"/>
          <w:szCs w:val="20"/>
          <w:color w:val="auto"/>
        </w:rPr>
      </w:pPr>
      <w:r>
        <w:rPr>
          <w:rFonts w:ascii="Arial" w:cs="Arial" w:eastAsia="Arial" w:hAnsi="Arial"/>
          <w:sz w:val="16"/>
          <w:szCs w:val="16"/>
          <w:color w:val="auto"/>
        </w:rPr>
        <w:t>We have implemented a differentiated R&amp;D model, leveraging the key strengths of the traditional R&amp;D organization and the core tenets of the asset-centric venture capital model, which relies on focused teams pursuing assets against a single target or pathway. We believe that our approach will allow us to benefit from the characteristics of each model, while simultaneously removing the inefficiencies and potential challenges related to each. In particular, the convergence of scale, judicious allocation of capital and resources with a bias toward outsourcing, and singular focus enables our program teams to pursue development plans with an eye toward rapid registration pathways while exploiting the unique pharmacology of our drug candidates. Where warranted we may seek strategic partnerships that leverage third-party expertise and synergies to help accelerate development or better drive commercialization. Centessa and has global rights to its programs and each program is meant to address significant unmet patient need in a specific disease area, building on either precedented human activity or human genetics.</w:t>
      </w:r>
    </w:p>
    <w:p>
      <w:pPr>
        <w:spacing w:after="0" w:line="165" w:lineRule="exact"/>
        <w:rPr>
          <w:sz w:val="20"/>
          <w:szCs w:val="20"/>
          <w:color w:val="auto"/>
        </w:rPr>
      </w:pPr>
    </w:p>
    <w:p>
      <w:pPr>
        <w:ind w:left="300" w:right="20"/>
        <w:spacing w:after="0" w:line="275" w:lineRule="auto"/>
        <w:rPr>
          <w:sz w:val="20"/>
          <w:szCs w:val="20"/>
          <w:color w:val="auto"/>
        </w:rPr>
      </w:pPr>
      <w:r>
        <w:rPr>
          <w:rFonts w:ascii="Arial" w:cs="Arial" w:eastAsia="Arial" w:hAnsi="Arial"/>
          <w:sz w:val="17"/>
          <w:szCs w:val="17"/>
          <w:color w:val="auto"/>
        </w:rPr>
        <w:t>Research activities related to each program are conducted through a Research Excellence Hub (“REH”) overseen by our Chief Innovation Officer (“CIO”). Each REH is dedicated to pursuing pathway and/or disease domain-specific research with the aim of bringing assets through development candidate selection. Once a development candidate (“DC”) is selected, the program is transitioned to a development program team. The integrated one-team development structure brings together cross-functional expertise to drive agile, lean and effective clinical development of the asset and is overseen by our Chief Medical Officer and our Chairman of Development.</w:t>
      </w:r>
    </w:p>
    <w:p>
      <w:pPr>
        <w:spacing w:after="0" w:line="176" w:lineRule="exact"/>
        <w:rPr>
          <w:sz w:val="20"/>
          <w:szCs w:val="20"/>
          <w:color w:val="auto"/>
        </w:rPr>
      </w:pPr>
    </w:p>
    <w:p>
      <w:pPr>
        <w:ind w:left="300"/>
        <w:spacing w:after="0" w:line="311" w:lineRule="auto"/>
        <w:rPr>
          <w:sz w:val="20"/>
          <w:szCs w:val="20"/>
          <w:color w:val="auto"/>
        </w:rPr>
      </w:pPr>
      <w:r>
        <w:rPr>
          <w:rFonts w:ascii="Arial" w:cs="Arial" w:eastAsia="Arial" w:hAnsi="Arial"/>
          <w:sz w:val="16"/>
          <w:szCs w:val="16"/>
          <w:color w:val="auto"/>
        </w:rPr>
        <w:t>The REH and development program teams are organized to be lean, with limited fixed costs to further enhance the economics of drug development. To accomplish this aim, the teams rely on strategic Contract Research Organization (“CRO”) and Contract Development and Manufacturing Organization (“CDMO”) partners and consultants while maintaining a small, agile, and highly experienced core team of drug developers.</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300"/>
        <w:spacing w:after="0" w:line="296" w:lineRule="auto"/>
        <w:rPr>
          <w:sz w:val="20"/>
          <w:szCs w:val="20"/>
          <w:color w:val="auto"/>
        </w:rPr>
      </w:pPr>
      <w:r>
        <w:rPr>
          <w:rFonts w:ascii="Arial" w:cs="Arial" w:eastAsia="Arial" w:hAnsi="Arial"/>
          <w:sz w:val="16"/>
          <w:szCs w:val="16"/>
          <w:color w:val="auto"/>
        </w:rPr>
        <w:t>We have embarked on a journey to build a sustainable pharmaceutical company with a drug discovery approach that we believe has the potential to fundamentally reshape the traditional R&amp;D model. We believe our highly experienced management team and leading subject matter experts, guided by a relentless focus on data-driven decision-making and capital efficiency, are well positioned to lead the advancement of our robust portfolio of assets in areas of high unmet need. With that in mind, we intend to continue to establish proof of concept and proof of mechanism for our current preclinical programs and continue to generate clinical data as we advance our portfolio through later-stage development.</w:t>
      </w:r>
    </w:p>
    <w:p>
      <w:pPr>
        <w:spacing w:after="0" w:line="26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05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Centessa is registered with the Registrar of Companies in England and Wales under number 12973576, and our registered office is at 3rd Floor, 1 Ashley Road, Altrincham, Cheshire, United Kingdom, WA14 2DT. Our website address is http://www.centessa.com. The information contained on, or that can be accessed through, our website is not incorporated by reference in this prospectus.</w:t>
      </w:r>
    </w:p>
    <w:p>
      <w:pPr>
        <w:spacing w:after="0" w:line="184" w:lineRule="exact"/>
        <w:rPr>
          <w:sz w:val="20"/>
          <w:szCs w:val="20"/>
          <w:color w:val="auto"/>
        </w:rPr>
      </w:pPr>
    </w:p>
    <w:p>
      <w:pPr>
        <w:ind w:left="300"/>
        <w:spacing w:after="0" w:line="270" w:lineRule="auto"/>
        <w:rPr>
          <w:sz w:val="20"/>
          <w:szCs w:val="20"/>
          <w:color w:val="auto"/>
        </w:rPr>
      </w:pPr>
      <w:r>
        <w:rPr>
          <w:rFonts w:ascii="Arial" w:cs="Arial" w:eastAsia="Arial" w:hAnsi="Arial"/>
          <w:sz w:val="17"/>
          <w:szCs w:val="17"/>
          <w:color w:val="auto"/>
        </w:rPr>
        <w:t>ApcinteX was incorporated in 2014 under the laws of England and Wales with primary operations in the United Kingdom. Z Factor was incorporated in 2014 under the laws of England and Wales with primary operations in the United Kingdom. Morphogen-IX was incorporated in 2015 under the laws of England and Wales with primary operations in the United Kingdom. Capella Bioscience was incorporated in 2014 under the laws of England and Wales with primary operations in the United Kingdom. LockBody was incorporated in 2017 under the laws of England and Wales with primary operations in the United Kingdom. Orexia was incorporated in 2018 under the laws of England and Wales with primary operations in the United Kingdom. Palladio Biosciences was incorporated in 2015 under the laws of Delaware with primary operations in Horsham, Pennsylvania. Pega-One was incorporated in 2019 under the laws of France with primary operations out of Princeton, New Jersey. Janpix was incorporated in 2013 under the law of England and Wales with primary operations in Canada. PearlRiver Bio was incorporated in 2019 under the laws of Germany with primary operations out of Germany.</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00"/>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(JOBS Act) enacted in April 2012.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404(b) of the Sarbanes-Oxley Act of 2002, reduced disclosure obligations regarding executive compensation in our periodic reports and proxy statements, exemptions from the requirements of holding a nonbinding advisory vote on executive compensation and any golden parachute payments not previously approved.</w:t>
      </w:r>
    </w:p>
    <w:p>
      <w:pPr>
        <w:spacing w:after="0" w:line="192" w:lineRule="exact"/>
        <w:rPr>
          <w:sz w:val="20"/>
          <w:szCs w:val="20"/>
          <w:color w:val="auto"/>
        </w:rPr>
      </w:pPr>
    </w:p>
    <w:p>
      <w:pPr>
        <w:ind w:left="300"/>
        <w:spacing w:after="0" w:line="293" w:lineRule="auto"/>
        <w:rPr>
          <w:sz w:val="20"/>
          <w:szCs w:val="20"/>
          <w:color w:val="auto"/>
        </w:rPr>
      </w:pPr>
      <w:r>
        <w:rPr>
          <w:rFonts w:ascii="Arial" w:cs="Arial" w:eastAsia="Arial" w:hAnsi="Arial"/>
          <w:sz w:val="16"/>
          <w:szCs w:val="16"/>
          <w:color w:val="auto"/>
        </w:rPr>
        <w:t>We will remain an emerging growth company until the earlier to occur of (1) the last day of the fiscal year that is five years following the closing of our initial public offering, (2) the last day of the fiscal year in which we have total annual gross revenues of at least $1.07 billion, (3) the last day of the fiscal year in which we are deemed to be a “large accelerated filer,” under the rules of the U.S. Securities and Exchange Commission (the “SEC”) which means the market value of our equity securities that is held by non-affiliates exceeds $700 million as of the prior June 30th after we have been subject to the SEC’s periodic reporting requirements for at least twelve calendar months and have filed at least one annual report, and (4) the date on which we have issued more than $1.0 billion in non-convertible debt during the prior three-year period.</w:t>
      </w:r>
    </w:p>
    <w:p>
      <w:pPr>
        <w:spacing w:after="0" w:line="164" w:lineRule="exact"/>
        <w:rPr>
          <w:sz w:val="20"/>
          <w:szCs w:val="20"/>
          <w:color w:val="auto"/>
        </w:rPr>
      </w:pPr>
    </w:p>
    <w:p>
      <w:pPr>
        <w:ind w:left="300" w:right="80"/>
        <w:spacing w:after="0" w:line="301"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are electing to utilize the extended transition period and, as a result, will comply with new or revised accounting standards on the relevant dates on which adoption of such standards is required for private companies.</w:t>
      </w:r>
    </w:p>
    <w:p>
      <w:pPr>
        <w:spacing w:after="0" w:line="157" w:lineRule="exact"/>
        <w:rPr>
          <w:sz w:val="20"/>
          <w:szCs w:val="20"/>
          <w:color w:val="auto"/>
        </w:rPr>
      </w:pPr>
    </w:p>
    <w:p>
      <w:pPr>
        <w:ind w:left="300" w:right="120"/>
        <w:spacing w:after="0" w:line="279" w:lineRule="auto"/>
        <w:rPr>
          <w:sz w:val="20"/>
          <w:szCs w:val="20"/>
          <w:color w:val="auto"/>
        </w:rPr>
      </w:pPr>
      <w:r>
        <w:rPr>
          <w:rFonts w:ascii="Arial" w:cs="Arial" w:eastAsia="Arial" w:hAnsi="Arial"/>
          <w:sz w:val="17"/>
          <w:szCs w:val="17"/>
          <w:color w:val="auto"/>
        </w:rPr>
        <w:t>Even after we no longer qualify as an emerging growth company, we may still qualify as a “smaller reporting company” if the market value of our ordinary shares held by non-affiliates is below $250 million (or $700 million if our annual revenue is less than $100 million) as of June 30 in any given year, which would allow us to take advantage of many of the same exemptions from disclosure requirements, including reduced disclosure obligations regarding executive compensation in our periodic reports and proxy statements.</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Before making an investment decision, you should carefully consider the risks described under “Risk Factors” in the applicable prospectus supplement, together with all of the other information appearing in this prospectus or incorporated by reference into this prospectus and any applicable prospectus supplement, including our most recent annual report on Form 10-K and in our most recent quarterly report on Form 10-Q, as well as any amendments thereto reflected in subsequent filings with the SEC, which are incorporated by reference into this prospectus in their entirety, and other documents we file with the SEC that are deemed incorporated by reference into this prospectus. Our business, financial condition or results of operations could be materially adversely affected by any of these risks. The trading price of our securities could decline due to any of these risks, and you may lose all or part of your investment. This prospectus and the incorporated documents also contain forward-looking statements that involve risks and uncertainties. Our actual results could differ materially from those anticipated in these forward-looking statements as a result of certain factors, including the risks mentioned elsewhere in this prospectus.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320" w:top="459" w:right="5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This prospectus and the documents incorporated by reference into it contain express or implied forward-looking statements within the meaning of Section 27A of the Securities Act of 1933, as amended, and Section 21E of the Securities Exchange Act of 1934, as amended, that involve substantial risks and uncertainties. In some cases, forward-looking statements may be identified by the words “may,” “might,” “will,” “could,” “would,” “should,” “expect,” “intend,” “plan,” “objective,” “anticipate,” “believe,” “estimate,” “predict,” “potential,” “continue,” “ongoing,” “aim,” “seek,” “strive,”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and opinions contained in this prospectus are based upon information available to our management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contained in this prospectus include, but are not limited to, statements about:</w:t>
      </w:r>
    </w:p>
    <w:p>
      <w:pPr>
        <w:spacing w:after="0" w:line="87" w:lineRule="exact"/>
        <w:rPr>
          <w:sz w:val="20"/>
          <w:szCs w:val="20"/>
          <w:color w:val="auto"/>
        </w:rPr>
      </w:pPr>
    </w:p>
    <w:p>
      <w:pPr>
        <w:ind w:left="1080" w:right="1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initiation, timing, progress and results (preliminary, interim or final) of our preclinical studies and clinical trials, and our research and development programs;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advance our product candidates into, and successfully complete,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reliance on the success of our product candidates and our pipeline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utilize our screening platform to identify and advance additional product candidates into clinical development;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become the partner of choice to attract founder-subject matter experts with high conviction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ongoing COVID-19 pandemic, including the impact of the delta and other variants, and the impact of the Russia-Ukraine war on our business and operations;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pricing, coverage and reimbursement of our product candidates,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product candidates and technology;</w:t>
      </w:r>
    </w:p>
    <w:p>
      <w:pPr>
        <w:spacing w:after="0" w:line="130"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technology;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operate our business without infringing the intellectual property rights and proprietary technology of third parties;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cost associated with prosecuting and maintaining our intellectual property and with defending intellectual property infringement, product liability and other claims;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legal and regulatory development in the United States, the European Union, the United Kingdom and other jurisdictions;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requirements and our needs for additional financing;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and our ability to negotiate and enter into strategic arrangements;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identify collaboration opportunities and to establish and maintain collaborations;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additional funding;</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60"/>
          </w:cols>
          <w:pgMar w:left="320" w:top="459" w:right="5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fulfill our obligations under the Note Purchase Agreement, as amended, with Oberland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any approved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developments relating to our competitors and our industry, including competing therapies and our ability to respond to such developments;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anticipated growth;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regarding future revenue, hiring plans, expenses, capital expenditures, capital requirements and share performance;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use of proceeds of our IPO;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 of the ADSs and impact of securities analysts’ reports on these prices;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You should refer to the section titled “Risk Factors” in this prospectus and described in any prospectus supplement and our periodic filings with the SEC incorporated by reference in this prospectus or any prospectus supplement for a discussion of important factors that may cause our actual results to differ materially from those expressed or implied by our forward-looking statements. As a result of these factors, we cannot be assured that the forward-looking statements in this prospectus will prove to be accurate. Furthermore, if our forward-looking statements prove to be inaccurate, the inaccuracy may be material. In light of the significant uncertainties in these forward-looking statements, these statements should not be regarded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166"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You should read this prospectus, any applicable prospectus supplement, together with the documents we have filed with the SEC that are incorporated by reference and any free writing prospectus that we may authorize for use in connection with a specific offering completely and with the understanding that our actual future results may be materially different from what we expect. We qualify all of our forward-looking statements by these cautionary statements.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SECURITIES WE MAY OFFER</w:t>
      </w:r>
    </w:p>
    <w:p>
      <w:pPr>
        <w:spacing w:after="0" w:line="22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We may offer our ordinary shares, each of which may be represented by one ADS, various series of senior or subordinated debt securities, warrants to purchase any such securities, units, or any combination of these securities in an amount up to $350,000,000 from time to time under this prospectus at prices and on terms to be determined by market conditions at the time of offering. Each time we offer a type or series of securities, we will provide a prospectus supplement that will describe the specific amounts, prices and other important terms of the securities.</w:t>
      </w:r>
    </w:p>
    <w:p>
      <w:pPr>
        <w:spacing w:after="0" w:line="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320" w:top="459" w:right="6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i w:val="1"/>
          <w:iCs w:val="1"/>
          <w:color w:val="auto"/>
        </w:rPr>
        <w:t>The following describes our issued share capital, summarizes the material provisions of our articles of association and highlights certain differences in corporate law in the United Kingdom and the United States. Please note that this summary is not intended to be exhaustive. For further information, please refer to the full version of our articles of association, which are incorporated by reference herein. We encourage you to read our articles of association (the “Articles”) and the applicable provisions of English law for additional information.</w:t>
      </w:r>
    </w:p>
    <w:p>
      <w:pPr>
        <w:spacing w:after="0" w:line="171"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We were incorporated pursuant to the laws of England and Wales as United Medicines Biopharma Limited on October 26, 2020 and then renamed as Centessa Pharmaceuticals Limited on February 17, 2021. We are registered with the Registrar of Companies in England and Wales under number 12973576, and our registered office is at 3rd Floor, 1 Ashley Road, Altrincham, Cheshire, United Kingdom, WA14 2DT.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resolutions were passed by our shareholders at our 2021 general shareholder meeting, including in respect of:</w:t>
      </w:r>
    </w:p>
    <w:p>
      <w:pPr>
        <w:spacing w:after="0" w:line="131" w:lineRule="exact"/>
        <w:rPr>
          <w:sz w:val="20"/>
          <w:szCs w:val="20"/>
          <w:color w:val="auto"/>
        </w:rPr>
      </w:pPr>
    </w:p>
    <w:p>
      <w:pPr>
        <w:ind w:left="1080" w:hanging="424"/>
        <w:spacing w:after="0" w:line="34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general authorization of our directors for purposes of section 551 of the Companies Act to issue our shares and grant rights to subscribe for or convert any securities into our shares up to a maximum aggregate nominal amount of £305,000 for a period of five years; and</w:t>
      </w:r>
    </w:p>
    <w:p>
      <w:pPr>
        <w:spacing w:after="0" w:line="29" w:lineRule="exact"/>
        <w:rPr>
          <w:rFonts w:ascii="Arial" w:cs="Arial" w:eastAsia="Arial" w:hAnsi="Arial"/>
          <w:sz w:val="16"/>
          <w:szCs w:val="16"/>
          <w:color w:val="auto"/>
        </w:rPr>
      </w:pPr>
    </w:p>
    <w:p>
      <w:pPr>
        <w:ind w:left="1080" w:right="20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empowering of our directors pursuant to section 570 of the Companies Act to issue equity securities for cash pursuant to the section 551 authority referred to above as if the statutory preemption rights under section 561(1) of the Companies Act did not apply to such allotments.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May 14, 2021, we re-registered Centessa Pharmaceuticals Limited as a public limited company with the name Centessa Pharmaceuticals plc.</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Issued Share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March 31, 2022, the Company’s issued share capital was 94,969,136 ordinary shares with a nominal value of £0.002 per share.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accordance with our Articles, the following summarizes the rights of holders of our ordinary shares:</w:t>
      </w:r>
    </w:p>
    <w:p>
      <w:pPr>
        <w:spacing w:after="0" w:line="131"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each holder of our ordinary shares is entitled to one vote per ordinary share on all matters to be voted on by shareholders generally;</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holders of the ordinary shares shall be entitled to receive notice of, attend, speak and vote at our general meetings; and</w:t>
      </w:r>
    </w:p>
    <w:p>
      <w:pPr>
        <w:spacing w:after="0" w:line="130" w:lineRule="exact"/>
        <w:rPr>
          <w:rFonts w:ascii="Arial" w:cs="Arial" w:eastAsia="Arial" w:hAnsi="Arial"/>
          <w:sz w:val="18"/>
          <w:szCs w:val="18"/>
          <w:color w:val="auto"/>
        </w:rPr>
      </w:pPr>
    </w:p>
    <w:p>
      <w:pPr>
        <w:ind w:left="1080" w:right="9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holders of our ordinary shares are entitled to receive such dividends as are recommended by our directors and declared by our shareholders.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Shares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accordance with our Articles, the following summarizes the rights of holders of our deferred shares created as part of the reverse share split:</w:t>
      </w:r>
    </w:p>
    <w:p>
      <w:pPr>
        <w:spacing w:after="0" w:line="142" w:lineRule="exact"/>
        <w:rPr>
          <w:sz w:val="20"/>
          <w:szCs w:val="20"/>
          <w:color w:val="auto"/>
        </w:rPr>
      </w:pPr>
    </w:p>
    <w:p>
      <w:pPr>
        <w:ind w:left="1080" w:right="1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holders of our deferred shares are not entitled to vote on any shareholder matters, or receive notice of, attend, speak or vote at our general meetings or receives copies of our reports, accounts, circulars or other documents sent to our shareholders;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holders of our deferred shares shall not be entitled to receive any dividends or participation in our profits;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event of a winding up or our liquidation, the deferred shares shall only participate in our surplus assets to the extent that each ordinary share has first received the amount paid up on that ordinary shares plus the sum of £1,000,000 in respect of each ordinary shares;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deferred shares shall not be transferable, save as in accordance with the limited circumstances set out in our Articles.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Registered Shares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are required by the Companies Act to keep a register of our shareholders. Under English law, the ordinary shares and deferred shares are deemed to be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w:t>
      </w:r>
    </w:p>
    <w:p>
      <w:pPr>
        <w:spacing w:after="0" w:line="187"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Holders of our ADSs are not treated as our shareholders and their names are therefore not entered in our share register. The depositary, the custodian or their nominees are the holder of the ordinary shares underlying our ADSs. Holders of our ADSs have a right to receive the ordinary shares underlying their ADSs. For discussion on our ADSs and ADS holder rights, see “Description of American Depositary Shares” below.</w:t>
      </w:r>
    </w:p>
    <w:p>
      <w:pPr>
        <w:spacing w:after="0" w:line="165"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Under the Companies Act, we must enter an allotment of shares in our share register as soon as practicable and in any event within two months of the allotment. We also are required by the Companies Act to register a transfer of shares (or give the transferee notice of and reasons for refusal as the transferee may reasonably request) as soon as practicable and in any event within two months of receiving notice of the transfer.</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share register if:</w:t>
      </w:r>
    </w:p>
    <w:p>
      <w:pPr>
        <w:spacing w:after="0" w:line="131"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name of any person, without sufficient cause, is wrongly entered in or omitted from our register of members; or</w:t>
      </w:r>
    </w:p>
    <w:p>
      <w:pPr>
        <w:spacing w:after="0" w:line="130"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there is a default or unnecessary delay in entering on the register the fact of any person having ceased to be a member or on which we have a lien, provided that such delay does not prevent dealings in the shares taking place on an open and proper basis.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Preemptive Rights</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English law generally provides shareholders with preemptive rights when new shares are issued for cash; however, it is possible for the articles of association, or shareholders in general meeting representing at least 75% of our ordinary shares present (in person or by proxy) and voting at that general meeting,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 On May 20, 2021, our shareholders approved the exclusion of preemptive rights for a period of five years from the date of approval, which exclusion will need to be renewed upon expiration (i.e., at least every five years) to remain effective, but may be sought more frequently for additional five-year terms (or any shorter period).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and Dividends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Under the Companies Act, before a company can lawfully make a distribution or dividend, it must ensure that it has sufficient distributable reserves, as determined on a non-consolidated basis. The basic rule is that a company’s profits available for the purpose of making a distribution are its accumulated, realized profits, so far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1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As a public company, an additional capital maintenance requirement is imposed on us to ensure that the net worth of the Company is at least equal to the amount of its capital. A public company can only make a distribution:</w:t>
      </w:r>
    </w:p>
    <w:p>
      <w:pPr>
        <w:spacing w:after="0" w:line="76" w:lineRule="exact"/>
        <w:rPr>
          <w:sz w:val="20"/>
          <w:szCs w:val="20"/>
          <w:color w:val="auto"/>
        </w:rPr>
      </w:pPr>
    </w:p>
    <w:p>
      <w:pPr>
        <w:ind w:left="1080" w:right="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and to the extent that, the distribution itself, at the time that it is made, does not reduce the amount of its net assets to less than that total.</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Disclosure of Interest in Shares</w:t>
      </w:r>
    </w:p>
    <w:p>
      <w:pPr>
        <w:spacing w:after="0" w:line="121"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Pursuant to Part 22 of the Companies Act, a company is empowered by notice in writing to require any person whom the company knows to be, or has reasonable cause to believe to be, interested in the company’s shares or at any time during the three years immediately preceding the date on which the notice is issued to have been so interested, within a reasonable time to disclose to the company details of that person’s interest and (so far as is within such person’s knowledge) details of any other interest that subsists or subsisted in those shares.</w:t>
      </w:r>
    </w:p>
    <w:p>
      <w:pPr>
        <w:spacing w:after="0" w:line="17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If a shareholder defaults in supplying the company with the required details in relation to the shares in question (the “Default Shares”), the shareholder shall not be entitled to vote or exercise any other right conferred by membership in relation to general meetings. Where the Default Shares represent 0.25% or more of the issued shares of the class in question, the directors may direct that:</w:t>
      </w:r>
    </w:p>
    <w:p>
      <w:pPr>
        <w:spacing w:after="0" w:line="89" w:lineRule="exact"/>
        <w:rPr>
          <w:sz w:val="20"/>
          <w:szCs w:val="20"/>
          <w:color w:val="auto"/>
        </w:rPr>
      </w:pPr>
    </w:p>
    <w:p>
      <w:pPr>
        <w:ind w:left="1080" w:right="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dividend or other money payable in respect of the Default Shares shall be retained by the company without any liability to pay interest on it when such dividend or other money is finally paid to the shareholder; and/or</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 transfer by the relevant shareholder of shares (other than a transfer approved in accordance with the provisions of the company’s articles of association) may be registered (unless such shareholder is not in default and the transfer does not relate to default shares).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Purchase of Own Shares</w:t>
      </w:r>
    </w:p>
    <w:p>
      <w:pPr>
        <w:spacing w:after="0" w:line="121"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English law permits a public limited company to purchase its own shares out of the distributable profits of the company or the proceeds of a fresh issue of shares made for the purpose of financing the purchase, subject to complying with procedural requirements under the Companies Act and provided that its articles of association do not prohibit it from doing so. Our Articles do not prohibit us from purchasing our own shares. A public limited company must not purchase its own shares if, as a result of the purchase, there would no longer be any issued shares of the company other than redeemable shares or shares held as treasury shares.</w:t>
      </w:r>
    </w:p>
    <w:p>
      <w:pPr>
        <w:spacing w:after="0" w:line="18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Any such purchase will be either a “market purchase” or “off market purchase,” each as defined in the Companies Act. A “market purchase” is a purchase made on a “recognized investment exchange (other than an overseas exchange) as defined in the UK Financial Services and Markets Act 2000 (“FSMA”). An “off market purchase” is a purchase that is not made on a “recognized investment exchange.” Both “market purchases” and “off market purchases” require prior shareholder approval by way of an ordinary resolution. In the case of an “off market purchase,” a company’s shareholders, other than the shareholders from whom the company is purchasing shares, must approve the terms of the contract to purchase shares and in the case of a “market purchase,” the shareholders must approve the maximum number of shares that can be purchased and the maximum and minimum prices to be paid by the company. Both resolutions authorizing “market purchases” and “off-market purchases” must specify a date, not later than five years after the passing of the resolution, on which the authority to purchase is to expire.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Nasdaq is an “overseas exchange” for the purposes of the Companies Act and does not fall within the definition of a “recognized investment exchange” for the purposes of FSMA and any purchase made by us would need to comply with the procedural requirements under the Companies Act that regulate “off market purchases.”</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 share buy back by a company of its shares will give rise to U.K. stamp duty reserve tax and stamp duty at the rate of 0.5% of the amount or value of the consideration payable by the company (rounded up to the next £5.00), and such stamp duty reserve tax or duty will be paid by the company. The charge to stamp duty reserve tax will be canceled or, if already paid, repaid (generally with interest), where a transfer instrument for stamp duty purposes has been duly stamped within six years of the charge arising (either by paying the stamp duty or by claiming an appropriate relief) or if the instrument is otherwise exempt from stamp duty.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Articles do not have conditions governing changes to our capital which are more stringent than those required by law.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Rights</w:t>
      </w:r>
    </w:p>
    <w:p>
      <w:pPr>
        <w:spacing w:after="0" w:line="12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Certain rights granted under the Companies Act, including the right to requisition a general meeting or require a resolution to be put to shareholders at the annual general meeting, are only available to our members. For English law purposes, our members are the persons who are registered as the owners of the legal title to the shares and whose names are recorded in our register of members. In the case of shares held in a settlement system operated by the Depository Trust Company (“DTC”), the registered member will be DTC’s nominee, Cede &amp; Co. If a person who holds their ADSs in DTC wishes to exercise certain of the rights granted under the Companies Act, they may be required to first take steps to withdraw their ADSs from the settlement system operated by DTC and become the registered holder of the shares in our register of members. A withdrawal of shares from DTC may have tax implications.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holders of up to 50,034,030 of our ordinary shares and all ordinary shares held by the entities affiliated with Medicxi and the entities affiliated with Index Ventures (the “Registrable Securities”) are entitled to rights with respect to the registration of these securities under the Securities Act of 1933, as amended (the “Securities Act”). These rights are provided under the terms of a registration rights agreement between us and holders of our convertible preferred shares, which were converted into ordinary shares in connection with our initial public offering in June 2021. The registration rights agreement includes demand registration rights, short-form registration rights and piggyback registration rights.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holders of a majority of the outstanding Registrable Securities are entitled to demand registration rights. Under the terms of the registration rights agreement, we will be required, upon the written request of holders of a majority of these securities to file a registration statement, with respect to at least 40% of the Registrable Securities then outstanding (or a lesser percentage, if the anticipated aggregate offering price would exceed $10.0 million) and use best efforts to effect the registration of all or a portion of these shares for public resale. We are required to effect only two registrations pursuant to this provision of the registration rights agreement.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Short-Form Registration Rights</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Pursuant to the registration rights agreement, if we are eligible to file a registration statement on Form F-3 or Form S-3, upon the written request of holders of at least 10% of the outstanding Registrable Securities having an anticipated aggregate offering price of at least $4.0 million, we will be required to effect a registration of such Registrable Securities. We are required to effect only two registrations in any twelve month period pursuant to this provision of the registration rights agreement. The right to have such shares registered on Form F-3 or Form S-3 is further subject to other specified conditions and limitations.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jc w:val="both"/>
        <w:ind w:left="120" w:right="80"/>
        <w:spacing w:after="0" w:line="273" w:lineRule="auto"/>
        <w:rPr>
          <w:sz w:val="20"/>
          <w:szCs w:val="20"/>
          <w:color w:val="auto"/>
        </w:rPr>
      </w:pPr>
      <w:r>
        <w:rPr>
          <w:rFonts w:ascii="Arial" w:cs="Arial" w:eastAsia="Arial" w:hAnsi="Arial"/>
          <w:sz w:val="17"/>
          <w:szCs w:val="17"/>
          <w:color w:val="auto"/>
        </w:rPr>
        <w:t>Pursuant to the registration rights agreement, if we register any of our securities either for our own account or for the account of other security holders, other than in connection with our initial public offering or a registration for any employee benefit plan, corporate reorganization, or the offer or sale of debt securities, the holders of the Registrable Securities (for so long as they are a party to the registration rights agreement) are entitled to include their shares in the registration. Subject to certain exceptions contained in the registration rights agreement, we and the underwriters may limit the number of Registrable Securities included in the underwritten offering to the number of shares which we and the underwriters determine in our sole discretion will not jeopardize the success of the offering.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registration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17"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The registration rights granted under the registration rights agreement will terminate on the earlier of (i) the fourth anniversary of the completion of our initial public offering (ii) such time as all relevant ordinary shares may be sold pursuant to Rule 144 without limitation during a 90 day period without registration and (iii) the closing of a share sale, as such term is defined in our Articles.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Articles of Association</w:t>
      </w:r>
    </w:p>
    <w:p>
      <w:pPr>
        <w:spacing w:after="0" w:line="121"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Our Articles were approved by our shareholders on May 20, 2021 and were adopted with effect from the completion of our initial public offering. A summary of the terms of the Articles is set out below. The summary below is not a complete copy of the terms of the Articles.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Articles contain no specific restrictions on our purpose and therefore, by virtue of section 31(1) of the Companies Act, our purpose is unrestricted.</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Articles contain, among other things, provisions to the following effect: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Capital</w:t>
      </w:r>
    </w:p>
    <w:p>
      <w:pPr>
        <w:spacing w:after="0" w:line="11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Our share capital consists of ordinary shares and deferred shares. We may, in accordance with section 551 of the Companies Act, be authorized by our shareholders to generally and unconditionally allot our shares or grant rights to subscribe for or convert any security into our shares by way of an ordinary resolution or if no ordinary resolution is passed or so far as the resolution does not make specific provision, as the board of directors may determine, including shares which are to be redeemed, or are liable to be redeemed at our option or the option of the holder of such shares. However, an amendment to our Articles, which requires the passing of a special resolution, will be required to issue any shares other than ordinary shares or deferred shares.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holders of ordinary shares have the right to receive notice of, and to vote at, our general meetings. Subject to any other provisions of the Articles and without prejudice to any special rights, privileges or restrictions as to voting attached to any shares forming part of our share capital, each holder of our ordinary shares who is present in person (or, in the case of a corporation, by representative) or by proxy at a general meeting on a show of hands has one vote and, on a poll, every such holder who is present in person (or, being a corporation, by representative) or by proxy has one vote in respect of every ordinary share held by him.</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Variation of Rights</w:t>
      </w:r>
    </w:p>
    <w:p>
      <w:pPr>
        <w:spacing w:after="0" w:line="117"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Whenever our share capital is divided into different classes of shares, the special rights attached to any class may be varied or abrogated either with the consent in writing of the holders of three-fourths in nominal value of the issued shares of that class or with the sanction of a special resolution passed at a general meeting of the holders of the shares of that class, and may be so varied and abrogated whilst the Company is a going concern.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We may, subject to the provisions of the Companies Act and the Articles, by ordinary resolution from time to time declare dividends to be paid to shareholders not exceeding the amount recommended by our board of directors. Subject to the provisions of the Companies Act, in so far as, in the board of directors’ opinions, our profits justify such payments, the board of directors may declare interim dividends (including any dividend at a fixed rate) as appears to our board of directors to be justified by our profits available for distribution. Except as provided otherwise by the rights attached to shares, all dividends may be declared or paid in any currency. Our board of directors may decide the rate of exchange for any currency conversions that may be required and how any costs involved in such conversions are to be met.</w:t>
      </w:r>
    </w:p>
    <w:p>
      <w:pPr>
        <w:spacing w:after="0" w:line="178"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Any dividend unclaimed after a period of 12 years from the date such dividend was declared or became payable shall, if the board of directors resolve, be forfeited and shall cease to remain owing by us. Unless otherwise provided by the rights attached to the share, no dividend or other monies payable on or in respect of a share shall bear interest as against 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17"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On a distribution of assets on a liquidation, the surplus assets remaining after payment of liabilities shall be distributed among the holders of ordinary shares pro rata to the number of ordinary shares held by them, irrespective of the amount paid or credited as paid on any ordinary share.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of Ordinary Shares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Subject to the restrictions in the Articles, each member may transfer all or any of his shares which are in certificated form by means of an instrument of transfer in any usual form or in any other form which the board of directors may approve. Each member may transfer all or any of his shares which are in uncertificated form by means of a “relevant system” (i.e., the CREST System) in such manner provided for, and subject as provided in, the CREST Regulations.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 may, in its absolute discretion, refuse to register a transfer of certificated shares unless:</w:t>
      </w:r>
    </w:p>
    <w:p>
      <w:pPr>
        <w:spacing w:after="0" w:line="131"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is for a share which is fully paid up;</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is for a share upon which the company has no lien;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is only for one class of share;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is in favor of a single transferee or no more than four joint transferees;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it is duly stamped or is duly certificated or otherwise shown to the satisfaction of the board of directors to be exempt from stamp duty; and</w:t>
      </w:r>
    </w:p>
    <w:p>
      <w:pPr>
        <w:spacing w:after="0" w:line="153" w:lineRule="exact"/>
        <w:rPr>
          <w:rFonts w:ascii="Arial" w:cs="Arial" w:eastAsia="Arial" w:hAnsi="Arial"/>
          <w:sz w:val="16"/>
          <w:szCs w:val="16"/>
          <w:color w:val="auto"/>
        </w:rPr>
      </w:pPr>
    </w:p>
    <w:p>
      <w:pPr>
        <w:ind w:left="1080" w:hanging="532"/>
        <w:spacing w:after="0" w:line="255"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is delivered for registration to the registered office of the company (or such other place as the board of directors may determine), accompanied (except in the case of a transfer by a person to whom the company is not required by law to issue a certificate and to whom a certificate has not been issued or in the case of a renunciation) by the certificate for the shares to which it relates and such other evidence as the board of directors may reasonably require to prove the title of the transferor (or person renouncing) and the due execution of the transfer or renunciation by him or, if the transfer or renunciation is executed by some other person on his behalf, the authority of that person to do so.</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60"/>
          </w:cols>
          <w:pgMar w:left="320" w:top="459"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The board of directors shall not refuse to register any transfer of partly paid shares in respect of which ADSs are admitted to Nasdaq on the grounds that they are partly paid shares in circumstances where such refusal would prevent dealings in such shares from taking place on an open and proper basis.</w:t>
      </w:r>
    </w:p>
    <w:p>
      <w:pPr>
        <w:spacing w:after="0" w:line="124"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The board of directors may refuse to register a transfer of uncertificated shares in any circumstances that are allowed or required by the CREST Regulations and the CREST System.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Allotment of Shares and Preemption Rights</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Subject to the Companies Act and to any rights attached to existing shares, any share may be issued with or have attached to it such rights and restrictions as the company may by ordinary resolution determine, or if no ordinary resolution has been passed or so far as the resolution does not make specific provision, as the board of directors may determine (including shares which are to be redeemed, or are liable to be redeemed at the option of the company or the holder of such shares). However, an amendment to the Articles, which requires the passing of a special resolution, will be required to issue any shares other than ordinary shares.</w:t>
      </w:r>
    </w:p>
    <w:p>
      <w:pPr>
        <w:spacing w:after="0" w:line="188"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 accordance with section 551 of the Companies Act, the board of directors may be generally and unconditionally authorized to exercise all the powers of the company to allot shares or grant rights to subscribe for or to convert any security into shares up to an aggregate nominal amount equal to the amount stated in the relevant ordinary resolution authorizing such allotment. The authorities passed on May 20, 2021 by way of ordinary resolution and remain in force at the date of this prospectus.</w:t>
      </w:r>
    </w:p>
    <w:p>
      <w:pPr>
        <w:spacing w:after="0" w:line="18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Pursuant to of section 561 of the Companies Act, shareholders are granted preemptive rights when new shares are issued for cash. However, it is possible for the Articles, or shareholders at a general meeting representing at least 75% of our ordinary shares present (in person or by proxy) and eligible to vote at that general meeting, to disapply these preemptive rights. Such a disapplication of preemption rights may be a maximum period of up to five years from the date of the shareholder resolution. In either case, this disapplication would need to be renewed by our shareholders upon its expiration (i.e. at least every five years).</w:t>
      </w:r>
    </w:p>
    <w:p>
      <w:pPr>
        <w:spacing w:after="0" w:line="188" w:lineRule="exact"/>
        <w:rPr>
          <w:sz w:val="20"/>
          <w:szCs w:val="20"/>
          <w:color w:val="auto"/>
        </w:rPr>
      </w:pPr>
    </w:p>
    <w:p>
      <w:pPr>
        <w:ind w:left="120" w:right="320"/>
        <w:spacing w:after="0" w:line="279" w:lineRule="auto"/>
        <w:rPr>
          <w:sz w:val="20"/>
          <w:szCs w:val="20"/>
          <w:color w:val="auto"/>
        </w:rPr>
      </w:pPr>
      <w:r>
        <w:rPr>
          <w:rFonts w:ascii="Arial" w:cs="Arial" w:eastAsia="Arial" w:hAnsi="Arial"/>
          <w:sz w:val="17"/>
          <w:szCs w:val="17"/>
          <w:color w:val="auto"/>
        </w:rPr>
        <w:t>On May 20, 2021, our shareholders approved the disapplication of preemptive rights for a period of five years from the date of approval by way of a special resolution of our shareholders. This included the disapplication of preemption rights in relation to the allotment of our ordinary shares in connection with the initial public offering. This disapplication will need to be renewed upon expiration (i.e., at least every five years) to remain effective, but may be sought more frequently for additional five-year terms (or any shorter period).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Alteration of Share Capital</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company may, in accordance with the Companies Act, by ordinary resolution consolidate all of its share capital into shares of larger nominal value than its existing shares, or cancel any shares which, at the date of the ordinary resolution, have not been taken or agreed to be taken by any person and diminish the amount of its share capital by the nominal amount of shares so cancelled, or sub-divide its shares, or any of them, into shares of smaller nominal value.</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company may, in accordance with the Companies Act, reduce or cancel its share capital or any capital redemption reserve or share premium account in any manner and with and subject to any conditions, authorities and consents required by law.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Appointment of directors</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Unless otherwise determined by the Company by ordinary resolution, the number of directors (other than any alternate directors) shall not be less than two but there shall be no maximum number of directors.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Subject to the Articles and the Companies Act, the Company may by ordinary resolution appoint a person who is willing to act as a director and the board of directors shall have power at any time to appoint any person who is willing to act as a director, in both cases either to fill a vacancy or as an addition to the existing board of directors.</w:t>
      </w:r>
    </w:p>
    <w:p>
      <w:pPr>
        <w:spacing w:after="0" w:line="184"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The Articles provide that our board of directors is divided into three classes, each of which will consist, as nearly as possible, of one-third of the total number of directors constituting our entire board and which will serve staggered three-year terms. At each annual general meeting, the successors of directors whose terms then expire will be elected to serve from the time of election and qualification until the third annual meeting following election.</w:t>
      </w:r>
    </w:p>
    <w:p>
      <w:pPr>
        <w:spacing w:after="0" w:line="14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At every subsequent annual general meeting any director who either (i) has been appointed by the board of directors since the last annual general meeting or (ii) was not appointed or reappointed at one of the preceding two annual general meetings, must retire from office and may offer themselves for reappointment by the shareholders by ordinary resolution.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Proceedings of directors</w:t>
      </w:r>
    </w:p>
    <w:p>
      <w:pPr>
        <w:spacing w:after="0" w:line="117"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Subject to the provisions of the Articles, the board of directors may regulate their proceedings as they deem appropriate. A director may, and the secretary at the request of a director shall, call a meeting of the directors.</w:t>
      </w:r>
    </w:p>
    <w:p>
      <w:pPr>
        <w:spacing w:after="0" w:line="170"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The quorum for a meeting of the board of directors shall be fixed from time to time by a decision of the board of directors, but it must never be less than two directors (or duly appointed alternative directors) and unless otherwise fixed, it is two directors (or duly appointed alternative directors).</w:t>
      </w:r>
    </w:p>
    <w:p>
      <w:pPr>
        <w:spacing w:after="0" w:line="124"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Questions and matters requiring resolution arising at a meeting shall be decided by a majority of votes of the participating directors, with each director having one vote. In the case of an equality of votes, the chairman will only have a casting vote or second vote (unless the chairperson is not entitled to vote on the resolution in question).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Directors’ compensation</w:t>
      </w:r>
    </w:p>
    <w:p>
      <w:pPr>
        <w:spacing w:after="0" w:line="117"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Directors shall be entitled to receive such remuneration as the board of directors shall determine for their services to the company as directors, and for any other service which they undertake for the Company. The directors shall be entitled to reasonable additional remuneration (whether by way of salary, commission, participation in profits or otherwise) for any special duties or services performed or rendered to us, as determined by our board of directors, and in respect of any employment or executive office. The directors shall also be entitled to be paid all reasonable expenses properly incurred by them in connection with their attendance at meetings of shareholders or class meetings, board of director or committee meetings or otherwise in connection with the exercise of their powers and the discharge of their responsibilities in relation to the Company.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Conflicts of interest</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board of directors may, in accordance with the requirements in the Articles, authorize any matter proposed to them by any director which would, if not authorized, involve a director breaching his duty under the Companies Act, to avoid conflicts of interests.</w:t>
      </w:r>
    </w:p>
    <w:p>
      <w:pPr>
        <w:spacing w:after="0" w:line="170"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A director seeking authorization in respect of such conflict shall declare to the board of directors the nature and extent of his interest in a conflict as soon as is reasonably practicable. The director shall provide the board of directors with such details of the matter as are necessary for the board of directors to decide how to address the conflict together with such additional information as may be requested by the board of directors.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authorization by the board of directors will be effective only if:</w:t>
      </w:r>
    </w:p>
    <w:p>
      <w:pPr>
        <w:spacing w:after="0" w:line="131" w:lineRule="exact"/>
        <w:rPr>
          <w:sz w:val="20"/>
          <w:szCs w:val="20"/>
          <w:color w:val="auto"/>
        </w:rPr>
      </w:pPr>
    </w:p>
    <w:p>
      <w:pPr>
        <w:ind w:left="1080" w:right="400" w:hanging="532"/>
        <w:spacing w:after="0" w:line="308"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the extent permitted by the Companies Act, the matter in question shall have been proposed by any director for consideration in the same way that any other matter may be proposed to the directors under the provisions of the Articles;</w:t>
      </w:r>
    </w:p>
    <w:p>
      <w:pPr>
        <w:spacing w:after="0" w:line="51" w:lineRule="exact"/>
        <w:rPr>
          <w:rFonts w:ascii="Arial" w:cs="Arial" w:eastAsia="Arial" w:hAnsi="Arial"/>
          <w:sz w:val="17"/>
          <w:szCs w:val="17"/>
          <w:color w:val="auto"/>
        </w:rPr>
      </w:pPr>
    </w:p>
    <w:p>
      <w:pPr>
        <w:ind w:left="1080" w:right="34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requirement as to the quorum for consideration of the relevant matter is met without counting the conflicted director and any other conflicted director; and</w:t>
      </w:r>
    </w:p>
    <w:p>
      <w:pPr>
        <w:spacing w:after="0" w:line="75"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matter is agreed to without the conflicted director voting or would be agreed to if the conflicted director’s and any other interested director’s vote is not counted.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Permitted interests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Under the Articles, certain transactions which would otherwise give rise to a conflict are considered to be permitted interests of our directors. In the event that these permitted interests arise, the director in question will still count towards the quorum requirements of the relevant meeting and be entitled to vote on resolutions relating to such permitted interests, including but not limited to the following matters:</w:t>
      </w:r>
    </w:p>
    <w:p>
      <w:pPr>
        <w:spacing w:after="0" w:line="71" w:lineRule="exact"/>
        <w:rPr>
          <w:sz w:val="20"/>
          <w:szCs w:val="20"/>
          <w:color w:val="auto"/>
        </w:rPr>
      </w:pPr>
    </w:p>
    <w:p>
      <w:pPr>
        <w:ind w:left="1080" w:right="60" w:hanging="532"/>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giving by such director of any security, guarantee or indemnity for any money or any liability which such director, or any other person, has lent or obligations such director or any other person has undertaken at the request, or for the benefit, of us or any of our subsidiary undertakings;</w:t>
      </w:r>
    </w:p>
    <w:p>
      <w:pPr>
        <w:spacing w:after="0" w:line="89"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giving of any security, guarantee or indemnity to any other person for a debt or obligation which is owed by us or any of our subsidiary undertakings, to that other person if such director has taken responsibility for some or all of that debt or obligation. Such director can take this responsibility by giving a guarantee, indemnity or security;</w:t>
      </w:r>
    </w:p>
    <w:p>
      <w:pPr>
        <w:spacing w:after="0" w:line="89" w:lineRule="exact"/>
        <w:rPr>
          <w:rFonts w:ascii="Arial" w:cs="Arial" w:eastAsia="Arial" w:hAnsi="Arial"/>
          <w:sz w:val="18"/>
          <w:szCs w:val="18"/>
          <w:color w:val="auto"/>
        </w:rPr>
      </w:pPr>
    </w:p>
    <w:p>
      <w:pPr>
        <w:ind w:left="1080" w:right="260" w:hanging="532"/>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proposal or contract relating to an offer of any shares or debentures or other securities for subscription or purchase by us or any of our subsidiary undertakings, if such director takes part because such director is a holder of shares, debentures or other securities, or if such director takes part in the underwriting or sub-underwriting of the offer;</w:t>
      </w:r>
    </w:p>
    <w:p>
      <w:pPr>
        <w:spacing w:after="0" w:line="89"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arrangement for the benefit of our employees or the employees of any of our subsidiary undertakings which only gives such director benefits which are also generally given to employees to whom the arrangement relates;</w:t>
      </w:r>
    </w:p>
    <w:p>
      <w:pPr>
        <w:spacing w:after="0" w:line="75" w:lineRule="exact"/>
        <w:rPr>
          <w:rFonts w:ascii="Arial" w:cs="Arial" w:eastAsia="Arial" w:hAnsi="Arial"/>
          <w:sz w:val="18"/>
          <w:szCs w:val="18"/>
          <w:color w:val="auto"/>
        </w:rPr>
      </w:pPr>
    </w:p>
    <w:p>
      <w:pPr>
        <w:ind w:left="1080" w:right="40" w:hanging="532"/>
        <w:spacing w:after="0" w:line="254"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arrangement involving any other company if such director (together with any person connected with such director) has an interest of any kind in that company (including an interest by holding any position in that company or by being a shareholder of that company). This does not apply if such director knows that that such director has a relevant interest in a company. A company shall be deemed to be one in which such director has a relevant interest if and so long as (but only if and so long as) such director is to their knowledge (either directly or indirectly) the holder of or beneficially interested in one percent or more of any class of the equity share capital of that company (calculated exclusive of any shares of that class in that company held as treasury shares) or of the voting rights available to shareholders of that company;</w:t>
      </w:r>
    </w:p>
    <w:p>
      <w:pPr>
        <w:spacing w:after="0" w:line="100" w:lineRule="exact"/>
        <w:rPr>
          <w:rFonts w:ascii="Arial" w:cs="Arial" w:eastAsia="Arial" w:hAnsi="Arial"/>
          <w:sz w:val="18"/>
          <w:szCs w:val="18"/>
          <w:color w:val="auto"/>
        </w:rPr>
      </w:pPr>
    </w:p>
    <w:p>
      <w:pPr>
        <w:ind w:left="1080" w:right="640" w:hanging="532"/>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contract relating to insurance which we can buy or renew for the benefit of our directors or a group of people which includes our directors; and</w:t>
      </w:r>
    </w:p>
    <w:p>
      <w:pPr>
        <w:spacing w:after="0" w:line="75" w:lineRule="exact"/>
        <w:rPr>
          <w:rFonts w:ascii="Arial" w:cs="Arial" w:eastAsia="Arial" w:hAnsi="Arial"/>
          <w:sz w:val="18"/>
          <w:szCs w:val="18"/>
          <w:color w:val="auto"/>
        </w:rPr>
      </w:pPr>
    </w:p>
    <w:p>
      <w:pPr>
        <w:ind w:left="1080" w:right="260" w:hanging="532"/>
        <w:spacing w:after="0" w:line="308"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contract relating to a pension, superannuation or similar scheme or a retirement, death, disability benefits scheme or employees’ share scheme which gives such director benefits which are also generally given to the employees to whom the scheme relates.</w:t>
      </w:r>
    </w:p>
    <w:p>
      <w:pPr>
        <w:spacing w:after="0" w:line="14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 director is not permitted to vote (or count towards the quorum) on a resolution relating to their own appointment or the settlement or variation of the terms of their appointment to an office or place of profit with us, or any other company in which we have an interest.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Indemnity</w:t>
      </w:r>
    </w:p>
    <w:p>
      <w:pPr>
        <w:spacing w:after="0" w:line="117" w:lineRule="exact"/>
        <w:rPr>
          <w:sz w:val="20"/>
          <w:szCs w:val="20"/>
          <w:color w:val="auto"/>
        </w:rPr>
      </w:pPr>
    </w:p>
    <w:p>
      <w:pPr>
        <w:ind w:left="120" w:right="260"/>
        <w:spacing w:after="0" w:line="255" w:lineRule="auto"/>
        <w:rPr>
          <w:sz w:val="20"/>
          <w:szCs w:val="20"/>
          <w:color w:val="auto"/>
        </w:rPr>
      </w:pPr>
      <w:r>
        <w:rPr>
          <w:rFonts w:ascii="Arial" w:cs="Arial" w:eastAsia="Arial" w:hAnsi="Arial"/>
          <w:sz w:val="18"/>
          <w:szCs w:val="18"/>
          <w:color w:val="auto"/>
        </w:rPr>
        <w:t>Subject to the provisions of the Companies Act, every director, secretary or other officer of the company (other than an auditor) shall be indemnified against all costs, charges, losses, damages and liabilities incurred by him in the actual purported exercise or discharge of his duties or exercise of his powers or otherwise in relation to them. This indemnity includes any liability incurred by a director in defending any civil or criminal proceedings in which judgment is given in that director’s favor or the director is acquitted or the proceedings are otherwise disposed of without any finding or admission of any material breach of duty on his part and we may provide the director with funds to meet expenditure incurred in connection with the proceedings set out above.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Meetings</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Company must convene and hold general meetings within the six-month period beginning with the day following our accounting reference date in accordance with the Companies Act. Under the Companies Act, an annual general meeting must be called by notice of at least 21 clear days and a general meeting must be called by notice of at least 14 clear days.</w:t>
      </w:r>
    </w:p>
    <w:p>
      <w:pPr>
        <w:spacing w:after="0" w:line="184"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No business shall be transacted at any general meeting unless a quorum is present when the meeting proceeds to business, but the absence of a quorum shall not preclude the choice or appointment of a chairman of the meeting which shall not be treated as part of the business of the meeting. Save as otherwise provided by the Articles, two shareholders present in person or by proxy and entitled to vote shall be a quorum for all purposes.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Choice of forum/governing law</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Articles provide that the courts of England and Wales will be the exclusive forum for resolving all shareholder complaints other than shareholder complaints asserting a cause of action arising under the Securities Act and the Exchange Act, for which, unless we consent by ordinary resolution to the selection of an alternative forum, the United States District Court for the Southern District of New York will be the exclusive forum. As a company incorporated in England and Wales, the choice of the courts of England and Wales as our exclusive forum for resolving all shareholder complaints, other than complaints arising under the Securities Act and the Exchange Act, allows us to more efficiently and affordably respond to such actions, and provides consistency in the application of the laws of England and Wales to such actions.</w:t>
      </w:r>
    </w:p>
    <w:p>
      <w:pPr>
        <w:spacing w:after="0" w:line="178"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Similarly, we have selected the United States District Court for the Southern District of New York as our exclusive forum for resolving shareholder complaints arising under the Securities Act and the Exchange Act in order to more efficiently and affordably respond to such claims.</w:t>
      </w:r>
    </w:p>
    <w:p>
      <w:pPr>
        <w:spacing w:after="0" w:line="124"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This choice of forum also provides both us and our shareholders with a forum that is familiar with and regularly reviews cases involving U.S. securities law. Although we believe this choice of forum benefits us by providing increased consistency in the application of U.S. securities law for the specified types of action, it may have the effect of discouraging lawsuits against our directors and officers. Any person or entity purchasing or otherwise acquiring any interest in our ordinary shares will be deemed to have notice of and consented to the provisions of the Articles, including the exclusive forum provision. However, it is possible that a court could find our forum selection provision to be inapplicable or unenforceable. The enforceability of similar exclusive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the Articles. Additionally, our shareholders cannot waive compliance with the federal securities laws and the rules and regulations thereunder.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Subject to the Articles and the Companies Act, the board of directors may exercise all of the powers of the Company to:</w:t>
      </w:r>
    </w:p>
    <w:p>
      <w:pPr>
        <w:spacing w:after="0" w:line="131"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borrow money;</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indemnify and guarantee;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 or charge;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and issue debentures and other securities;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give security either outright or as collateral security for any debt, liability or obligation of the company or of any third party.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Capitalization of Profits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directors may, if they are so authorized by an ordinary resolution of the shareholders, decide to capitalize any undivided profits of the company (whether or not they are available for distribution), or any sum standing to the credit of the company’s share premium account or capital redemption reserve. The directors may also, subject to the aforementioned ordinary resolution, appropriate any sum which they so decide to capitalize to the persons who would have been entitled to it if it were distributed by way of dividend and in the same proportions.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on Owning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Articles do not restrict in any way the ownership or voting of our shares by non-residents.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Uncertificated Shares</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Subject to the Companies Act, the board of directors may permit title to shares of any class to be issued or held otherwise than by a certificate and to be transferred by means of a “relevant system” (i.e., the CREST System) without a certificate.</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board of directors may take such steps as it sees fit in relation to the evidencing of and transfer of title to uncertificated shares, any records relating to the holding of uncertificated shares and the conversion of uncertificated shares to certificated shares, or vice-versa.</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may by notice to the holder of an uncertificated share, require that share to be converted into certificated form.</w:t>
      </w:r>
    </w:p>
    <w:p>
      <w:pPr>
        <w:spacing w:after="0" w:line="22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board of directors may take such other action that the board considers appropriate to achieve the sale, transfer, disposal, forfeiture, re-allotment or surrender of an uncertified share or otherwise to enforce a lien in respect of it.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Relevant Laws and Regulations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Takeover Code</w:t>
      </w:r>
    </w:p>
    <w:p>
      <w:pPr>
        <w:spacing w:after="0" w:line="11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We believe that, as of the date of this prospectus, our place of central management and control is not in the United Kingdom (or the Channel Islands or the Isle of Man) for the purposes of the jurisdictional criteria of the UK City Code on Takeovers and Mergers (the “Takeover Code”). Accordingly, we believe that we are not currently subject to the Takeover Code and, as a result, our shareholders are not currently entitled to the benefit of certain takeover offer protections provided under the Takeover Code, including the rules regarding mandatory takeover bids.</w:t>
      </w:r>
    </w:p>
    <w:p>
      <w:pPr>
        <w:spacing w:after="0" w:line="17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the event that this changes, or if the interpretation and application of the Takeover Code by the Panel on Takeovers and Mergers (the “Takeover Panel”), changes (including changes to the way in which the Takeover Panel assesses the application of the Takeover Code to English companies whose shares are listed outside of the United Kingdom), the Takeover Code may apply to us in the future.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Mandatory bid</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Takeover Code provides a framework within which takeovers of companies subject to it are conducted. In particular, the Takeover Code contains certain rules in respect of mandatory offers. Under the Takeover Code, where:</w:t>
      </w:r>
    </w:p>
    <w:p>
      <w:pPr>
        <w:spacing w:after="0" w:line="76" w:lineRule="exact"/>
        <w:rPr>
          <w:sz w:val="20"/>
          <w:szCs w:val="20"/>
          <w:color w:val="auto"/>
        </w:rPr>
      </w:pPr>
    </w:p>
    <w:p>
      <w:pPr>
        <w:jc w:val="both"/>
        <w:ind w:left="1080" w:right="12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person, together with persons acting in concert with him, acquires, whether by a series of transactions over a period of time or not, an interest in shares which (taken together with shares in which he is already interested, and in which persons acting in concert with him are interested) carry 30% or more of the voting rights of a company; or</w:t>
      </w:r>
    </w:p>
    <w:p>
      <w:pPr>
        <w:spacing w:after="0" w:line="89"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person who, together with persons acting in concert with him, is interested in shares which in the aggregate carry not less than 30% of the voting rights of a company but does not hold shares carrying more than 50% of such voting rights and such person, or any person acting in concert with him, acquires an interest in any other shares which increases the percentage of shares carrying voting rights in which he is interested</w:t>
      </w:r>
    </w:p>
    <w:p>
      <w:pPr>
        <w:spacing w:after="0" w:line="187"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such person shall, except in limited circumstances, be obliged to extend offers, on the basis set out in Rules 9.3, 9.4 and 9.5 of the Takeover Code, to the holders of any class of equity share capital, whether voting or non-voting, and also to the holders of any other class of transferable securities carrying voting rights. Offers for different classes of equity share capital must be comparable; the Takeover Panel should be consulted in advance in such cases.</w:t>
      </w:r>
    </w:p>
    <w:p>
      <w:pPr>
        <w:spacing w:after="0" w:line="14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An offer under Rule 9 of the Takeover Code must be in cash and at the highest price paid for any interest in the shares by the person required to make an offer or any person acting in concert with him during the 12 months prior to the announcement of the offer.</w:t>
      </w:r>
    </w:p>
    <w:p>
      <w:pPr>
        <w:spacing w:after="0" w:line="170"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 xml:space="preserve">Under the Takeover Code, “persons acting in concert” comprises persons who pursuant to an agreement or understanding (whether formal or informal and whether or not in writing) actively cooperate, through the acquisition by them of an interest in shares in a company, to obtain or consolidate control of the company. “Control” means holding, or aggregate holdings, of an interest in shares carrying 30% or more of the voting rights of the company, irrespective of whether the holding or holdings give </w:t>
      </w:r>
      <w:r>
        <w:rPr>
          <w:rFonts w:ascii="Arial" w:cs="Arial" w:eastAsia="Arial" w:hAnsi="Arial"/>
          <w:sz w:val="18"/>
          <w:szCs w:val="18"/>
          <w:i w:val="1"/>
          <w:iCs w:val="1"/>
          <w:color w:val="auto"/>
        </w:rPr>
        <w:t>de facto</w:t>
      </w:r>
      <w:r>
        <w:rPr>
          <w:rFonts w:ascii="Arial" w:cs="Arial" w:eastAsia="Arial" w:hAnsi="Arial"/>
          <w:sz w:val="18"/>
          <w:szCs w:val="18"/>
          <w:color w:val="auto"/>
        </w:rPr>
        <w:t xml:space="preserve"> control.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Squeeze-Out</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Under sections 979 to 982 of the Companies Act, if an offeror were to acquire, or unconditionally contract to acquire, not less than 90% of the ordinary shares of the company, it could then compulsorily acquire the remaining 10%. It would do so by sending a notice to outstanding shareholders telling them that it will compulsorily acquire their shares, provided that no such notice may be served after the end of: (a) the period of three months beginning with the day after the last day on which the offer can be accepted; or (b) if earlier, and the offer is not one to which section 943(1) of the Companies Act applies, the period of six months beginning with the date of the offer.</w:t>
      </w:r>
    </w:p>
    <w:p>
      <w:pPr>
        <w:spacing w:after="0" w:line="188"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Six weeks following service of the notice, the offeror must send a copy of it to the company together with the consideration for the ordinary shares to which the notice relates, and an instrument of transfer executed on behalf of the outstanding shareholder(s) by a person appointed by the offeror.</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will hold the consideration on trust for the outstanding shareholders.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Sell-out</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Sections 983 to 985 of the Companies Act also give minority shareholders in the company a right to be bought out in certain circumstances by an offeror who has made a takeover offer. If a takeover offer relating to all the ordinary shares of the Company is made at any time before the end of the period within which the offer could be accepted and the offeror held or had agreed to acquire not less than 90% of the ordinary shares, any holder of</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shares to which the offer related who had not accepted the offer could by a written communication to the offeror require it to acquire those shares. The offeror is required to give any shareholder notice of his right to be bought out within one month of that right arising. The offeror may impose a time limit on the rights of minority shareholders to be bought out, but that period cannot end less than three months after the end of the acceptance period, or, if longer a period of three months from the date of the notice.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a shareholder exercises his rights, the offeror is bound to acquire those shares on the terms of the offer or on such other terms as may be agreed.</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applicable provisions of the Companies Act differ from laws applicable to U.S. corporations and their shareholders. Set forth below is a summary of certain differences between the provisions of the Companies Act applicable to us and the General Corporation Law of the State of Delaware relating to shareholders’ rights and protections. This summary is not intended to be a complete discussion of the respective rights and it is qualified in its entirety by reference to Delaware law and the laws of England and Wales.</w:t>
      </w:r>
    </w:p>
    <w:p>
      <w:pPr>
        <w:sectPr>
          <w:pgSz w:w="11900" w:h="16838" w:orient="portrait"/>
          <w:cols w:equalWidth="0" w:num="1">
            <w:col w:w="11120"/>
          </w:cols>
          <w:pgMar w:left="320" w:top="459" w:right="459" w:bottom="1440" w:gutter="0" w:footer="0" w:header="0"/>
        </w:sectPr>
      </w:pP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880" w:type="dxa"/>
            <w:vAlign w:val="bottom"/>
          </w:tcPr>
          <w:p>
            <w:pPr>
              <w:spacing w:after="0"/>
              <w:rPr>
                <w:sz w:val="16"/>
                <w:szCs w:val="16"/>
                <w:color w:val="auto"/>
              </w:rPr>
            </w:pPr>
          </w:p>
        </w:tc>
        <w:tc>
          <w:tcPr>
            <w:tcW w:w="462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England and Wales</w:t>
            </w:r>
          </w:p>
        </w:tc>
      </w:tr>
      <w:tr>
        <w:trPr>
          <w:trHeight w:val="290"/>
        </w:trPr>
        <w:tc>
          <w:tcPr>
            <w:tcW w:w="1880" w:type="dxa"/>
            <w:vAlign w:val="bottom"/>
          </w:tcPr>
          <w:p>
            <w:pPr>
              <w:spacing w:after="0"/>
              <w:rPr>
                <w:sz w:val="20"/>
                <w:szCs w:val="20"/>
                <w:color w:val="auto"/>
              </w:rPr>
            </w:pPr>
            <w:r>
              <w:rPr>
                <w:rFonts w:ascii="Arial" w:cs="Arial" w:eastAsia="Arial" w:hAnsi="Arial"/>
                <w:sz w:val="18"/>
                <w:szCs w:val="18"/>
                <w:color w:val="auto"/>
              </w:rPr>
              <w:t>Number of Directors</w:t>
            </w:r>
          </w:p>
        </w:tc>
        <w:tc>
          <w:tcPr>
            <w:tcW w:w="4620" w:type="dxa"/>
            <w:vAlign w:val="bottom"/>
          </w:tcPr>
          <w:p>
            <w:pPr>
              <w:spacing w:after="0"/>
              <w:rPr>
                <w:sz w:val="20"/>
                <w:szCs w:val="20"/>
                <w:color w:val="auto"/>
              </w:rPr>
            </w:pPr>
            <w:r>
              <w:rPr>
                <w:rFonts w:ascii="Arial" w:cs="Arial" w:eastAsia="Arial" w:hAnsi="Arial"/>
                <w:sz w:val="18"/>
                <w:szCs w:val="18"/>
                <w:color w:val="auto"/>
                <w:w w:val="91"/>
              </w:rPr>
              <w:t>Under the Companies Act, a public limited company must have</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2"/>
              </w:rPr>
              <w:t>at least two directors and the number of directors may be fixed</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by or in the manner provided in a company’s articles of</w:t>
            </w:r>
          </w:p>
        </w:tc>
      </w:tr>
      <w:tr>
        <w:trPr>
          <w:trHeight w:val="230"/>
        </w:trPr>
        <w:tc>
          <w:tcPr>
            <w:tcW w:w="18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association.</w:t>
            </w:r>
          </w:p>
        </w:tc>
      </w:tr>
      <w:tr>
        <w:trPr>
          <w:trHeight w:val="526"/>
        </w:trPr>
        <w:tc>
          <w:tcPr>
            <w:tcW w:w="188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1"/>
              </w:rPr>
              <w:t>Under the Companies Act, shareholders may remove a director</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4"/>
              </w:rPr>
              <w:t>without cause by an ordinary resolution (which is passed by a</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simple majority of those voting in person or by proxy at a</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4"/>
              </w:rPr>
              <w:t>general meeting) irrespective of any provisions of any service</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4"/>
              </w:rPr>
              <w:t>contract the director has with the company, provided 28 clear</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5"/>
              </w:rPr>
              <w:t>days’ notice of the resolution has been given to the company</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and its shareholders. On receipt of notice of an intended</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7"/>
              </w:rPr>
              <w:t>resolution to remove a director, the company must forthwith</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7"/>
              </w:rPr>
              <w:t>send a copy of the notice to the director concerned. Certain</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3"/>
              </w:rPr>
              <w:t>other procedural requirements under the Companies Act must</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also be followed, such as allowing the director to make</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1"/>
              </w:rPr>
              <w:t>representations against his or her removal either at the meeting</w:t>
            </w: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Removal of Directors</w:t>
            </w:r>
          </w:p>
        </w:tc>
        <w:tc>
          <w:tcPr>
            <w:tcW w:w="4620" w:type="dxa"/>
            <w:vAlign w:val="bottom"/>
          </w:tcPr>
          <w:p>
            <w:pPr>
              <w:spacing w:after="0"/>
              <w:rPr>
                <w:sz w:val="20"/>
                <w:szCs w:val="20"/>
                <w:color w:val="auto"/>
              </w:rPr>
            </w:pPr>
            <w:r>
              <w:rPr>
                <w:rFonts w:ascii="Arial" w:cs="Arial" w:eastAsia="Arial" w:hAnsi="Arial"/>
                <w:sz w:val="18"/>
                <w:szCs w:val="18"/>
                <w:color w:val="auto"/>
              </w:rPr>
              <w:t>or in writing.</w:t>
            </w:r>
          </w:p>
        </w:tc>
      </w:tr>
      <w:tr>
        <w:trPr>
          <w:trHeight w:val="310"/>
        </w:trPr>
        <w:tc>
          <w:tcPr>
            <w:tcW w:w="188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2"/>
              </w:rPr>
              <w:t>Under the laws of England and Wales, the procedure by which</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0"/>
              </w:rPr>
              <w:t>directors, other than a company’s initial directors, are appointed</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is generally set out in a company’s articles of association,</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8"/>
              </w:rPr>
              <w:t>provided that where two or more persons are appointed as</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Vacancies on the</w:t>
            </w:r>
          </w:p>
        </w:tc>
        <w:tc>
          <w:tcPr>
            <w:tcW w:w="4620" w:type="dxa"/>
            <w:vAlign w:val="bottom"/>
          </w:tcPr>
          <w:p>
            <w:pPr>
              <w:spacing w:after="0"/>
              <w:rPr>
                <w:sz w:val="20"/>
                <w:szCs w:val="20"/>
                <w:color w:val="auto"/>
              </w:rPr>
            </w:pPr>
            <w:r>
              <w:rPr>
                <w:rFonts w:ascii="Arial" w:cs="Arial" w:eastAsia="Arial" w:hAnsi="Arial"/>
                <w:sz w:val="18"/>
                <w:szCs w:val="18"/>
                <w:color w:val="auto"/>
              </w:rPr>
              <w:t>directors of a public limited company by resolution of the</w:t>
            </w:r>
          </w:p>
        </w:tc>
      </w:tr>
      <w:tr>
        <w:trPr>
          <w:trHeight w:val="230"/>
        </w:trPr>
        <w:tc>
          <w:tcPr>
            <w:tcW w:w="1880" w:type="dxa"/>
            <w:vAlign w:val="bottom"/>
          </w:tcPr>
          <w:p>
            <w:pPr>
              <w:ind w:left="180"/>
              <w:spacing w:after="0"/>
              <w:rPr>
                <w:sz w:val="20"/>
                <w:szCs w:val="20"/>
                <w:color w:val="auto"/>
              </w:rPr>
            </w:pPr>
            <w:r>
              <w:rPr>
                <w:rFonts w:ascii="Arial" w:cs="Arial" w:eastAsia="Arial" w:hAnsi="Arial"/>
                <w:sz w:val="18"/>
                <w:szCs w:val="18"/>
                <w:color w:val="auto"/>
              </w:rPr>
              <w:t>Board of Directors</w:t>
            </w:r>
          </w:p>
        </w:tc>
        <w:tc>
          <w:tcPr>
            <w:tcW w:w="4620" w:type="dxa"/>
            <w:vAlign w:val="bottom"/>
          </w:tcPr>
          <w:p>
            <w:pPr>
              <w:spacing w:after="0"/>
              <w:rPr>
                <w:sz w:val="20"/>
                <w:szCs w:val="20"/>
                <w:color w:val="auto"/>
              </w:rPr>
            </w:pPr>
            <w:r>
              <w:rPr>
                <w:rFonts w:ascii="Arial" w:cs="Arial" w:eastAsia="Arial" w:hAnsi="Arial"/>
                <w:sz w:val="18"/>
                <w:szCs w:val="18"/>
                <w:color w:val="auto"/>
              </w:rPr>
              <w:t>shareholders, resolutions appointing each</w:t>
            </w:r>
          </w:p>
        </w:tc>
      </w:tr>
      <w:tr>
        <w:trPr>
          <w:trHeight w:val="365"/>
        </w:trPr>
        <w:tc>
          <w:tcPr>
            <w:tcW w:w="1880" w:type="dxa"/>
            <w:vAlign w:val="bottom"/>
          </w:tcPr>
          <w:p>
            <w:pPr>
              <w:spacing w:after="0"/>
              <w:rPr>
                <w:sz w:val="24"/>
                <w:szCs w:val="24"/>
                <w:color w:val="auto"/>
              </w:rPr>
            </w:pPr>
          </w:p>
        </w:tc>
        <w:tc>
          <w:tcPr>
            <w:tcW w:w="4620" w:type="dxa"/>
            <w:vAlign w:val="bottom"/>
          </w:tcPr>
          <w:p>
            <w:pPr>
              <w:ind w:left="3540"/>
              <w:spacing w:after="0"/>
              <w:rPr>
                <w:sz w:val="20"/>
                <w:szCs w:val="20"/>
                <w:color w:val="auto"/>
              </w:rPr>
            </w:pPr>
            <w:r>
              <w:rPr>
                <w:rFonts w:ascii="Arial" w:cs="Arial" w:eastAsia="Arial" w:hAnsi="Arial"/>
                <w:sz w:val="18"/>
                <w:szCs w:val="18"/>
                <w:color w:val="auto"/>
              </w:rPr>
              <w:t>23</w:t>
            </w:r>
          </w:p>
        </w:tc>
      </w:tr>
    </w:tbl>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7260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97" w:lineRule="exact"/>
        <w:rPr>
          <w:sz w:val="20"/>
          <w:szCs w:val="20"/>
          <w:color w:val="auto"/>
        </w:rPr>
      </w:pPr>
    </w:p>
    <w:p>
      <w:pPr>
        <w:jc w:val="both"/>
        <w:ind w:left="1" w:right="60"/>
        <w:spacing w:after="0" w:line="263" w:lineRule="auto"/>
        <w:rPr>
          <w:sz w:val="20"/>
          <w:szCs w:val="20"/>
          <w:color w:val="auto"/>
        </w:rPr>
      </w:pPr>
      <w:r>
        <w:rPr>
          <w:rFonts w:ascii="Arial" w:cs="Arial" w:eastAsia="Arial" w:hAnsi="Arial"/>
          <w:sz w:val="18"/>
          <w:szCs w:val="18"/>
          <w:color w:val="auto"/>
        </w:rPr>
        <w:t>Under Delaware law, a corporation must have at least one director and the number of directors shall be fixed by or in the manner provided in the bylaws.</w:t>
      </w:r>
    </w:p>
    <w:p>
      <w:pPr>
        <w:spacing w:after="0" w:line="292" w:lineRule="exact"/>
        <w:rPr>
          <w:sz w:val="20"/>
          <w:szCs w:val="20"/>
          <w:color w:val="auto"/>
        </w:rPr>
      </w:pPr>
    </w:p>
    <w:p>
      <w:pPr>
        <w:ind w:left="1" w:right="140"/>
        <w:spacing w:after="0" w:line="284" w:lineRule="auto"/>
        <w:rPr>
          <w:sz w:val="20"/>
          <w:szCs w:val="20"/>
          <w:color w:val="auto"/>
        </w:rPr>
      </w:pPr>
      <w:r>
        <w:rPr>
          <w:rFonts w:ascii="Arial" w:cs="Arial" w:eastAsia="Arial" w:hAnsi="Arial"/>
          <w:sz w:val="16"/>
          <w:szCs w:val="16"/>
          <w:color w:val="auto"/>
        </w:rPr>
        <w:t>Under Delaware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 removal only for cause, or</w:t>
      </w:r>
    </w:p>
    <w:p>
      <w:pPr>
        <w:spacing w:after="0" w:line="2" w:lineRule="exact"/>
        <w:rPr>
          <w:sz w:val="20"/>
          <w:szCs w:val="20"/>
          <w:color w:val="auto"/>
        </w:rPr>
      </w:pPr>
    </w:p>
    <w:p>
      <w:pPr>
        <w:ind w:left="1" w:right="40" w:hanging="1"/>
        <w:spacing w:after="0" w:line="288" w:lineRule="auto"/>
        <w:tabs>
          <w:tab w:leader="none" w:pos="266"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60" w:lineRule="exact"/>
        <w:rPr>
          <w:sz w:val="20"/>
          <w:szCs w:val="20"/>
          <w:color w:val="auto"/>
        </w:rPr>
      </w:pPr>
    </w:p>
    <w:p>
      <w:pPr>
        <w:ind w:left="1"/>
        <w:spacing w:after="0" w:line="293" w:lineRule="auto"/>
        <w:rPr>
          <w:sz w:val="20"/>
          <w:szCs w:val="20"/>
          <w:color w:val="auto"/>
        </w:rPr>
      </w:pPr>
      <w:r>
        <w:rPr>
          <w:rFonts w:ascii="Arial" w:cs="Arial" w:eastAsia="Arial" w:hAnsi="Arial"/>
          <w:sz w:val="16"/>
          <w:szCs w:val="16"/>
          <w:color w:val="auto"/>
        </w:rPr>
        <w:t>Under Delaware law, vacancies and newly created directorships may be filled by a majority of the directors then in office (even though less than a quorum) or by a sole remaining director unless (i) otherwise provided in the certificate of incorporation or bylaws of the corporation or (ii) the certificate of incorporation directs that a</w:t>
      </w:r>
    </w:p>
    <w:p>
      <w:pPr>
        <w:sectPr>
          <w:pgSz w:w="11900" w:h="16838" w:orient="portrait"/>
          <w:cols w:equalWidth="0" w:num="2">
            <w:col w:w="6620" w:space="219"/>
            <w:col w:w="4281"/>
          </w:cols>
          <w:pgMar w:left="320" w:top="459" w:right="4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880" w:type="dxa"/>
            <w:vAlign w:val="bottom"/>
          </w:tcPr>
          <w:p>
            <w:pPr>
              <w:spacing w:after="0"/>
              <w:rPr>
                <w:sz w:val="16"/>
                <w:szCs w:val="16"/>
                <w:color w:val="auto"/>
              </w:rPr>
            </w:pPr>
          </w:p>
        </w:tc>
        <w:tc>
          <w:tcPr>
            <w:tcW w:w="462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1880" w:type="dxa"/>
            <w:vAlign w:val="bottom"/>
          </w:tcPr>
          <w:p>
            <w:pPr>
              <w:spacing w:after="0"/>
              <w:rPr>
                <w:sz w:val="16"/>
                <w:szCs w:val="16"/>
                <w:color w:val="auto"/>
              </w:rPr>
            </w:pPr>
          </w:p>
        </w:tc>
        <w:tc>
          <w:tcPr>
            <w:tcW w:w="4620" w:type="dxa"/>
            <w:vAlign w:val="bottom"/>
          </w:tcPr>
          <w:p>
            <w:pPr>
              <w:spacing w:after="0" w:line="195" w:lineRule="exact"/>
              <w:rPr>
                <w:sz w:val="20"/>
                <w:szCs w:val="20"/>
                <w:color w:val="auto"/>
              </w:rPr>
            </w:pPr>
            <w:r>
              <w:rPr>
                <w:rFonts w:ascii="Arial" w:cs="Arial" w:eastAsia="Arial" w:hAnsi="Arial"/>
                <w:sz w:val="18"/>
                <w:szCs w:val="18"/>
                <w:color w:val="auto"/>
                <w:w w:val="94"/>
              </w:rPr>
              <w:t>director must be voted on individually unless a resolution has</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first been unanimously passed confirming that a single</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6"/>
              </w:rPr>
              <w:t>resolution appointing two or more directors may be tabled at</w:t>
            </w:r>
          </w:p>
        </w:tc>
      </w:tr>
      <w:tr>
        <w:trPr>
          <w:trHeight w:val="230"/>
        </w:trPr>
        <w:tc>
          <w:tcPr>
            <w:tcW w:w="18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that meeting.</w:t>
            </w:r>
          </w:p>
        </w:tc>
      </w:tr>
      <w:tr>
        <w:trPr>
          <w:trHeight w:val="310"/>
        </w:trPr>
        <w:tc>
          <w:tcPr>
            <w:tcW w:w="188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2"/>
              </w:rPr>
              <w:t>Under the Companies Act, a public limited company must hold</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4"/>
              </w:rPr>
              <w:t>an annual general meeting in each six-month period following</w:t>
            </w:r>
          </w:p>
        </w:tc>
      </w:tr>
      <w:tr>
        <w:trPr>
          <w:trHeight w:val="230"/>
        </w:trPr>
        <w:tc>
          <w:tcPr>
            <w:tcW w:w="18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the company’s annual accounting reference date.</w:t>
            </w:r>
          </w:p>
        </w:tc>
      </w:tr>
      <w:tr>
        <w:trPr>
          <w:trHeight w:val="323"/>
        </w:trPr>
        <w:tc>
          <w:tcPr>
            <w:tcW w:w="188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Under the Companies Act, a general meeting of the</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Annual General</w:t>
            </w:r>
          </w:p>
        </w:tc>
        <w:tc>
          <w:tcPr>
            <w:tcW w:w="4620" w:type="dxa"/>
            <w:vAlign w:val="bottom"/>
          </w:tcPr>
          <w:p>
            <w:pPr>
              <w:spacing w:after="0"/>
              <w:rPr>
                <w:sz w:val="20"/>
                <w:szCs w:val="20"/>
                <w:color w:val="auto"/>
              </w:rPr>
            </w:pPr>
            <w:r>
              <w:rPr>
                <w:rFonts w:ascii="Arial" w:cs="Arial" w:eastAsia="Arial" w:hAnsi="Arial"/>
                <w:sz w:val="18"/>
                <w:szCs w:val="18"/>
                <w:color w:val="auto"/>
                <w:w w:val="92"/>
              </w:rPr>
              <w:t>shareholders of a public limited company may be called by the</w:t>
            </w:r>
          </w:p>
        </w:tc>
      </w:tr>
      <w:tr>
        <w:trPr>
          <w:trHeight w:val="244"/>
        </w:trPr>
        <w:tc>
          <w:tcPr>
            <w:tcW w:w="1880" w:type="dxa"/>
            <w:vAlign w:val="bottom"/>
          </w:tcPr>
          <w:p>
            <w:pPr>
              <w:ind w:left="180"/>
              <w:spacing w:after="0"/>
              <w:rPr>
                <w:sz w:val="20"/>
                <w:szCs w:val="20"/>
                <w:color w:val="auto"/>
              </w:rPr>
            </w:pPr>
            <w:r>
              <w:rPr>
                <w:rFonts w:ascii="Arial" w:cs="Arial" w:eastAsia="Arial" w:hAnsi="Arial"/>
                <w:sz w:val="18"/>
                <w:szCs w:val="18"/>
                <w:color w:val="auto"/>
              </w:rPr>
              <w:t>Meeting</w:t>
            </w:r>
          </w:p>
        </w:tc>
        <w:tc>
          <w:tcPr>
            <w:tcW w:w="4620" w:type="dxa"/>
            <w:vAlign w:val="bottom"/>
          </w:tcPr>
          <w:p>
            <w:pPr>
              <w:spacing w:after="0"/>
              <w:rPr>
                <w:sz w:val="20"/>
                <w:szCs w:val="20"/>
                <w:color w:val="auto"/>
              </w:rPr>
            </w:pPr>
            <w:r>
              <w:rPr>
                <w:rFonts w:ascii="Arial" w:cs="Arial" w:eastAsia="Arial" w:hAnsi="Arial"/>
                <w:sz w:val="18"/>
                <w:szCs w:val="18"/>
                <w:color w:val="auto"/>
              </w:rPr>
              <w:t>directors.</w:t>
            </w:r>
          </w:p>
        </w:tc>
      </w:tr>
      <w:tr>
        <w:trPr>
          <w:trHeight w:val="310"/>
        </w:trPr>
        <w:tc>
          <w:tcPr>
            <w:tcW w:w="188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4"/>
              </w:rPr>
              <w:t>Shareholders holding at least 5% of the paid-up capital of the</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3"/>
              </w:rPr>
              <w:t>company carrying voting rights at general meetings (excluding</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7"/>
              </w:rPr>
              <w:t>any paid up capital held as treasury shares) can require the</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1"/>
              </w:rPr>
              <w:t>directors to call a general meeting and, if the directors fail to do</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3"/>
              </w:rPr>
              <w:t>so within a certain period, may themselves convene a general</w:t>
            </w: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General Meeting</w:t>
            </w:r>
          </w:p>
        </w:tc>
        <w:tc>
          <w:tcPr>
            <w:tcW w:w="4620" w:type="dxa"/>
            <w:vAlign w:val="bottom"/>
          </w:tcPr>
          <w:p>
            <w:pPr>
              <w:spacing w:after="0"/>
              <w:rPr>
                <w:sz w:val="20"/>
                <w:szCs w:val="20"/>
                <w:color w:val="auto"/>
              </w:rPr>
            </w:pPr>
            <w:r>
              <w:rPr>
                <w:rFonts w:ascii="Arial" w:cs="Arial" w:eastAsia="Arial" w:hAnsi="Arial"/>
                <w:sz w:val="18"/>
                <w:szCs w:val="18"/>
                <w:color w:val="auto"/>
              </w:rPr>
              <w:t>meeting.</w:t>
            </w:r>
          </w:p>
        </w:tc>
      </w:tr>
      <w:tr>
        <w:trPr>
          <w:trHeight w:val="310"/>
        </w:trPr>
        <w:tc>
          <w:tcPr>
            <w:tcW w:w="1880" w:type="dxa"/>
            <w:vAlign w:val="bottom"/>
          </w:tcPr>
          <w:p>
            <w:pPr>
              <w:spacing w:after="0"/>
              <w:rPr>
                <w:sz w:val="20"/>
                <w:szCs w:val="20"/>
                <w:color w:val="auto"/>
              </w:rPr>
            </w:pPr>
            <w:r>
              <w:rPr>
                <w:rFonts w:ascii="Arial" w:cs="Arial" w:eastAsia="Arial" w:hAnsi="Arial"/>
                <w:sz w:val="18"/>
                <w:szCs w:val="18"/>
                <w:color w:val="auto"/>
              </w:rPr>
              <w:t>Notice of General</w:t>
            </w:r>
          </w:p>
        </w:tc>
        <w:tc>
          <w:tcPr>
            <w:tcW w:w="4620" w:type="dxa"/>
            <w:vAlign w:val="bottom"/>
          </w:tcPr>
          <w:p>
            <w:pPr>
              <w:spacing w:after="0"/>
              <w:rPr>
                <w:sz w:val="20"/>
                <w:szCs w:val="20"/>
                <w:color w:val="auto"/>
              </w:rPr>
            </w:pPr>
            <w:r>
              <w:rPr>
                <w:rFonts w:ascii="Arial" w:cs="Arial" w:eastAsia="Arial" w:hAnsi="Arial"/>
                <w:sz w:val="18"/>
                <w:szCs w:val="18"/>
                <w:color w:val="auto"/>
                <w:w w:val="95"/>
              </w:rPr>
              <w:t>Subject to a company’s articles of association providing for a</w:t>
            </w:r>
          </w:p>
        </w:tc>
      </w:tr>
      <w:tr>
        <w:trPr>
          <w:trHeight w:val="216"/>
        </w:trPr>
        <w:tc>
          <w:tcPr>
            <w:tcW w:w="1880" w:type="dxa"/>
            <w:vAlign w:val="bottom"/>
          </w:tcPr>
          <w:p>
            <w:pPr>
              <w:ind w:left="180"/>
              <w:spacing w:after="0"/>
              <w:rPr>
                <w:sz w:val="20"/>
                <w:szCs w:val="20"/>
                <w:color w:val="auto"/>
              </w:rPr>
            </w:pPr>
            <w:r>
              <w:rPr>
                <w:rFonts w:ascii="Arial" w:cs="Arial" w:eastAsia="Arial" w:hAnsi="Arial"/>
                <w:sz w:val="18"/>
                <w:szCs w:val="18"/>
                <w:color w:val="auto"/>
              </w:rPr>
              <w:t>Meetings</w:t>
            </w:r>
          </w:p>
        </w:tc>
        <w:tc>
          <w:tcPr>
            <w:tcW w:w="4620" w:type="dxa"/>
            <w:vAlign w:val="bottom"/>
          </w:tcPr>
          <w:p>
            <w:pPr>
              <w:spacing w:after="0"/>
              <w:rPr>
                <w:sz w:val="20"/>
                <w:szCs w:val="20"/>
                <w:color w:val="auto"/>
              </w:rPr>
            </w:pPr>
            <w:r>
              <w:rPr>
                <w:rFonts w:ascii="Arial" w:cs="Arial" w:eastAsia="Arial" w:hAnsi="Arial"/>
                <w:sz w:val="18"/>
                <w:szCs w:val="18"/>
                <w:color w:val="auto"/>
                <w:w w:val="91"/>
              </w:rPr>
              <w:t>longer period, under the Companies Act, at least 21 clear days’</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6"/>
              </w:rPr>
              <w:t>notice must be given for an annual general meeting and any</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resolutions to be proposed at the meeting. Subject to a</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2"/>
              </w:rPr>
              <w:t>company’s articles of association providing for a longer period,</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4"/>
              </w:rPr>
              <w:t>at least 14 clear days’ notice is required for any other general</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meeting of a public limited company. In addition, certain</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5"/>
              </w:rPr>
              <w:t>matters, such as the removal of directors or auditors, require</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1"/>
              </w:rPr>
              <w:t>special notice, which is 28 clear days’ notice. The shareholders</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of a company may in all cases consent to a shorter notice</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3"/>
              </w:rPr>
              <w:t>period, the proportion of shareholders’ consent required being</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9"/>
              </w:rPr>
              <w:t>100% of those entitled to attend and vote in the case of an</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4"/>
              </w:rPr>
              <w:t>annual general meeting and, in the case of any other general</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1"/>
              </w:rPr>
              <w:t>meeting, a majority in number of the members having a right to</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4"/>
              </w:rPr>
              <w:t>attend and vote at the meeting, being a majority who together</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3"/>
              </w:rPr>
              <w:t>hold not less than 95% in nominal value of the shares giving a</w:t>
            </w:r>
          </w:p>
        </w:tc>
      </w:tr>
      <w:tr>
        <w:trPr>
          <w:trHeight w:val="230"/>
        </w:trPr>
        <w:tc>
          <w:tcPr>
            <w:tcW w:w="18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right to attend and vote at the meeting.</w:t>
            </w:r>
          </w:p>
        </w:tc>
      </w:tr>
      <w:tr>
        <w:trPr>
          <w:trHeight w:val="365"/>
        </w:trPr>
        <w:tc>
          <w:tcPr>
            <w:tcW w:w="1880" w:type="dxa"/>
            <w:vAlign w:val="bottom"/>
          </w:tcPr>
          <w:p>
            <w:pPr>
              <w:spacing w:after="0"/>
              <w:rPr>
                <w:sz w:val="24"/>
                <w:szCs w:val="24"/>
                <w:color w:val="auto"/>
              </w:rPr>
            </w:pPr>
          </w:p>
        </w:tc>
        <w:tc>
          <w:tcPr>
            <w:tcW w:w="4620" w:type="dxa"/>
            <w:vAlign w:val="bottom"/>
          </w:tcPr>
          <w:p>
            <w:pPr>
              <w:ind w:left="3540"/>
              <w:spacing w:after="0"/>
              <w:rPr>
                <w:sz w:val="20"/>
                <w:szCs w:val="20"/>
                <w:color w:val="auto"/>
              </w:rPr>
            </w:pPr>
            <w:r>
              <w:rPr>
                <w:rFonts w:ascii="Arial" w:cs="Arial" w:eastAsia="Arial" w:hAnsi="Arial"/>
                <w:sz w:val="18"/>
                <w:szCs w:val="18"/>
                <w:color w:val="auto"/>
              </w:rPr>
              <w:t>24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7260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particular class of stock is to elect such director, in which case a majority of the other directors elected by such class, or a sole remaining director elected by such class, will fill such vacancy.</w:t>
      </w:r>
    </w:p>
    <w:p>
      <w:pPr>
        <w:spacing w:after="0" w:line="200" w:lineRule="exact"/>
        <w:rPr>
          <w:sz w:val="20"/>
          <w:szCs w:val="20"/>
          <w:color w:val="auto"/>
        </w:rPr>
      </w:pPr>
    </w:p>
    <w:p>
      <w:pPr>
        <w:spacing w:after="0" w:line="2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200" w:lineRule="exact"/>
        <w:rPr>
          <w:sz w:val="20"/>
          <w:szCs w:val="20"/>
          <w:color w:val="auto"/>
        </w:rPr>
      </w:pPr>
    </w:p>
    <w:p>
      <w:pPr>
        <w:spacing w:after="0" w:line="3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ectPr>
          <w:pgSz w:w="11900" w:h="16838" w:orient="portrait"/>
          <w:cols w:equalWidth="0" w:num="2">
            <w:col w:w="6620" w:space="220"/>
            <w:col w:w="428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880" w:type="dxa"/>
            <w:vAlign w:val="bottom"/>
            <w:vMerge w:val="restart"/>
          </w:tcPr>
          <w:p>
            <w:pPr>
              <w:spacing w:after="0"/>
              <w:rPr>
                <w:sz w:val="20"/>
                <w:szCs w:val="20"/>
                <w:color w:val="auto"/>
              </w:rPr>
            </w:pPr>
            <w:r>
              <w:rPr>
                <w:rFonts w:ascii="Arial" w:cs="Arial" w:eastAsia="Arial" w:hAnsi="Arial"/>
                <w:sz w:val="18"/>
                <w:szCs w:val="18"/>
                <w:color w:val="auto"/>
              </w:rPr>
              <w:t>Quorum</w:t>
            </w:r>
          </w:p>
        </w:tc>
        <w:tc>
          <w:tcPr>
            <w:tcW w:w="462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England and Wales</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4620" w:type="dxa"/>
            <w:vAlign w:val="bottom"/>
            <w:vMerge w:val="restart"/>
          </w:tcPr>
          <w:p>
            <w:pPr>
              <w:spacing w:after="0"/>
              <w:rPr>
                <w:sz w:val="20"/>
                <w:szCs w:val="20"/>
                <w:color w:val="auto"/>
              </w:rPr>
            </w:pPr>
            <w:r>
              <w:rPr>
                <w:rFonts w:ascii="Arial" w:cs="Arial" w:eastAsia="Arial" w:hAnsi="Arial"/>
                <w:sz w:val="18"/>
                <w:szCs w:val="18"/>
                <w:color w:val="auto"/>
                <w:w w:val="91"/>
              </w:rPr>
              <w:t>Subject to the provisions of a company’s articles of association,</w:t>
            </w:r>
          </w:p>
        </w:tc>
        <w:tc>
          <w:tcPr>
            <w:tcW w:w="0" w:type="dxa"/>
            <w:vAlign w:val="bottom"/>
          </w:tcPr>
          <w:p>
            <w:pPr>
              <w:spacing w:after="0"/>
              <w:rPr>
                <w:sz w:val="1"/>
                <w:szCs w:val="1"/>
                <w:color w:val="auto"/>
              </w:rPr>
            </w:pPr>
          </w:p>
        </w:tc>
      </w:tr>
      <w:tr>
        <w:trPr>
          <w:trHeight w:val="863"/>
        </w:trPr>
        <w:tc>
          <w:tcPr>
            <w:tcW w:w="188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1"/>
              </w:rPr>
              <w:t>the Companies Act provides that two shareholders present at a</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5"/>
              </w:rPr>
              <w:t>meeting (in person, by proxy or by authorized representative</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under the Companies Act) shall constitute a quorum for</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companies with more than one member.</w:t>
            </w:r>
          </w:p>
        </w:tc>
        <w:tc>
          <w:tcPr>
            <w:tcW w:w="0" w:type="dxa"/>
            <w:vAlign w:val="bottom"/>
          </w:tcPr>
          <w:p>
            <w:pPr>
              <w:spacing w:after="0"/>
              <w:rPr>
                <w:sz w:val="1"/>
                <w:szCs w:val="1"/>
                <w:color w:val="auto"/>
              </w:rPr>
            </w:pPr>
          </w:p>
        </w:tc>
      </w:tr>
      <w:tr>
        <w:trPr>
          <w:trHeight w:val="324"/>
        </w:trPr>
        <w:tc>
          <w:tcPr>
            <w:tcW w:w="1880" w:type="dxa"/>
            <w:vAlign w:val="bottom"/>
          </w:tcPr>
          <w:p>
            <w:pPr>
              <w:spacing w:after="0"/>
              <w:rPr>
                <w:sz w:val="20"/>
                <w:szCs w:val="20"/>
                <w:color w:val="auto"/>
              </w:rPr>
            </w:pPr>
            <w:r>
              <w:rPr>
                <w:rFonts w:ascii="Arial" w:cs="Arial" w:eastAsia="Arial" w:hAnsi="Arial"/>
                <w:sz w:val="18"/>
                <w:szCs w:val="18"/>
                <w:color w:val="auto"/>
              </w:rPr>
              <w:t>Proxy</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0"/>
        </w:trPr>
        <w:tc>
          <w:tcPr>
            <w:tcW w:w="188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5"/>
              </w:rPr>
              <w:t>Under the Companies Act, at any meeting of shareholders, a</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89"/>
              </w:rPr>
              <w:t>shareholder may designate another person to attend, speak and</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vote at the meeting on their behalf by proxy.</w:t>
            </w:r>
          </w:p>
        </w:tc>
        <w:tc>
          <w:tcPr>
            <w:tcW w:w="0" w:type="dxa"/>
            <w:vAlign w:val="bottom"/>
          </w:tcPr>
          <w:p>
            <w:pPr>
              <w:spacing w:after="0"/>
              <w:rPr>
                <w:sz w:val="1"/>
                <w:szCs w:val="1"/>
                <w:color w:val="auto"/>
              </w:rPr>
            </w:pPr>
          </w:p>
        </w:tc>
      </w:tr>
      <w:tr>
        <w:trPr>
          <w:trHeight w:val="310"/>
        </w:trPr>
        <w:tc>
          <w:tcPr>
            <w:tcW w:w="1880" w:type="dxa"/>
            <w:vAlign w:val="bottom"/>
          </w:tcPr>
          <w:p>
            <w:pPr>
              <w:spacing w:after="0"/>
              <w:rPr>
                <w:sz w:val="20"/>
                <w:szCs w:val="20"/>
                <w:color w:val="auto"/>
              </w:rPr>
            </w:pPr>
            <w:r>
              <w:rPr>
                <w:rFonts w:ascii="Arial" w:cs="Arial" w:eastAsia="Arial" w:hAnsi="Arial"/>
                <w:sz w:val="18"/>
                <w:szCs w:val="18"/>
                <w:color w:val="auto"/>
              </w:rPr>
              <w:t>Issue of New Shares</w:t>
            </w:r>
          </w:p>
        </w:tc>
        <w:tc>
          <w:tcPr>
            <w:tcW w:w="4620" w:type="dxa"/>
            <w:vAlign w:val="bottom"/>
          </w:tcPr>
          <w:p>
            <w:pPr>
              <w:spacing w:after="0"/>
              <w:rPr>
                <w:sz w:val="20"/>
                <w:szCs w:val="20"/>
                <w:color w:val="auto"/>
              </w:rPr>
            </w:pPr>
            <w:r>
              <w:rPr>
                <w:rFonts w:ascii="Arial" w:cs="Arial" w:eastAsia="Arial" w:hAnsi="Arial"/>
                <w:sz w:val="18"/>
                <w:szCs w:val="18"/>
                <w:color w:val="auto"/>
                <w:w w:val="91"/>
              </w:rPr>
              <w:t>Under the Companies Act, the directors of a company must not</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3"/>
              </w:rPr>
              <w:t>exercise any power to allot shares or grant rights to subscribe</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for, or to convert any security into, shares unless they are</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2"/>
              </w:rPr>
              <w:t>authorized to do so by the company’s articles of association or</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by an ordinary resolution of the shareholders. Any</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2"/>
              </w:rPr>
              <w:t>authorization given must state the maximum amount of shares</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6"/>
              </w:rPr>
              <w:t>that may be allotted under it and specify the date on which it</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7"/>
              </w:rPr>
              <w:t>will expire, which must be not more than five years from the</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0"/>
              </w:rPr>
              <w:t>date the authorization was given. The authority can be renewed</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by a further resolution of the shareholders.</w:t>
            </w:r>
          </w:p>
        </w:tc>
        <w:tc>
          <w:tcPr>
            <w:tcW w:w="0" w:type="dxa"/>
            <w:vAlign w:val="bottom"/>
          </w:tcPr>
          <w:p>
            <w:pPr>
              <w:spacing w:after="0"/>
              <w:rPr>
                <w:sz w:val="1"/>
                <w:szCs w:val="1"/>
                <w:color w:val="auto"/>
              </w:rPr>
            </w:pPr>
          </w:p>
        </w:tc>
      </w:tr>
      <w:tr>
        <w:trPr>
          <w:trHeight w:val="310"/>
        </w:trPr>
        <w:tc>
          <w:tcPr>
            <w:tcW w:w="1880" w:type="dxa"/>
            <w:vAlign w:val="bottom"/>
          </w:tcPr>
          <w:p>
            <w:pPr>
              <w:spacing w:after="0"/>
              <w:rPr>
                <w:sz w:val="20"/>
                <w:szCs w:val="20"/>
                <w:color w:val="auto"/>
              </w:rPr>
            </w:pPr>
            <w:r>
              <w:rPr>
                <w:rFonts w:ascii="Arial" w:cs="Arial" w:eastAsia="Arial" w:hAnsi="Arial"/>
                <w:sz w:val="18"/>
                <w:szCs w:val="18"/>
                <w:color w:val="auto"/>
              </w:rPr>
              <w:t>Preemptive Rights</w:t>
            </w:r>
          </w:p>
        </w:tc>
        <w:tc>
          <w:tcPr>
            <w:tcW w:w="4620" w:type="dxa"/>
            <w:vAlign w:val="bottom"/>
          </w:tcPr>
          <w:p>
            <w:pPr>
              <w:spacing w:after="0"/>
              <w:rPr>
                <w:sz w:val="20"/>
                <w:szCs w:val="20"/>
                <w:color w:val="auto"/>
              </w:rPr>
            </w:pPr>
            <w:r>
              <w:rPr>
                <w:rFonts w:ascii="Arial" w:cs="Arial" w:eastAsia="Arial" w:hAnsi="Arial"/>
                <w:sz w:val="18"/>
                <w:szCs w:val="18"/>
                <w:color w:val="auto"/>
                <w:w w:val="93"/>
              </w:rPr>
              <w:t>Under the Companies Act, “equity securities,” being (i) shares</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0"/>
              </w:rPr>
              <w:t>in the company other than shares that, with respect to dividends</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6"/>
              </w:rPr>
              <w:t>and capital, carry a right to participate only up to a specified</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7"/>
              </w:rPr>
              <w:t>amount in a distribution, referred to as “ordinary shares,” or</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2"/>
              </w:rPr>
              <w:t>(ii) rights to subscribe for, or to convert securities into, ordinary</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1"/>
              </w:rPr>
              <w:t>shares, proposed to be allotted for cash must be offered first to</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1"/>
              </w:rPr>
              <w:t>the existing equity shareholders in the company in proportion to</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the respective nominal value of their holdings, unless an</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exception applies or a special resolution to</w:t>
            </w:r>
          </w:p>
        </w:tc>
        <w:tc>
          <w:tcPr>
            <w:tcW w:w="0" w:type="dxa"/>
            <w:vAlign w:val="bottom"/>
          </w:tcPr>
          <w:p>
            <w:pPr>
              <w:spacing w:after="0"/>
              <w:rPr>
                <w:sz w:val="1"/>
                <w:szCs w:val="1"/>
                <w:color w:val="auto"/>
              </w:rPr>
            </w:pPr>
          </w:p>
        </w:tc>
      </w:tr>
      <w:tr>
        <w:trPr>
          <w:trHeight w:val="364"/>
        </w:trPr>
        <w:tc>
          <w:tcPr>
            <w:tcW w:w="1880" w:type="dxa"/>
            <w:vAlign w:val="bottom"/>
          </w:tcPr>
          <w:p>
            <w:pPr>
              <w:spacing w:after="0"/>
              <w:rPr>
                <w:sz w:val="24"/>
                <w:szCs w:val="24"/>
                <w:color w:val="auto"/>
              </w:rPr>
            </w:pPr>
          </w:p>
        </w:tc>
        <w:tc>
          <w:tcPr>
            <w:tcW w:w="4620" w:type="dxa"/>
            <w:vAlign w:val="bottom"/>
          </w:tcPr>
          <w:p>
            <w:pPr>
              <w:ind w:left="35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7260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certificate of incorporation or bylaws may specify the number of shares, the holders of which shall be present or represented by proxy at any meeting in order to constitute a quorum, but in no event shall a quorum consist of less than one third of the shares entitled to vote at the meeting. In the absence of such specification in the certificate of incorporation or bylaws, a majority of the shares entitled to vote, present in person or represented by proxy, shall constitute a quorum at a meeting of stockholders.</w:t>
      </w:r>
    </w:p>
    <w:p>
      <w:pPr>
        <w:spacing w:after="0" w:line="6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Under Delaware law, if the company’s certificate of incorporation so provides, the directors have the power to authorize the issuance of additional stock. The directors may authorize capital stock to be issued for consideration consisting of cash, any tangible or intangible property or any benefit to the company or any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ectPr>
          <w:pgSz w:w="11900" w:h="16838" w:orient="portrait"/>
          <w:cols w:equalWidth="0" w:num="2">
            <w:col w:w="6620" w:space="220"/>
            <w:col w:w="430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880" w:type="dxa"/>
            <w:vAlign w:val="bottom"/>
          </w:tcPr>
          <w:p>
            <w:pPr>
              <w:spacing w:after="0"/>
              <w:rPr>
                <w:sz w:val="16"/>
                <w:szCs w:val="16"/>
                <w:color w:val="auto"/>
              </w:rPr>
            </w:pPr>
          </w:p>
        </w:tc>
        <w:tc>
          <w:tcPr>
            <w:tcW w:w="462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1880" w:type="dxa"/>
            <w:vAlign w:val="bottom"/>
          </w:tcPr>
          <w:p>
            <w:pPr>
              <w:spacing w:after="0"/>
              <w:rPr>
                <w:sz w:val="16"/>
                <w:szCs w:val="16"/>
                <w:color w:val="auto"/>
              </w:rPr>
            </w:pPr>
          </w:p>
        </w:tc>
        <w:tc>
          <w:tcPr>
            <w:tcW w:w="4620" w:type="dxa"/>
            <w:vAlign w:val="bottom"/>
          </w:tcPr>
          <w:p>
            <w:pPr>
              <w:spacing w:after="0" w:line="195" w:lineRule="exact"/>
              <w:rPr>
                <w:sz w:val="20"/>
                <w:szCs w:val="20"/>
                <w:color w:val="auto"/>
              </w:rPr>
            </w:pPr>
            <w:r>
              <w:rPr>
                <w:rFonts w:ascii="Arial" w:cs="Arial" w:eastAsia="Arial" w:hAnsi="Arial"/>
                <w:sz w:val="18"/>
                <w:szCs w:val="18"/>
                <w:color w:val="auto"/>
                <w:w w:val="98"/>
              </w:rPr>
              <w:t>the contrary has been passed by shareholders in a general</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1"/>
              </w:rPr>
              <w:t>meeting or the articles of association provide otherwise in each</w:t>
            </w:r>
          </w:p>
        </w:tc>
      </w:tr>
      <w:tr>
        <w:trPr>
          <w:trHeight w:val="230"/>
        </w:trPr>
        <w:tc>
          <w:tcPr>
            <w:tcW w:w="18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3"/>
              </w:rPr>
              <w:t>case in accordance with the provisions of the Companies Act.</w:t>
            </w:r>
          </w:p>
        </w:tc>
      </w:tr>
      <w:tr>
        <w:trPr>
          <w:trHeight w:val="324"/>
        </w:trPr>
        <w:tc>
          <w:tcPr>
            <w:tcW w:w="1880" w:type="dxa"/>
            <w:vAlign w:val="bottom"/>
          </w:tcPr>
          <w:p>
            <w:pPr>
              <w:spacing w:after="0"/>
              <w:rPr>
                <w:sz w:val="20"/>
                <w:szCs w:val="20"/>
                <w:color w:val="auto"/>
              </w:rPr>
            </w:pPr>
            <w:r>
              <w:rPr>
                <w:rFonts w:ascii="Arial" w:cs="Arial" w:eastAsia="Arial" w:hAnsi="Arial"/>
                <w:sz w:val="18"/>
                <w:szCs w:val="18"/>
                <w:color w:val="auto"/>
              </w:rPr>
              <w:t>Authority to Allot</w:t>
            </w:r>
          </w:p>
        </w:tc>
        <w:tc>
          <w:tcPr>
            <w:tcW w:w="4620" w:type="dxa"/>
            <w:vAlign w:val="bottom"/>
          </w:tcPr>
          <w:p>
            <w:pPr>
              <w:spacing w:after="0"/>
              <w:rPr>
                <w:sz w:val="24"/>
                <w:szCs w:val="24"/>
                <w:color w:val="auto"/>
              </w:rPr>
            </w:pPr>
          </w:p>
        </w:tc>
      </w:tr>
      <w:tr>
        <w:trPr>
          <w:trHeight w:val="850"/>
        </w:trPr>
        <w:tc>
          <w:tcPr>
            <w:tcW w:w="188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1"/>
              </w:rPr>
              <w:t>Under the Companies Act, the directors of a company must not</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allot shares or grant rights to subscribe for or convert any</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2"/>
              </w:rPr>
              <w:t>security into shares unless an exception applies or an ordinary</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0"/>
              </w:rPr>
              <w:t>resolution to the contrary has been passed by shareholders in a</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0"/>
              </w:rPr>
              <w:t>general meeting or the articles of association provide otherwise,</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 each case in accordance with the provisions of the</w:t>
            </w:r>
          </w:p>
        </w:tc>
      </w:tr>
      <w:tr>
        <w:trPr>
          <w:trHeight w:val="230"/>
        </w:trPr>
        <w:tc>
          <w:tcPr>
            <w:tcW w:w="18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Companies Act.</w:t>
            </w:r>
          </w:p>
        </w:tc>
      </w:tr>
      <w:tr>
        <w:trPr>
          <w:trHeight w:val="310"/>
        </w:trPr>
        <w:tc>
          <w:tcPr>
            <w:tcW w:w="1880" w:type="dxa"/>
            <w:vAlign w:val="bottom"/>
          </w:tcPr>
          <w:p>
            <w:pPr>
              <w:spacing w:after="0"/>
              <w:rPr>
                <w:sz w:val="20"/>
                <w:szCs w:val="20"/>
                <w:color w:val="auto"/>
              </w:rPr>
            </w:pPr>
            <w:r>
              <w:rPr>
                <w:rFonts w:ascii="Arial" w:cs="Arial" w:eastAsia="Arial" w:hAnsi="Arial"/>
                <w:sz w:val="18"/>
                <w:szCs w:val="18"/>
                <w:color w:val="auto"/>
              </w:rPr>
              <w:t>Liability of Directors</w:t>
            </w:r>
          </w:p>
        </w:tc>
        <w:tc>
          <w:tcPr>
            <w:tcW w:w="4620" w:type="dxa"/>
            <w:vAlign w:val="bottom"/>
          </w:tcPr>
          <w:p>
            <w:pPr>
              <w:spacing w:after="0"/>
              <w:rPr>
                <w:sz w:val="20"/>
                <w:szCs w:val="20"/>
                <w:color w:val="auto"/>
              </w:rPr>
            </w:pPr>
            <w:r>
              <w:rPr>
                <w:rFonts w:ascii="Arial" w:cs="Arial" w:eastAsia="Arial" w:hAnsi="Arial"/>
                <w:sz w:val="18"/>
                <w:szCs w:val="18"/>
                <w:color w:val="auto"/>
                <w:w w:val="92"/>
              </w:rPr>
              <w:t>Under the Companies Act, any provision, whether contained in</w:t>
            </w:r>
          </w:p>
        </w:tc>
      </w:tr>
      <w:tr>
        <w:trPr>
          <w:trHeight w:val="216"/>
        </w:trPr>
        <w:tc>
          <w:tcPr>
            <w:tcW w:w="1880" w:type="dxa"/>
            <w:vAlign w:val="bottom"/>
          </w:tcPr>
          <w:p>
            <w:pPr>
              <w:ind w:left="180"/>
              <w:spacing w:after="0"/>
              <w:rPr>
                <w:sz w:val="20"/>
                <w:szCs w:val="20"/>
                <w:color w:val="auto"/>
              </w:rPr>
            </w:pPr>
            <w:r>
              <w:rPr>
                <w:rFonts w:ascii="Arial" w:cs="Arial" w:eastAsia="Arial" w:hAnsi="Arial"/>
                <w:sz w:val="18"/>
                <w:szCs w:val="18"/>
                <w:color w:val="auto"/>
              </w:rPr>
              <w:t>and Officers</w:t>
            </w:r>
          </w:p>
        </w:tc>
        <w:tc>
          <w:tcPr>
            <w:tcW w:w="4620" w:type="dxa"/>
            <w:vAlign w:val="bottom"/>
          </w:tcPr>
          <w:p>
            <w:pPr>
              <w:spacing w:after="0"/>
              <w:rPr>
                <w:sz w:val="20"/>
                <w:szCs w:val="20"/>
                <w:color w:val="auto"/>
              </w:rPr>
            </w:pPr>
            <w:r>
              <w:rPr>
                <w:rFonts w:ascii="Arial" w:cs="Arial" w:eastAsia="Arial" w:hAnsi="Arial"/>
                <w:sz w:val="18"/>
                <w:szCs w:val="18"/>
                <w:color w:val="auto"/>
                <w:w w:val="90"/>
              </w:rPr>
              <w:t>a company’s articles of association or any contract or otherwise,</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2"/>
              </w:rPr>
              <w:t>that purports to exempt a director of a company, to any extent,</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from any liability that would otherwise attach to him in</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connection with any negligence, default, breach of duty or</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breach of trust in relation to the company, is void. Any</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7"/>
              </w:rPr>
              <w:t>provision by which a company directly or indirectly provides</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2"/>
              </w:rPr>
              <w:t>an indemnity, to any extent, for a director of the company or of</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2"/>
              </w:rPr>
              <w:t>an associated company against any liability attaching to him in</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connection with any negligence, default, breach of duty or</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breach of trust in relation to the company of which he is a</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1"/>
              </w:rPr>
              <w:t>director is also void except as permitted by the Companies Act,</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1"/>
              </w:rPr>
              <w:t>which provides exceptions for the company to company against</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any liability attaching to him in connection with any</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2"/>
              </w:rPr>
              <w:t>negligence, default, breach of duty or breach of trust in relation</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3"/>
              </w:rPr>
              <w:t>to the company of which he is a director is also void except as</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1"/>
              </w:rPr>
              <w:t>permitted by the Companies Act, which provides exceptions for</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6"/>
              </w:rPr>
              <w:t>the company to (i) purchase and maintain insurance against</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7"/>
              </w:rPr>
              <w:t>such liability; (ii) provide a “qualifying third party indemnity,”</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8"/>
              </w:rPr>
              <w:t>or an indemnity against liability incurred by the director to a</w:t>
            </w:r>
          </w:p>
        </w:tc>
      </w:tr>
      <w:tr>
        <w:trPr>
          <w:trHeight w:val="230"/>
        </w:trPr>
        <w:tc>
          <w:tcPr>
            <w:tcW w:w="18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person other than the company or an associated</w:t>
            </w:r>
          </w:p>
        </w:tc>
      </w:tr>
      <w:tr>
        <w:trPr>
          <w:trHeight w:val="364"/>
        </w:trPr>
        <w:tc>
          <w:tcPr>
            <w:tcW w:w="1880" w:type="dxa"/>
            <w:vAlign w:val="bottom"/>
          </w:tcPr>
          <w:p>
            <w:pPr>
              <w:spacing w:after="0"/>
              <w:rPr>
                <w:sz w:val="24"/>
                <w:szCs w:val="24"/>
                <w:color w:val="auto"/>
              </w:rPr>
            </w:pPr>
          </w:p>
        </w:tc>
        <w:tc>
          <w:tcPr>
            <w:tcW w:w="4620" w:type="dxa"/>
            <w:vAlign w:val="bottom"/>
          </w:tcPr>
          <w:p>
            <w:pPr>
              <w:ind w:left="3540"/>
              <w:spacing w:after="0"/>
              <w:rPr>
                <w:sz w:val="20"/>
                <w:szCs w:val="20"/>
                <w:color w:val="auto"/>
              </w:rPr>
            </w:pPr>
            <w:r>
              <w:rPr>
                <w:rFonts w:ascii="Arial" w:cs="Arial" w:eastAsia="Arial" w:hAnsi="Arial"/>
                <w:sz w:val="18"/>
                <w:szCs w:val="18"/>
                <w:color w:val="auto"/>
              </w:rPr>
              <w:t>26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7260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Under Delaware law, if the corporation’s charter or certificate of incorporation so provides, the board of directors has the power to authorize the issuance of stock. The board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83" w:lineRule="exact"/>
        <w:rPr>
          <w:sz w:val="20"/>
          <w:szCs w:val="20"/>
          <w:color w:val="auto"/>
        </w:rPr>
      </w:pPr>
    </w:p>
    <w:p>
      <w:pPr>
        <w:ind w:left="360" w:right="400" w:hanging="271"/>
        <w:spacing w:after="0" w:line="277" w:lineRule="auto"/>
        <w:tabs>
          <w:tab w:leader="none" w:pos="3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75" w:lineRule="exact"/>
        <w:rPr>
          <w:rFonts w:ascii="Arial" w:cs="Arial" w:eastAsia="Arial" w:hAnsi="Arial"/>
          <w:sz w:val="18"/>
          <w:szCs w:val="18"/>
          <w:color w:val="auto"/>
        </w:rPr>
      </w:pPr>
    </w:p>
    <w:p>
      <w:pPr>
        <w:ind w:left="360" w:right="40" w:hanging="271"/>
        <w:spacing w:after="0" w:line="342" w:lineRule="auto"/>
        <w:tabs>
          <w:tab w:leader="none" w:pos="344"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acts or omissions not in good faith or that involve intentional misconduct or a knowing violation of law;</w:t>
      </w:r>
    </w:p>
    <w:p>
      <w:pPr>
        <w:spacing w:after="0" w:line="29" w:lineRule="exact"/>
        <w:rPr>
          <w:rFonts w:ascii="Arial" w:cs="Arial" w:eastAsia="Arial" w:hAnsi="Arial"/>
          <w:sz w:val="16"/>
          <w:szCs w:val="16"/>
          <w:color w:val="auto"/>
        </w:rPr>
      </w:pPr>
    </w:p>
    <w:p>
      <w:pPr>
        <w:ind w:left="360" w:right="480" w:hanging="271"/>
        <w:spacing w:after="0" w:line="342" w:lineRule="auto"/>
        <w:tabs>
          <w:tab w:leader="none" w:pos="344"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intentional or negligent payment of unlawful dividends or stock purchases or redemptions; or</w:t>
      </w:r>
    </w:p>
    <w:p>
      <w:pPr>
        <w:spacing w:after="0" w:line="29" w:lineRule="exact"/>
        <w:rPr>
          <w:rFonts w:ascii="Arial" w:cs="Arial" w:eastAsia="Arial" w:hAnsi="Arial"/>
          <w:sz w:val="16"/>
          <w:szCs w:val="16"/>
          <w:color w:val="auto"/>
        </w:rPr>
      </w:pPr>
    </w:p>
    <w:p>
      <w:pPr>
        <w:ind w:left="360" w:right="320" w:hanging="271"/>
        <w:spacing w:after="0" w:line="277" w:lineRule="auto"/>
        <w:tabs>
          <w:tab w:leader="none" w:pos="3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transaction from which the director derives an improper personal benefit.</w:t>
      </w:r>
    </w:p>
    <w:p>
      <w:pPr>
        <w:sectPr>
          <w:pgSz w:w="11900" w:h="16838" w:orient="portrait"/>
          <w:cols w:equalWidth="0" w:num="2">
            <w:col w:w="6620" w:space="220"/>
            <w:col w:w="428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880" w:type="dxa"/>
            <w:vAlign w:val="bottom"/>
          </w:tcPr>
          <w:p>
            <w:pPr>
              <w:spacing w:after="0"/>
              <w:rPr>
                <w:sz w:val="16"/>
                <w:szCs w:val="16"/>
                <w:color w:val="auto"/>
              </w:rPr>
            </w:pPr>
          </w:p>
        </w:tc>
        <w:tc>
          <w:tcPr>
            <w:tcW w:w="462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1880" w:type="dxa"/>
            <w:vAlign w:val="bottom"/>
          </w:tcPr>
          <w:p>
            <w:pPr>
              <w:spacing w:after="0"/>
              <w:rPr>
                <w:sz w:val="16"/>
                <w:szCs w:val="16"/>
                <w:color w:val="auto"/>
              </w:rPr>
            </w:pPr>
          </w:p>
        </w:tc>
        <w:tc>
          <w:tcPr>
            <w:tcW w:w="4620" w:type="dxa"/>
            <w:vAlign w:val="bottom"/>
          </w:tcPr>
          <w:p>
            <w:pPr>
              <w:spacing w:after="0" w:line="195" w:lineRule="exact"/>
              <w:rPr>
                <w:sz w:val="20"/>
                <w:szCs w:val="20"/>
                <w:color w:val="auto"/>
              </w:rPr>
            </w:pPr>
            <w:r>
              <w:rPr>
                <w:rFonts w:ascii="Arial" w:cs="Arial" w:eastAsia="Arial" w:hAnsi="Arial"/>
                <w:sz w:val="18"/>
                <w:szCs w:val="18"/>
                <w:color w:val="auto"/>
                <w:w w:val="92"/>
              </w:rPr>
              <w:t>company or criminal proceedings in which he is convicted; and</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(iii) provide a</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“qualifying pension scheme indemnity,” or an indemnity</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against liability incurred in connection with the company’s</w:t>
            </w:r>
          </w:p>
        </w:tc>
      </w:tr>
      <w:tr>
        <w:trPr>
          <w:trHeight w:val="230"/>
        </w:trPr>
        <w:tc>
          <w:tcPr>
            <w:tcW w:w="18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activities as trustee of an occupational pension plan.</w:t>
            </w:r>
          </w:p>
        </w:tc>
      </w:tr>
      <w:tr>
        <w:trPr>
          <w:trHeight w:val="323"/>
        </w:trPr>
        <w:tc>
          <w:tcPr>
            <w:tcW w:w="1880" w:type="dxa"/>
            <w:vAlign w:val="bottom"/>
          </w:tcPr>
          <w:p>
            <w:pPr>
              <w:spacing w:after="0"/>
              <w:rPr>
                <w:sz w:val="20"/>
                <w:szCs w:val="20"/>
                <w:color w:val="auto"/>
              </w:rPr>
            </w:pPr>
            <w:r>
              <w:rPr>
                <w:rFonts w:ascii="Arial" w:cs="Arial" w:eastAsia="Arial" w:hAnsi="Arial"/>
                <w:sz w:val="18"/>
                <w:szCs w:val="18"/>
                <w:color w:val="auto"/>
              </w:rPr>
              <w:t>Voting Rights</w:t>
            </w:r>
          </w:p>
        </w:tc>
        <w:tc>
          <w:tcPr>
            <w:tcW w:w="4620" w:type="dxa"/>
            <w:vAlign w:val="bottom"/>
          </w:tcPr>
          <w:p>
            <w:pPr>
              <w:spacing w:after="0"/>
              <w:rPr>
                <w:sz w:val="20"/>
                <w:szCs w:val="20"/>
                <w:color w:val="auto"/>
              </w:rPr>
            </w:pPr>
            <w:r>
              <w:rPr>
                <w:rFonts w:ascii="Arial" w:cs="Arial" w:eastAsia="Arial" w:hAnsi="Arial"/>
                <w:sz w:val="18"/>
                <w:szCs w:val="18"/>
                <w:color w:val="auto"/>
                <w:w w:val="97"/>
              </w:rPr>
              <w:t>For a company incorporated under the laws of England and</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2"/>
              </w:rPr>
              <w:t>Wales, it is usual for the articles of association to provide that,,</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1"/>
              </w:rPr>
              <w:t>unless a poll is demanded by the shareholders of a company or</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6"/>
              </w:rPr>
              <w:t>is required by the chairman of the meeting or the company’s</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0"/>
              </w:rPr>
              <w:t>articles of association, shareholders shall vote on all resolutions</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4"/>
              </w:rPr>
              <w:t>on a show of hands. Under the Companies Act, a poll may be</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5"/>
              </w:rPr>
              <w:t>demanded by (i) not fewer than five shareholders having the</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right to vote on the resolution; (ii) any shareholder(s)</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5"/>
              </w:rPr>
              <w:t>representing not less than 10% of the total voting rights of all</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the shareholders having the right to vote on the resolution</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6"/>
              </w:rPr>
              <w:t>(excluding any voting rights attaching to treasury shares); or</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(iii) any shareholder(s) holding shares in the company</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conferring a right to vote on the resolution (excluding any</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9"/>
              </w:rPr>
              <w:t>voting rights attaching to treasury shares) being shares on</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89"/>
              </w:rPr>
              <w:t>which an aggregate sum has been paid up equal to not less than</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4"/>
              </w:rPr>
              <w:t>10% of the total sum paid up on all the shares conferring that</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7"/>
              </w:rPr>
              <w:t>right. A company’s articles of association may provide more</w:t>
            </w:r>
          </w:p>
        </w:tc>
      </w:tr>
      <w:tr>
        <w:trPr>
          <w:trHeight w:val="230"/>
        </w:trPr>
        <w:tc>
          <w:tcPr>
            <w:tcW w:w="18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extensive rights for shareholders to call a poll.</w:t>
            </w:r>
          </w:p>
        </w:tc>
      </w:tr>
      <w:tr>
        <w:trPr>
          <w:trHeight w:val="310"/>
        </w:trPr>
        <w:tc>
          <w:tcPr>
            <w:tcW w:w="188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1"/>
              </w:rPr>
              <w:t>Under the laws of England and Wales, an ordinary resolution is</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passed on a show of hands if it is approved by a simple</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7"/>
              </w:rPr>
              <w:t>majority (more than 50%) of the votes cast by shareholders</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4"/>
              </w:rPr>
              <w:t>present (in person or by proxy) and entitled to vote. If a poll is</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2"/>
              </w:rPr>
              <w:t>demanded, an ordinary resolution is passed if it is approved by</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2"/>
              </w:rPr>
              <w:t>holders representing a simple majority of the total voting rights</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9"/>
              </w:rPr>
              <w:t>of shareholders present, in person or by proxy, who, being</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9"/>
              </w:rPr>
              <w:t>entitled to vote, vote on the resolution. Special resolutions</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5"/>
              </w:rPr>
              <w:t>require the affirmative vote of not less than 75% of the votes</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9"/>
              </w:rPr>
              <w:t>cast by shareholders present, in person or by proxy, at the</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2"/>
              </w:rPr>
              <w:t>meeting. If a poll is demanded, a special resolution is passed if</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it is approved by holders representing not less</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than 75% of the total voting rights of</w:t>
            </w:r>
          </w:p>
        </w:tc>
      </w:tr>
      <w:tr>
        <w:trPr>
          <w:trHeight w:val="216"/>
        </w:trPr>
        <w:tc>
          <w:tcPr>
            <w:tcW w:w="1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2"/>
              </w:rPr>
              <w:t>shareholders in person or by proxy who, being entitled to vote,</w:t>
            </w:r>
          </w:p>
        </w:tc>
      </w:tr>
      <w:tr>
        <w:trPr>
          <w:trHeight w:val="230"/>
        </w:trPr>
        <w:tc>
          <w:tcPr>
            <w:tcW w:w="18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vote on the resolution.</w:t>
            </w:r>
          </w:p>
        </w:tc>
      </w:tr>
      <w:tr>
        <w:trPr>
          <w:trHeight w:val="378"/>
        </w:trPr>
        <w:tc>
          <w:tcPr>
            <w:tcW w:w="1880" w:type="dxa"/>
            <w:vAlign w:val="bottom"/>
          </w:tcPr>
          <w:p>
            <w:pPr>
              <w:spacing w:after="0"/>
              <w:rPr>
                <w:sz w:val="24"/>
                <w:szCs w:val="24"/>
                <w:color w:val="auto"/>
              </w:rPr>
            </w:pPr>
          </w:p>
        </w:tc>
        <w:tc>
          <w:tcPr>
            <w:tcW w:w="4620" w:type="dxa"/>
            <w:vAlign w:val="bottom"/>
          </w:tcPr>
          <w:p>
            <w:pPr>
              <w:ind w:left="3540"/>
              <w:spacing w:after="0"/>
              <w:rPr>
                <w:sz w:val="20"/>
                <w:szCs w:val="20"/>
                <w:color w:val="auto"/>
              </w:rPr>
            </w:pPr>
            <w:r>
              <w:rPr>
                <w:rFonts w:ascii="Arial" w:cs="Arial" w:eastAsia="Arial" w:hAnsi="Arial"/>
                <w:sz w:val="18"/>
                <w:szCs w:val="18"/>
                <w:color w:val="auto"/>
              </w:rPr>
              <w:t>27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7260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ectPr>
          <w:pgSz w:w="11900" w:h="16838" w:orient="portrait"/>
          <w:cols w:equalWidth="0" w:num="2">
            <w:col w:w="6620" w:space="220"/>
            <w:col w:w="4240"/>
          </w:cols>
          <w:pgMar w:left="320" w:top="459" w:right="49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5"/>
          <w:szCs w:val="15"/>
          <w:color w:val="auto"/>
        </w:rPr>
        <w:t>Shareholder Vote on</w:t>
      </w:r>
    </w:p>
    <w:p>
      <w:pPr>
        <w:spacing w:after="0" w:line="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Certain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Transactions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left="-239"/>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9317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Companies Act provides for schemes of arrangement, which are arrangements or compromises between a company and any class of shareholders or creditors and used in certain types of reconstructions, amalgamations, capital reorganizations or takeovers. These arrangements require:</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7260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19"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4" w:lineRule="exact"/>
        <w:rPr>
          <w:sz w:val="20"/>
          <w:szCs w:val="20"/>
          <w:color w:val="auto"/>
        </w:rPr>
      </w:pPr>
    </w:p>
    <w:p>
      <w:pPr>
        <w:sectPr>
          <w:pgSz w:w="11900" w:h="16838" w:orient="portrait"/>
          <w:cols w:equalWidth="0" w:num="3">
            <w:col w:w="1580" w:space="420"/>
            <w:col w:w="4400" w:space="440"/>
            <w:col w:w="4280"/>
          </w:cols>
          <w:pgMar w:left="320" w:top="459" w:right="459" w:bottom="1440" w:gutter="0" w:footer="0" w:header="0"/>
          <w:type w:val="continuous"/>
        </w:sectPr>
      </w:pPr>
    </w:p>
    <w:p>
      <w:pPr>
        <w:ind w:left="2360" w:hanging="269"/>
        <w:spacing w:after="0" w:line="252" w:lineRule="auto"/>
        <w:tabs>
          <w:tab w:leader="none" w:pos="2340" w:val="left"/>
        </w:tabs>
        <w:rPr>
          <w:sz w:val="20"/>
          <w:szCs w:val="20"/>
          <w:color w:val="auto"/>
        </w:rPr>
      </w:pPr>
      <w:r>
        <w:rPr>
          <w:rFonts w:ascii="Arial" w:cs="Arial" w:eastAsia="Arial" w:hAnsi="Arial"/>
          <w:sz w:val="18"/>
          <w:szCs w:val="18"/>
          <w:color w:val="auto"/>
        </w:rPr>
        <w:t>•</w:t>
        <w:tab/>
        <w:t>the approval at a shareholders’ or creditors’ meeting convened by order of the court, of a majority in number of shareholders or creditors representing 75% in value of the capital held by, or debt owed to, the shareholders or creditors or class thereof present and voting, either in person or by proxy; and</w:t>
      </w:r>
    </w:p>
    <w:p>
      <w:pPr>
        <w:spacing w:after="0" w:line="98" w:lineRule="exact"/>
        <w:rPr>
          <w:sz w:val="20"/>
          <w:szCs w:val="20"/>
          <w:color w:val="auto"/>
        </w:rPr>
      </w:pPr>
    </w:p>
    <w:p>
      <w:pPr>
        <w:jc w:val="center"/>
        <w:ind w:left="1660"/>
        <w:spacing w:after="0"/>
        <w:tabs>
          <w:tab w:leader="none" w:pos="180" w:val="left"/>
        </w:tabs>
        <w:rPr>
          <w:sz w:val="20"/>
          <w:szCs w:val="20"/>
          <w:color w:val="auto"/>
        </w:rPr>
      </w:pPr>
      <w:r>
        <w:rPr>
          <w:rFonts w:ascii="Arial" w:cs="Arial" w:eastAsia="Arial" w:hAnsi="Arial"/>
          <w:sz w:val="18"/>
          <w:szCs w:val="18"/>
          <w:color w:val="auto"/>
        </w:rPr>
        <w:t>•</w:t>
        <w:tab/>
        <w:t>the approval of the court.</w:t>
      </w:r>
    </w:p>
    <w:p>
      <w:pPr>
        <w:spacing w:after="0" w:line="131" w:lineRule="exact"/>
        <w:rPr>
          <w:sz w:val="20"/>
          <w:szCs w:val="20"/>
          <w:color w:val="auto"/>
        </w:rPr>
      </w:pPr>
    </w:p>
    <w:p>
      <w:pPr>
        <w:ind w:left="120"/>
        <w:spacing w:after="0"/>
        <w:tabs>
          <w:tab w:leader="none" w:pos="1980" w:val="left"/>
        </w:tabs>
        <w:rPr>
          <w:sz w:val="20"/>
          <w:szCs w:val="20"/>
          <w:color w:val="auto"/>
        </w:rPr>
      </w:pPr>
      <w:r>
        <w:rPr>
          <w:rFonts w:ascii="Arial" w:cs="Arial" w:eastAsia="Arial" w:hAnsi="Arial"/>
          <w:sz w:val="18"/>
          <w:szCs w:val="18"/>
          <w:color w:val="auto"/>
        </w:rPr>
        <w:t>Shareholder Vote on</w:t>
      </w:r>
      <w:r>
        <w:rPr>
          <w:sz w:val="20"/>
          <w:szCs w:val="20"/>
          <w:color w:val="auto"/>
        </w:rPr>
        <w:tab/>
      </w:r>
      <w:r>
        <w:rPr>
          <w:rFonts w:ascii="Arial" w:cs="Arial" w:eastAsia="Arial" w:hAnsi="Arial"/>
          <w:sz w:val="16"/>
          <w:szCs w:val="16"/>
          <w:color w:val="auto"/>
        </w:rPr>
        <w:t>The Companies Act provides for schemes of arrangement,</w:t>
      </w:r>
    </w:p>
    <w:p>
      <w:pPr>
        <w:spacing w:after="0" w:line="23" w:lineRule="exact"/>
        <w:rPr>
          <w:sz w:val="20"/>
          <w:szCs w:val="20"/>
          <w:color w:val="auto"/>
        </w:rPr>
      </w:pPr>
    </w:p>
    <w:p>
      <w:pPr>
        <w:ind w:left="300"/>
        <w:spacing w:after="0"/>
        <w:tabs>
          <w:tab w:leader="none" w:pos="1980" w:val="left"/>
        </w:tabs>
        <w:rPr>
          <w:sz w:val="20"/>
          <w:szCs w:val="20"/>
          <w:color w:val="auto"/>
        </w:rPr>
      </w:pPr>
      <w:r>
        <w:rPr>
          <w:rFonts w:ascii="Arial" w:cs="Arial" w:eastAsia="Arial" w:hAnsi="Arial"/>
          <w:sz w:val="16"/>
          <w:szCs w:val="16"/>
          <w:color w:val="auto"/>
        </w:rPr>
        <w:t>Certain</w:t>
      </w:r>
      <w:r>
        <w:rPr>
          <w:sz w:val="20"/>
          <w:szCs w:val="20"/>
          <w:color w:val="auto"/>
        </w:rPr>
        <w:tab/>
      </w:r>
      <w:r>
        <w:rPr>
          <w:rFonts w:ascii="Arial" w:cs="Arial" w:eastAsia="Arial" w:hAnsi="Arial"/>
          <w:sz w:val="16"/>
          <w:szCs w:val="16"/>
          <w:color w:val="auto"/>
        </w:rPr>
        <w:t>which are arrangements or compromises between a company</w:t>
      </w:r>
    </w:p>
    <w:p>
      <w:pPr>
        <w:spacing w:after="0" w:line="32" w:lineRule="exact"/>
        <w:rPr>
          <w:sz w:val="20"/>
          <w:szCs w:val="20"/>
          <w:color w:val="auto"/>
        </w:rPr>
      </w:pPr>
    </w:p>
    <w:p>
      <w:pPr>
        <w:ind w:left="300"/>
        <w:spacing w:after="0"/>
        <w:tabs>
          <w:tab w:leader="none" w:pos="1980" w:val="left"/>
        </w:tabs>
        <w:rPr>
          <w:sz w:val="20"/>
          <w:szCs w:val="20"/>
          <w:color w:val="auto"/>
        </w:rPr>
      </w:pPr>
      <w:r>
        <w:rPr>
          <w:rFonts w:ascii="Arial" w:cs="Arial" w:eastAsia="Arial" w:hAnsi="Arial"/>
          <w:sz w:val="16"/>
          <w:szCs w:val="16"/>
          <w:color w:val="auto"/>
        </w:rPr>
        <w:t>Transactions</w:t>
      </w:r>
      <w:r>
        <w:rPr>
          <w:sz w:val="20"/>
          <w:szCs w:val="20"/>
          <w:color w:val="auto"/>
        </w:rPr>
        <w:tab/>
      </w:r>
      <w:r>
        <w:rPr>
          <w:rFonts w:ascii="Arial" w:cs="Arial" w:eastAsia="Arial" w:hAnsi="Arial"/>
          <w:sz w:val="16"/>
          <w:szCs w:val="16"/>
          <w:color w:val="auto"/>
        </w:rPr>
        <w:t>and any class of shareholders or creditors and used in certain</w:t>
      </w:r>
    </w:p>
    <w:p>
      <w:pPr>
        <w:spacing w:after="0" w:line="32" w:lineRule="exact"/>
        <w:rPr>
          <w:sz w:val="20"/>
          <w:szCs w:val="20"/>
          <w:color w:val="auto"/>
        </w:rPr>
      </w:pPr>
    </w:p>
    <w:p>
      <w:pPr>
        <w:ind w:left="2000" w:right="400"/>
        <w:spacing w:after="0" w:line="323" w:lineRule="auto"/>
        <w:rPr>
          <w:sz w:val="20"/>
          <w:szCs w:val="20"/>
          <w:color w:val="auto"/>
        </w:rPr>
      </w:pPr>
      <w:r>
        <w:rPr>
          <w:rFonts w:ascii="Arial" w:cs="Arial" w:eastAsia="Arial" w:hAnsi="Arial"/>
          <w:sz w:val="16"/>
          <w:szCs w:val="16"/>
          <w:color w:val="auto"/>
        </w:rPr>
        <w:t>types of reconstructions, amalgamations, capital reorganizations or takeovers. These arrangements require:</w:t>
      </w:r>
    </w:p>
    <w:p>
      <w:pPr>
        <w:spacing w:after="0" w:line="44" w:lineRule="exact"/>
        <w:rPr>
          <w:sz w:val="20"/>
          <w:szCs w:val="20"/>
          <w:color w:val="auto"/>
        </w:rPr>
      </w:pPr>
    </w:p>
    <w:p>
      <w:pPr>
        <w:ind w:left="2360" w:hanging="269"/>
        <w:spacing w:after="0" w:line="255" w:lineRule="auto"/>
        <w:tabs>
          <w:tab w:leader="none" w:pos="2340" w:val="left"/>
        </w:tabs>
        <w:rPr>
          <w:sz w:val="20"/>
          <w:szCs w:val="20"/>
          <w:color w:val="auto"/>
        </w:rPr>
      </w:pPr>
      <w:r>
        <w:rPr>
          <w:rFonts w:ascii="Arial" w:cs="Arial" w:eastAsia="Arial" w:hAnsi="Arial"/>
          <w:sz w:val="18"/>
          <w:szCs w:val="18"/>
          <w:color w:val="auto"/>
        </w:rPr>
        <w:t>•</w:t>
        <w:tab/>
        <w:t>the approval at a shareholders’ or creditors’ meeting convened by order of the court, of a majority in number of shareholders or creditors representing 75% in value of the capital held by, or debt owed to, the shareholders or creditors or class thereof present and voting, either in person or by proxy; and</w:t>
      </w:r>
    </w:p>
    <w:p>
      <w:pPr>
        <w:spacing w:after="0" w:line="98" w:lineRule="exact"/>
        <w:rPr>
          <w:sz w:val="20"/>
          <w:szCs w:val="20"/>
          <w:color w:val="auto"/>
        </w:rPr>
      </w:pPr>
    </w:p>
    <w:p>
      <w:pPr>
        <w:ind w:left="2100"/>
        <w:spacing w:after="0"/>
        <w:tabs>
          <w:tab w:leader="none" w:pos="2340" w:val="left"/>
        </w:tabs>
        <w:rPr>
          <w:sz w:val="20"/>
          <w:szCs w:val="20"/>
          <w:color w:val="auto"/>
        </w:rPr>
      </w:pPr>
      <w:r>
        <w:rPr>
          <w:rFonts w:ascii="Arial" w:cs="Arial" w:eastAsia="Arial" w:hAnsi="Arial"/>
          <w:sz w:val="18"/>
          <w:szCs w:val="18"/>
          <w:color w:val="auto"/>
        </w:rPr>
        <w:t>•</w:t>
        <w:tab/>
        <w:t>the approval of the court.</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Standard of Conduct</w:t>
      </w:r>
    </w:p>
    <w:p>
      <w:pPr>
        <w:spacing w:after="0" w:line="23" w:lineRule="exact"/>
        <w:rPr>
          <w:sz w:val="20"/>
          <w:szCs w:val="20"/>
          <w:color w:val="auto"/>
        </w:rPr>
      </w:pPr>
    </w:p>
    <w:p>
      <w:pPr>
        <w:ind w:left="300"/>
        <w:spacing w:after="0"/>
        <w:tabs>
          <w:tab w:leader="none" w:pos="1980" w:val="left"/>
        </w:tabs>
        <w:rPr>
          <w:sz w:val="20"/>
          <w:szCs w:val="20"/>
          <w:color w:val="auto"/>
        </w:rPr>
      </w:pPr>
      <w:r>
        <w:rPr>
          <w:rFonts w:ascii="Arial" w:cs="Arial" w:eastAsia="Arial" w:hAnsi="Arial"/>
          <w:sz w:val="18"/>
          <w:szCs w:val="18"/>
          <w:color w:val="auto"/>
        </w:rPr>
        <w:t>for Directors</w:t>
      </w:r>
      <w:r>
        <w:rPr>
          <w:sz w:val="20"/>
          <w:szCs w:val="20"/>
          <w:color w:val="auto"/>
        </w:rPr>
        <w:tab/>
      </w:r>
      <w:r>
        <w:rPr>
          <w:rFonts w:ascii="Arial" w:cs="Arial" w:eastAsia="Arial" w:hAnsi="Arial"/>
          <w:sz w:val="16"/>
          <w:szCs w:val="16"/>
          <w:color w:val="auto"/>
        </w:rPr>
        <w:t>Under the laws of England and Wales, a director owes various</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statutory and fiduciary duties to the company, including:</w:t>
      </w:r>
    </w:p>
    <w:p>
      <w:pPr>
        <w:spacing w:after="0" w:line="116" w:lineRule="exact"/>
        <w:rPr>
          <w:sz w:val="20"/>
          <w:szCs w:val="20"/>
          <w:color w:val="auto"/>
        </w:rPr>
      </w:pPr>
    </w:p>
    <w:p>
      <w:pPr>
        <w:ind w:left="2100"/>
        <w:spacing w:after="0"/>
        <w:tabs>
          <w:tab w:leader="none" w:pos="2340" w:val="left"/>
        </w:tabs>
        <w:rPr>
          <w:sz w:val="20"/>
          <w:szCs w:val="20"/>
          <w:color w:val="auto"/>
        </w:rPr>
      </w:pPr>
      <w:r>
        <w:rPr>
          <w:rFonts w:ascii="Arial" w:cs="Arial" w:eastAsia="Arial" w:hAnsi="Arial"/>
          <w:sz w:val="17"/>
          <w:szCs w:val="17"/>
          <w:color w:val="auto"/>
        </w:rPr>
        <w:t>•</w:t>
        <w:tab/>
        <w:t>to act in the way he considers, in good faith, would be</w:t>
      </w:r>
    </w:p>
    <w:p>
      <w:pPr>
        <w:spacing w:after="0" w:line="35"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most likely to promote the success of the company for the</w:t>
      </w:r>
    </w:p>
    <w:p>
      <w:pPr>
        <w:spacing w:after="0" w:line="32" w:lineRule="exact"/>
        <w:rPr>
          <w:sz w:val="20"/>
          <w:szCs w:val="20"/>
          <w:color w:val="auto"/>
        </w:rPr>
      </w:pPr>
    </w:p>
    <w:p>
      <w:pPr>
        <w:ind w:left="2360"/>
        <w:spacing w:after="0"/>
        <w:rPr>
          <w:sz w:val="20"/>
          <w:szCs w:val="20"/>
          <w:color w:val="auto"/>
        </w:rPr>
      </w:pPr>
      <w:r>
        <w:rPr>
          <w:rFonts w:ascii="Arial" w:cs="Arial" w:eastAsia="Arial" w:hAnsi="Arial"/>
          <w:sz w:val="17"/>
          <w:szCs w:val="17"/>
          <w:color w:val="auto"/>
        </w:rPr>
        <w:t>benefit of its members as a whole, and in doing so have</w:t>
      </w:r>
    </w:p>
    <w:p>
      <w:pPr>
        <w:spacing w:after="0" w:line="21"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regard (amongst other matters) to: (i) the likely</w:t>
      </w:r>
    </w:p>
    <w:p>
      <w:pPr>
        <w:spacing w:after="0" w:line="9" w:lineRule="exact"/>
        <w:rPr>
          <w:sz w:val="20"/>
          <w:szCs w:val="20"/>
          <w:color w:val="auto"/>
        </w:rPr>
      </w:pPr>
    </w:p>
    <w:p>
      <w:pPr>
        <w:ind w:left="2360"/>
        <w:spacing w:after="0"/>
        <w:rPr>
          <w:sz w:val="20"/>
          <w:szCs w:val="20"/>
          <w:color w:val="auto"/>
        </w:rPr>
      </w:pPr>
      <w:r>
        <w:rPr>
          <w:rFonts w:ascii="Arial" w:cs="Arial" w:eastAsia="Arial" w:hAnsi="Arial"/>
          <w:sz w:val="17"/>
          <w:szCs w:val="17"/>
          <w:color w:val="auto"/>
        </w:rPr>
        <w:t>consequences of any decision in the long-term, (ii) the</w:t>
      </w:r>
    </w:p>
    <w:p>
      <w:pPr>
        <w:spacing w:after="0" w:line="21" w:lineRule="exact"/>
        <w:rPr>
          <w:sz w:val="20"/>
          <w:szCs w:val="20"/>
          <w:color w:val="auto"/>
        </w:rPr>
      </w:pPr>
    </w:p>
    <w:p>
      <w:pPr>
        <w:ind w:left="2360"/>
        <w:spacing w:after="0"/>
        <w:rPr>
          <w:sz w:val="20"/>
          <w:szCs w:val="20"/>
          <w:color w:val="auto"/>
        </w:rPr>
      </w:pPr>
      <w:r>
        <w:rPr>
          <w:rFonts w:ascii="Arial" w:cs="Arial" w:eastAsia="Arial" w:hAnsi="Arial"/>
          <w:sz w:val="17"/>
          <w:szCs w:val="17"/>
          <w:color w:val="auto"/>
        </w:rPr>
        <w:t>interests of the company’s employees,(iii) the need to</w:t>
      </w:r>
    </w:p>
    <w:p>
      <w:pPr>
        <w:spacing w:after="0" w:line="21"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foster the company’s business relationships with</w:t>
      </w:r>
    </w:p>
    <w:p>
      <w:pPr>
        <w:spacing w:after="0" w:line="1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340" w:hanging="251"/>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approval of the board of directors; and</w:t>
      </w:r>
    </w:p>
    <w:p>
      <w:pPr>
        <w:spacing w:after="0" w:line="130" w:lineRule="exact"/>
        <w:rPr>
          <w:rFonts w:ascii="Arial" w:cs="Arial" w:eastAsia="Arial" w:hAnsi="Arial"/>
          <w:sz w:val="18"/>
          <w:szCs w:val="18"/>
          <w:color w:val="auto"/>
        </w:rPr>
      </w:pPr>
    </w:p>
    <w:p>
      <w:pPr>
        <w:ind w:left="360" w:hanging="271"/>
        <w:spacing w:after="0" w:line="296" w:lineRule="auto"/>
        <w:tabs>
          <w:tab w:leader="none" w:pos="34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approval by the vote of the holders of a majority of the outstanding stock or, if the certificate of incorporation provides for more or less than one vote per share, a majority of the votes of the outstanding stock of the corporation entitled to vote on the matter.</w:t>
      </w:r>
    </w:p>
    <w:p>
      <w:pPr>
        <w:spacing w:after="0" w:line="28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82" w:lineRule="exact"/>
        <w:rPr>
          <w:sz w:val="20"/>
          <w:szCs w:val="20"/>
          <w:color w:val="auto"/>
        </w:rPr>
      </w:pPr>
    </w:p>
    <w:p>
      <w:pPr>
        <w:ind w:left="340" w:hanging="251"/>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approval of the board of directors; and</w:t>
      </w:r>
    </w:p>
    <w:p>
      <w:pPr>
        <w:spacing w:after="0" w:line="130" w:lineRule="exact"/>
        <w:rPr>
          <w:rFonts w:ascii="Arial" w:cs="Arial" w:eastAsia="Arial" w:hAnsi="Arial"/>
          <w:sz w:val="18"/>
          <w:szCs w:val="18"/>
          <w:color w:val="auto"/>
        </w:rPr>
      </w:pPr>
    </w:p>
    <w:p>
      <w:pPr>
        <w:ind w:left="360" w:hanging="271"/>
        <w:spacing w:after="0" w:line="296" w:lineRule="auto"/>
        <w:tabs>
          <w:tab w:leader="none" w:pos="344"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approval by the vote of the holders of a majority of the outstanding stock or, if the certificate of incorporation provides for more or less than one vote per share, a majority of the votes of the outstanding stock of the corporation entitled to vote on the matter.</w:t>
      </w:r>
    </w:p>
    <w:p>
      <w:pPr>
        <w:spacing w:after="0" w:line="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 informed basis and in a manner they reasonably believe to be in the best interest of the stockholders.</w:t>
      </w:r>
    </w:p>
    <w:p>
      <w:pPr>
        <w:spacing w:after="0" w:line="7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Directors of a Delaware corporation owe fiduciary duties of care and loyalty to the corporation and to its shareholders.</w:t>
      </w:r>
    </w:p>
    <w:p>
      <w:pPr>
        <w:sectPr>
          <w:pgSz w:w="11900" w:h="16838" w:orient="portrait"/>
          <w:cols w:equalWidth="0" w:num="2">
            <w:col w:w="6580" w:space="260"/>
            <w:col w:w="4280"/>
          </w:cols>
          <w:pgMar w:left="320" w:top="459" w:right="45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72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15240</wp:posOffset>
            </wp:positionV>
            <wp:extent cx="29317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59" w:lineRule="exact"/>
        <w:rPr>
          <w:sz w:val="20"/>
          <w:szCs w:val="20"/>
          <w:color w:val="auto"/>
        </w:rPr>
      </w:pPr>
    </w:p>
    <w:p>
      <w:pPr>
        <w:ind w:left="2000" w:right="120"/>
        <w:spacing w:after="0" w:line="291" w:lineRule="auto"/>
        <w:rPr>
          <w:sz w:val="20"/>
          <w:szCs w:val="20"/>
          <w:color w:val="auto"/>
        </w:rPr>
      </w:pPr>
      <w:r>
        <w:rPr>
          <w:rFonts w:ascii="Arial" w:cs="Arial" w:eastAsia="Arial" w:hAnsi="Arial"/>
          <w:sz w:val="16"/>
          <w:szCs w:val="16"/>
          <w:color w:val="auto"/>
        </w:rPr>
        <w:t>suppliers, customers and others, (iv) the impact of the company’s operations on the community and the environment,</w:t>
      </w:r>
    </w:p>
    <w:p>
      <w:pPr>
        <w:jc w:val="both"/>
        <w:ind w:left="2000" w:right="180" w:firstLine="6"/>
        <w:spacing w:after="0" w:line="255" w:lineRule="auto"/>
        <w:tabs>
          <w:tab w:leader="none" w:pos="2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desirability to maintain a reputation for high standards of business conduct, and (vi) the need to act fairly as between members of the company;</w:t>
      </w:r>
    </w:p>
    <w:p>
      <w:pPr>
        <w:spacing w:after="0" w:line="95" w:lineRule="exact"/>
        <w:rPr>
          <w:sz w:val="20"/>
          <w:szCs w:val="20"/>
          <w:color w:val="auto"/>
        </w:rPr>
      </w:pPr>
    </w:p>
    <w:p>
      <w:pPr>
        <w:ind w:left="2360" w:hanging="264"/>
        <w:spacing w:after="0" w:line="263" w:lineRule="auto"/>
        <w:tabs>
          <w:tab w:leader="none" w:pos="23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avoid a situation in which he has, or can have, a direct or indirect interest that conflicts, or possibly conflicts, with the interests of the company;</w:t>
      </w:r>
    </w:p>
    <w:p>
      <w:pPr>
        <w:spacing w:after="0" w:line="89" w:lineRule="exact"/>
        <w:rPr>
          <w:rFonts w:ascii="Arial" w:cs="Arial" w:eastAsia="Arial" w:hAnsi="Arial"/>
          <w:sz w:val="18"/>
          <w:szCs w:val="18"/>
          <w:color w:val="auto"/>
        </w:rPr>
      </w:pPr>
    </w:p>
    <w:p>
      <w:pPr>
        <w:jc w:val="both"/>
        <w:ind w:left="2360" w:right="180" w:hanging="264"/>
        <w:spacing w:after="0" w:line="263" w:lineRule="auto"/>
        <w:tabs>
          <w:tab w:leader="none" w:pos="23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act in accordance with the company’s constitution and only exercise his powers for the purposes for which they are conferred;</w:t>
      </w:r>
    </w:p>
    <w:p>
      <w:pPr>
        <w:spacing w:after="0" w:line="89" w:lineRule="exact"/>
        <w:rPr>
          <w:rFonts w:ascii="Arial" w:cs="Arial" w:eastAsia="Arial" w:hAnsi="Arial"/>
          <w:sz w:val="18"/>
          <w:szCs w:val="18"/>
          <w:color w:val="auto"/>
        </w:rPr>
      </w:pPr>
    </w:p>
    <w:p>
      <w:pPr>
        <w:ind w:left="2360" w:hanging="264"/>
        <w:spacing w:after="0"/>
        <w:tabs>
          <w:tab w:leader="none" w:pos="2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exercise independent judgment;</w:t>
      </w:r>
    </w:p>
    <w:p>
      <w:pPr>
        <w:spacing w:after="0" w:line="130" w:lineRule="exact"/>
        <w:rPr>
          <w:rFonts w:ascii="Arial" w:cs="Arial" w:eastAsia="Arial" w:hAnsi="Arial"/>
          <w:sz w:val="18"/>
          <w:szCs w:val="18"/>
          <w:color w:val="auto"/>
        </w:rPr>
      </w:pPr>
    </w:p>
    <w:p>
      <w:pPr>
        <w:ind w:left="2360" w:hanging="264"/>
        <w:spacing w:after="0"/>
        <w:tabs>
          <w:tab w:leader="none" w:pos="2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exercise reasonable care, skill and diligence;</w:t>
      </w:r>
    </w:p>
    <w:p>
      <w:pPr>
        <w:spacing w:after="0" w:line="130" w:lineRule="exact"/>
        <w:rPr>
          <w:rFonts w:ascii="Arial" w:cs="Arial" w:eastAsia="Arial" w:hAnsi="Arial"/>
          <w:sz w:val="18"/>
          <w:szCs w:val="18"/>
          <w:color w:val="auto"/>
        </w:rPr>
      </w:pPr>
    </w:p>
    <w:p>
      <w:pPr>
        <w:ind w:left="2360" w:right="20" w:hanging="264"/>
        <w:spacing w:after="0" w:line="263" w:lineRule="auto"/>
        <w:tabs>
          <w:tab w:leader="none" w:pos="23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accept benefits from a third party conferred by reason of his being a director or doing, or not doing, anything as a director; and</w:t>
      </w:r>
    </w:p>
    <w:p>
      <w:pPr>
        <w:spacing w:after="0" w:line="89" w:lineRule="exact"/>
        <w:rPr>
          <w:rFonts w:ascii="Arial" w:cs="Arial" w:eastAsia="Arial" w:hAnsi="Arial"/>
          <w:sz w:val="18"/>
          <w:szCs w:val="18"/>
          <w:color w:val="auto"/>
        </w:rPr>
      </w:pPr>
    </w:p>
    <w:p>
      <w:pPr>
        <w:ind w:left="2360" w:right="420" w:hanging="264"/>
        <w:spacing w:after="0" w:line="263" w:lineRule="auto"/>
        <w:tabs>
          <w:tab w:leader="none" w:pos="23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declare any interest that he has, whether directly or indirectly, in a proposed or existing transaction or arrangement with the company.</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 Litigation</w:t>
      </w:r>
    </w:p>
    <w:p>
      <w:pPr>
        <w:spacing w:after="0" w:line="387" w:lineRule="exact"/>
        <w:rPr>
          <w:sz w:val="20"/>
          <w:szCs w:val="20"/>
          <w:color w:val="auto"/>
        </w:rPr>
      </w:pPr>
    </w:p>
    <w:p>
      <w:pPr>
        <w:jc w:val="both"/>
        <w:ind w:left="2000" w:right="80"/>
        <w:spacing w:after="0" w:line="286" w:lineRule="auto"/>
        <w:rPr>
          <w:sz w:val="20"/>
          <w:szCs w:val="20"/>
          <w:color w:val="auto"/>
        </w:rPr>
      </w:pPr>
      <w:r>
        <w:rPr>
          <w:rFonts w:ascii="Arial" w:cs="Arial" w:eastAsia="Arial" w:hAnsi="Arial"/>
          <w:sz w:val="16"/>
          <w:szCs w:val="16"/>
          <w:color w:val="auto"/>
        </w:rPr>
        <w:t>Under the laws of England and Wales, generally, the company, rather than its shareholders, is the proper claimant in an action in respect of a wrong done to the company or where there is an irregularity in the company’s internal management.</w:t>
      </w:r>
    </w:p>
    <w:p>
      <w:pPr>
        <w:spacing w:after="0" w:line="1" w:lineRule="exact"/>
        <w:rPr>
          <w:sz w:val="20"/>
          <w:szCs w:val="20"/>
          <w:color w:val="auto"/>
        </w:rPr>
      </w:pPr>
    </w:p>
    <w:p>
      <w:pPr>
        <w:ind w:left="2000" w:right="20"/>
        <w:spacing w:after="0" w:line="287" w:lineRule="auto"/>
        <w:rPr>
          <w:sz w:val="20"/>
          <w:szCs w:val="20"/>
          <w:color w:val="auto"/>
        </w:rPr>
      </w:pPr>
      <w:r>
        <w:rPr>
          <w:rFonts w:ascii="Arial" w:cs="Arial" w:eastAsia="Arial" w:hAnsi="Arial"/>
          <w:sz w:val="16"/>
          <w:szCs w:val="16"/>
          <w:color w:val="auto"/>
        </w:rPr>
        <w:t>Notwithstanding this general position, the Companies Act provides that (i) a court may allow a shareholder to bring a derivative claim (that is, an action in respect of and on behalf of the company) in respect of a cause of action arising from a director’s negligence, default, breach of duty or breach of trust and (ii) a shareholder may bring a claim for a court order where the company’s affairs have been or are being conducted in a manner that is unfairly prejudicial to some of its shareholders.</w:t>
      </w:r>
    </w:p>
    <w:p>
      <w:pPr>
        <w:spacing w:after="0" w:line="10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7260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74"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pacing w:after="0" w:line="6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92" w:lineRule="exact"/>
        <w:rPr>
          <w:sz w:val="20"/>
          <w:szCs w:val="20"/>
          <w:color w:val="auto"/>
        </w:rPr>
      </w:pPr>
    </w:p>
    <w:p>
      <w:pPr>
        <w:ind w:left="360" w:hanging="271"/>
        <w:spacing w:after="0" w:line="259" w:lineRule="auto"/>
        <w:tabs>
          <w:tab w:leader="none" w:pos="3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92" w:lineRule="exact"/>
        <w:rPr>
          <w:rFonts w:ascii="Arial" w:cs="Arial" w:eastAsia="Arial" w:hAnsi="Arial"/>
          <w:sz w:val="18"/>
          <w:szCs w:val="18"/>
          <w:color w:val="auto"/>
        </w:rPr>
      </w:pPr>
    </w:p>
    <w:p>
      <w:pPr>
        <w:ind w:left="360" w:right="80" w:hanging="271"/>
        <w:spacing w:after="0" w:line="259" w:lineRule="auto"/>
        <w:tabs>
          <w:tab w:leader="none" w:pos="3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allege with particularity the efforts made by the plaintiff to obtain the action the plaintiff desires from the directors and the reasons for the plaintiff’s failure to obtain the action; or</w:t>
      </w:r>
    </w:p>
    <w:p>
      <w:pPr>
        <w:spacing w:after="0" w:line="92" w:lineRule="exact"/>
        <w:rPr>
          <w:rFonts w:ascii="Arial" w:cs="Arial" w:eastAsia="Arial" w:hAnsi="Arial"/>
          <w:sz w:val="18"/>
          <w:szCs w:val="18"/>
          <w:color w:val="auto"/>
        </w:rPr>
      </w:pPr>
    </w:p>
    <w:p>
      <w:pPr>
        <w:ind w:left="340" w:hanging="251"/>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state the reasons for not making the effort.</w:t>
      </w:r>
    </w:p>
    <w:p>
      <w:pPr>
        <w:sectPr>
          <w:pgSz w:w="11900" w:h="16838" w:orient="portrait"/>
          <w:cols w:equalWidth="0" w:num="2">
            <w:col w:w="6620" w:space="220"/>
            <w:col w:w="428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720"/>
        <w:spacing w:after="0"/>
        <w:tabs>
          <w:tab w:leader="none" w:pos="868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15240</wp:posOffset>
            </wp:positionV>
            <wp:extent cx="57950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95010" cy="8255"/>
                    </a:xfrm>
                    <a:prstGeom prst="rect">
                      <a:avLst/>
                    </a:prstGeom>
                    <a:noFill/>
                  </pic:spPr>
                </pic:pic>
              </a:graphicData>
            </a:graphic>
          </wp:anchor>
        </w:drawing>
      </w:r>
    </w:p>
    <w:p>
      <w:pPr>
        <w:spacing w:after="0" w:line="9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Additionally, the plaintiff must remain a stockholder</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6"/>
          <w:szCs w:val="16"/>
          <w:color w:val="auto"/>
        </w:rPr>
        <w:t>through the duration of the derivative suit. The action will</w:t>
      </w:r>
    </w:p>
    <w:p>
      <w:pPr>
        <w:spacing w:after="0" w:line="32" w:lineRule="exact"/>
        <w:rPr>
          <w:sz w:val="20"/>
          <w:szCs w:val="20"/>
          <w:color w:val="auto"/>
        </w:rPr>
      </w:pPr>
    </w:p>
    <w:p>
      <w:pPr>
        <w:ind w:left="6840"/>
        <w:spacing w:after="0"/>
        <w:rPr>
          <w:sz w:val="20"/>
          <w:szCs w:val="20"/>
          <w:color w:val="auto"/>
        </w:rPr>
      </w:pPr>
      <w:r>
        <w:rPr>
          <w:rFonts w:ascii="Arial" w:cs="Arial" w:eastAsia="Arial" w:hAnsi="Arial"/>
          <w:sz w:val="16"/>
          <w:szCs w:val="16"/>
          <w:color w:val="auto"/>
        </w:rPr>
        <w:t>not be dismissed or compromised without the approval of</w:t>
      </w:r>
    </w:p>
    <w:p>
      <w:pPr>
        <w:spacing w:after="0" w:line="32"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the Delaware Court of Chancery.</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ADSs representing ordinary shares are traded on The Nasdaq Global Select Market under the symbol “CNTA”.</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 of Shares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Our share register is maintained by Computershare Investor Services plc. The share register reflects only record owners of our ordinary shares and deferred shares. Holders of our ADSs are not be treated as our shareholders and their names are therefore not be entered in our share register. The depositary, the custodian or their nominees will be the holder of the ordinary shares underlying our ADSs. Holders of our ADSs have a right to receive the ordinary shares underlying their ADSs.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320" w:top="459" w:right="5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Citibank, N.A. has agreed to act as the depositary bank for the American Depositary Shares. Citibank’s depositary offices are located at 388 Greenwich Street, New York, New York 10013. ADS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N.A., London Branch, located at 25 Canada Square, Canary Wharf, London, E14 5LB, United Kingdom.</w:t>
      </w:r>
    </w:p>
    <w:p>
      <w:pPr>
        <w:spacing w:after="0" w:line="18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have appointed Citibank as depositary bank pursuant to a deposit agreement. A copy of the deposit agreement is on file with the SEC as an exhibit to a Registration Statement on Form F-6. A copy of the deposit agreement may be obtained from the SEC’s website (www.sec.gov). Please refer to Registration Number 333-256385 when retrieving such copy.</w:t>
      </w:r>
    </w:p>
    <w:p>
      <w:pPr>
        <w:spacing w:after="0" w:line="184"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are providing you with a summary description of the material terms of the ADSs and of the material rights of owners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8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Each ADS represents the right to receive, and to exercise the beneficial ownership interests in, one ordinary share that is on deposit with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We and the depositary bank may agree to change the ADS-to-Share ratio by amending the deposit agreement. This amendment may give rise to, or change, the depositary fees payable by ADS owners. The custodian, the depositary bank and their respective nominees will hold all 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spacing w:after="0" w:line="174" w:lineRule="exact"/>
        <w:rPr>
          <w:sz w:val="20"/>
          <w:szCs w:val="20"/>
          <w:color w:val="auto"/>
        </w:rPr>
      </w:pPr>
    </w:p>
    <w:p>
      <w:pPr>
        <w:jc w:val="both"/>
        <w:ind w:left="120" w:right="60"/>
        <w:spacing w:after="0" w:line="257" w:lineRule="auto"/>
        <w:rPr>
          <w:sz w:val="20"/>
          <w:szCs w:val="20"/>
          <w:color w:val="auto"/>
        </w:rPr>
      </w:pPr>
      <w:r>
        <w:rPr>
          <w:rFonts w:ascii="Arial" w:cs="Arial" w:eastAsia="Arial" w:hAnsi="Arial"/>
          <w:sz w:val="18"/>
          <w:szCs w:val="18"/>
          <w:color w:val="auto"/>
        </w:rPr>
        <w:t>Owners of our ADSs will become a party to the deposit agreement and therefore will be bound to its terms and to the terms of any ADR that represents such ADSs. The deposit agreement and the ADR specify our rights and obligations as well as the rights and obligations of owners of ADSs and those of the depositary bank. ADS holders appoint the depositary bank to act on their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188"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In addition, applicable laws and regulations may require holders of ADSs to satisfy reporting requirements and obtain regulatory approvals in certain circumstances. holders of ADSs are solely responsible for complying with such reporting requirements and obtaining such approvals. Neither the depositary bank, the custodian, us or any of their or our respective agents or affiliates shall be required to take any actions whatsoever on behalf of holders of ADSs to satisfy such reporting requirements or obtain such regulatory approvals under applicable laws and regulations.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Owners of ADSs, will not be treated as one of our shareholders and will not have direct shareholder rights. The depositary bank will hold, on the ADS holders’ behalf, the shareholder rights attached to the ordinary shares underlying such ADSs. Owners of ADSs will be able to exercise the shareholders rights for the ordinary shares represented by such ADSs through the depositary bank only to the extent contemplated in the deposit agreement. To exercise any shareholder rights not contemplated in the deposit agreement a holder of ADSs will, as an ADS owner, need to arrange for the cancellation of such ADSs and become a direct shareholder.</w:t>
      </w:r>
    </w:p>
    <w:p>
      <w:pPr>
        <w:spacing w:after="0" w:line="18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manner in which ADSs are owned (e.g., in a brokerage account vs. as registered holder, or as holder of certificated vs. uncertificated ADSs) may affect the rights and obligations, and the manner in which, and extent to which, the depositary bank’s services are made available to the holder of ADSs. Owners of ADSs may hold their ADSs either by means of an ADR registered in their name, through a brokerage or safekeeping account, or through an account established by the depositary bank in their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an ADS owner decides to hold their ADSs through their brokerage or safekeeping account, such holder must rely on the procedures of their broker or bank to assert their rights as ADS owner. Banks and brokers typically hold securities such as the ADSs through clearing and settlement systems such as DTC. The procedures of such clearing and settlement systems may limit such holder’s ability to exercise their rights as an owner of ADSs. ADS owners should consult with their broker or bank if they have any questions concerning these limitations and procedures. All ADSs held through DTC will be registered in the name of a nominee of DTC. This summary description assumes holders of ADSs have opted to own the ADSs directly by means of an ADS registered in their name and, as such, we will refer to the owner as the “holder.” This summary also assumes holders will own ADSs at the relevant time.</w:t>
      </w:r>
    </w:p>
    <w:p>
      <w:pPr>
        <w:spacing w:after="0" w:line="17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registration of the ordinary shares in the name of the depositary bank or the custodian shall, to the maximum extent permitted by applicable law, vest in the depositary bank or the custodian the record ownership in the applicable ordinary shares with the beneficial ownership rights and interests in such ordinary shares being at all times vested with the beneficial owners of the ADSs representing the ordinary shares. The depositary bank or the custodian shall at all times be entitled to exercise the beneficial ownership rights in all deposited property, in each case only on behalf of the holders and beneficial owners of the ADSs representing the deposited property.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Distributions</w:t>
      </w:r>
    </w:p>
    <w:p>
      <w:pPr>
        <w:spacing w:after="0" w:line="121"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Holder of ADSs generally have the right to receive the distributions we make on the securities deposited with the custodian. Receipt of these distributions by an ADS holder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117" w:lineRule="exact"/>
        <w:rPr>
          <w:sz w:val="20"/>
          <w:szCs w:val="20"/>
          <w:color w:val="auto"/>
        </w:rPr>
      </w:pPr>
    </w:p>
    <w:p>
      <w:pPr>
        <w:jc w:val="both"/>
        <w:ind w:left="120" w:right="340"/>
        <w:spacing w:after="0" w:line="286" w:lineRule="auto"/>
        <w:rPr>
          <w:sz w:val="20"/>
          <w:szCs w:val="20"/>
          <w:color w:val="auto"/>
        </w:rPr>
      </w:pPr>
      <w:r>
        <w:rPr>
          <w:rFonts w:ascii="Arial" w:cs="Arial" w:eastAsia="Arial" w:hAnsi="Arial"/>
          <w:sz w:val="17"/>
          <w:szCs w:val="17"/>
          <w:color w:val="auto"/>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English laws and regulations.</w:t>
      </w:r>
    </w:p>
    <w:p>
      <w:pPr>
        <w:spacing w:after="0" w:line="16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 xml:space="preserve">Whenever we make a free distribution of ordinary shares for the securities on deposit with the custodian, we will deposit the applicable number of ordinary shares with the custodian. Upon receipt of confirmation of such deposit, the depositary bank will </w:t>
      </w:r>
      <w:r>
        <w:rPr>
          <w:rFonts w:ascii="Arial" w:cs="Arial" w:eastAsia="Arial" w:hAnsi="Arial"/>
          <w:sz w:val="18"/>
          <w:szCs w:val="18"/>
          <w:i w:val="1"/>
          <w:iCs w:val="1"/>
          <w:color w:val="auto"/>
        </w:rPr>
        <w:t>either</w:t>
      </w:r>
      <w:r>
        <w:rPr>
          <w:rFonts w:ascii="Arial" w:cs="Arial" w:eastAsia="Arial" w:hAnsi="Arial"/>
          <w:sz w:val="18"/>
          <w:szCs w:val="18"/>
          <w:color w:val="auto"/>
        </w:rPr>
        <w:t xml:space="preserve"> distribute to holders new ADSs representing the ordinary shares deposited </w:t>
      </w:r>
      <w:r>
        <w:rPr>
          <w:rFonts w:ascii="Arial" w:cs="Arial" w:eastAsia="Arial" w:hAnsi="Arial"/>
          <w:sz w:val="18"/>
          <w:szCs w:val="18"/>
          <w:i w:val="1"/>
          <w:iCs w:val="1"/>
          <w:color w:val="auto"/>
        </w:rPr>
        <w:t>or</w:t>
      </w:r>
      <w:r>
        <w:rPr>
          <w:rFonts w:ascii="Arial" w:cs="Arial" w:eastAsia="Arial" w:hAnsi="Arial"/>
          <w:sz w:val="18"/>
          <w:szCs w:val="18"/>
          <w:color w:val="auto"/>
        </w:rPr>
        <w:t xml:space="preserve"> modify the ADS-to-ordinary-share ratio, in which case each ADS held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8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distribution of new ADSs or the modification of the ADS-to-ordinary-share ratio upon a distribution of ordinary shares will be made net of the fees, expenses, taxes and governmental charges payable by holders under the terms of the deposit agreement. In order to pay such taxes or governmental charges, the depositary bank may sell all or a portion of the new ordinary shares so distributed.</w:t>
      </w:r>
    </w:p>
    <w:p>
      <w:pPr>
        <w:spacing w:after="0" w:line="184"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bank does not distribute new ADSs as described above, it may sell the ordinary shares received upon the terms described in the deposit agreement and will distribute the proceeds of the sale as in the case of a distribution of cash.</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117"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Whenever we intend to distribute rights to subscribe for additional ordinary shares, we will give prior notice to the depositary bank and we will assist the depositary bank in determining whether it is lawful and reasonably practicable to distribute rights to subscribe for additional ADSs to holders.</w:t>
      </w:r>
    </w:p>
    <w:p>
      <w:pPr>
        <w:spacing w:after="0" w:line="124"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depositary bank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Holders of ADSs may have to pay fees, expenses, taxes and other governmental charges to subscribe for the new ADSs upon the exercise of their rights. The depositary bank is not obligated to establish procedures to facilitate the distribution and exercise by holders of rights to subscribe for new ordinary shares other than in the form of ADSs.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The depositary bank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an ADS holder if:</w:t>
      </w:r>
    </w:p>
    <w:p>
      <w:pPr>
        <w:spacing w:after="0" w:line="131"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do not timely request that the rights be distributed to such holders or we request that the rights not be distributed to such holders; or</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bank;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225" w:lineRule="exact"/>
        <w:rPr>
          <w:sz w:val="20"/>
          <w:szCs w:val="20"/>
          <w:color w:val="auto"/>
        </w:rPr>
      </w:pPr>
    </w:p>
    <w:p>
      <w:pPr>
        <w:jc w:val="both"/>
        <w:ind w:left="120" w:right="180"/>
        <w:spacing w:after="0" w:line="342" w:lineRule="auto"/>
        <w:rPr>
          <w:sz w:val="20"/>
          <w:szCs w:val="20"/>
          <w:color w:val="auto"/>
        </w:rPr>
      </w:pPr>
      <w:r>
        <w:rPr>
          <w:rFonts w:ascii="Arial" w:cs="Arial" w:eastAsia="Arial" w:hAnsi="Arial"/>
          <w:sz w:val="16"/>
          <w:szCs w:val="16"/>
          <w:color w:val="auto"/>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117"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bank and will indicate whether we wish the elective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distribution to be made available to ADS holders. In such case, we will assist the depositary bank in determining whether such distribution is lawful and reasonably practicable.</w:t>
      </w:r>
    </w:p>
    <w:p>
      <w:pPr>
        <w:spacing w:after="0" w:line="170"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The depositary bank will make the election available to ADS holders only if it is reasonably practicable and if we have provided all of the documentation contemplated in the deposit agreement. In such case, the depositary bank will establish procedures to enable ADS holders to elect to receive either cash or additional ADSs, in each case as described in the deposit agreement.</w:t>
      </w:r>
    </w:p>
    <w:p>
      <w:pPr>
        <w:spacing w:after="0" w:line="184"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If the election is not made available to ADS holders, ADS holders will receive either cash or additional ADSs, depending on what a shareholder in England and Wales would receive upon failing to make an election, as more fully described in the deposit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Whenever we intend to distribute property other than cash, ordinary shares or rights to subscribe for additional ordinary shares, we will notify the depositary bank in advance and will indicate whether we wish such distribution to be made to ADS holders. If so, we will assist the depositary bank in determining whether such distribution to holders is lawful and reasonably practicable.</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If it is reasonably practicable to distribute such property to ADS holders and if we provide to the depositary bank all of the documentation contemplated in the deposit agreement, the depositary bank will distribute the property to the holders in a manner it deems practicable.</w:t>
      </w:r>
    </w:p>
    <w:p>
      <w:pPr>
        <w:spacing w:after="0" w:line="170"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The depositary bank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holders of ADSs and will sell the property if:</w:t>
      </w:r>
    </w:p>
    <w:p>
      <w:pPr>
        <w:spacing w:after="0" w:line="131" w:lineRule="exact"/>
        <w:rPr>
          <w:sz w:val="20"/>
          <w:szCs w:val="20"/>
          <w:color w:val="auto"/>
        </w:rPr>
      </w:pPr>
    </w:p>
    <w:p>
      <w:pPr>
        <w:ind w:left="1080" w:right="3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do not request that the property be distributed to holders of ADSs or if we request that the property not be distributed to holders of ADSs;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bank;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depositary bank determines that all or a portion of the distribution to holders of ADSs is not reasonably practicable.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spacing w:after="0" w:line="124"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 xml:space="preserve">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ADS holders may have to pay fees, expenses, taxes and other governmental charges upon the redemption of their ADSs. If less than all ADSs are being redeemed, the ADSs to be retired will be selected by lot or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as the depositary bank may determine.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60"/>
          </w:cols>
          <w:pgMar w:left="320" w:top="459" w:right="5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Affecting Ordinary Shares</w:t>
      </w:r>
    </w:p>
    <w:p>
      <w:pPr>
        <w:spacing w:after="0" w:line="117"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The ordinary shares held on deposit for ADSs may change from time to time. For example, there may be a change in nominal or par value, split-up, cancellation, consolidation or any other reclassification of such ordinary shares or a recapitalization, reorganization, merger, consolidation or sale of assets of the Company.</w:t>
      </w:r>
    </w:p>
    <w:p>
      <w:pPr>
        <w:spacing w:after="0" w:line="184"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If any such change were to occur, the ADSs would, to the extent permitted by law and the deposit agreement, represent the right to receive the property received or exchanged in respect of the ordinary shares held on deposit. The depositary bank may in such circumstances deliver new ADSs to the holders, amend the deposit agreement, the ADRs and the applicable Registration Statement(s) on Form F-6, call for the exchange of existing ADSs for new ADSs and take any other actions that are appropriate to reflect as to the ADSs the change affecting the ordinary shares. If the depositary bank may not lawfully distribute such property to the holders of ADSs, the depositary bank may sell such property and distribute the net proceeds to such holders as in the case of a cash distribution.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depositary bank may create ADSs on behalf of a holder if such holder or their broker deposit ordinary shares with the custodian. The depositary bank will deliver these ADSs to the person such holder indicates only after such holder pays any applicable issuance fees and any charges and taxes payable for the transfer of the ordinary shares to the custodian. The ability for a holder to deposit ordinary shares and receive ADSs may be limited by U.S. and English legal considerations applicable at the time of deposit.</w:t>
      </w:r>
    </w:p>
    <w:p>
      <w:pPr>
        <w:spacing w:after="0" w:line="187"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The issuance of ADSs may be delayed until the depositary bank or the custodian receives confirmation that all required approvals have been given and that the ordinary shares have been duly transferred to the custodian. The depositary bank will only issue ADSs in whole numbers.</w:t>
      </w:r>
    </w:p>
    <w:p>
      <w:pPr>
        <w:spacing w:after="0" w:line="14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When a holder makes a deposit of ordinary shares, such holder will be responsible for transferring good and valid title to the depositary bank. As such, such holder will be deemed to represent and warrant that:</w:t>
      </w:r>
    </w:p>
    <w:p>
      <w:pPr>
        <w:spacing w:after="0" w:line="76"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ordinary shares are duly authorized, validly issued, fully paid, non-assessable and legally obtained.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preemptive (and similar) rights, if any, with respect to such ordinary shares have been validly waived or exercised.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holder is duly authorized to deposit the ordinary shares.</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ordinary shares presented for deposit have not been stripped of any rights or entitlements.</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If any of the representations or warranties are incorrect in any way, we and the depositary bank may, at the holder’s cost and expense, take any and all actions necessary to correct the consequences of the misrepresentations.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ADR holders will be entitled to transfer, combine or split up their ADRs and the ADSs evidenced thereby. For transfers of ADRs, a holder will have to surrender the ADRs to be transferred to the depositary bank and also must:</w:t>
      </w:r>
    </w:p>
    <w:p>
      <w:pPr>
        <w:spacing w:after="0" w:line="76"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ensure that the surrendered ADR is properly endorsed or otherwise in proper form for transfer;</w:t>
      </w:r>
    </w:p>
    <w:p>
      <w:pPr>
        <w:spacing w:after="0" w:line="130" w:lineRule="exact"/>
        <w:rPr>
          <w:rFonts w:ascii="Arial" w:cs="Arial" w:eastAsia="Arial" w:hAnsi="Arial"/>
          <w:sz w:val="18"/>
          <w:szCs w:val="18"/>
          <w:color w:val="auto"/>
        </w:rPr>
      </w:pPr>
    </w:p>
    <w:p>
      <w:pPr>
        <w:ind w:left="5540" w:right="2580" w:hanging="4884"/>
        <w:spacing w:after="0" w:line="449" w:lineRule="auto"/>
        <w:tabs>
          <w:tab w:leader="none" w:pos="1094"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bank deems appropriate; 35</w:t>
      </w:r>
    </w:p>
    <w:p>
      <w:pPr>
        <w:sectPr>
          <w:pgSz w:w="11900" w:h="16838" w:orient="portrait"/>
          <w:cols w:equalWidth="0" w:num="1">
            <w:col w:w="11080"/>
          </w:cols>
          <w:pgMar w:left="32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To have ADRs either combined or split up, a holder must surrender the ADRs in question to the depositary bank with their request to have them combined or split up, and such holder must pay all applicable fees, charges and expenses payable by ADR holders, pursuant to the terms of the deposit agreement, upon a combination or split up of ADRs.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Holders are entitled to present their ADSs to the depositary bank for cancellation and then receive the corresponding number of underlying ordinary shares at the custodian’s offices. the ability of a holder to withdraw the ordinary shares held in respect of the ADSs may be limited by U.S. and English law considerations applicable at the time of withdrawal. In order to withdraw the ordinary shares represented by ADSs, a holder will be required to pay to the depositary bank the fees for cancellation of ADSs and any charges and taxes payable upon the transfer of the ordinary shares. Holders assume the risk for delivery of all funds and securities upon withdrawal. Once canceled, the ADSs will not have any rights under the deposit agreement.</w:t>
      </w:r>
    </w:p>
    <w:p>
      <w:pPr>
        <w:spacing w:after="0" w:line="161"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The depositary bank may ask holders who hold ADSs registered in their name to provide proof of identity and genuineness of any signature and such other documents as the depositary bank may deem appropriate before it will cancel such holders’ ADSs. The withdrawal of the ordinary shares represented by ADSs may be delayed until the depositary bank receives satisfactory evidence of compliance with all applicable laws and regulations. The depositary bank will only accept ADSs for cancellation that represent a whole number of securities on deposit.</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ADS holders will have the right to withdraw the securities represented by their ADSs at any time except for:</w:t>
      </w:r>
    </w:p>
    <w:p>
      <w:pPr>
        <w:spacing w:after="0" w:line="131" w:lineRule="exact"/>
        <w:rPr>
          <w:sz w:val="20"/>
          <w:szCs w:val="20"/>
          <w:color w:val="auto"/>
        </w:rPr>
      </w:pPr>
    </w:p>
    <w:p>
      <w:pPr>
        <w:ind w:left="1080" w:right="42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Obligations to pay fees, taxes and similar charges.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w:t>
      </w:r>
    </w:p>
    <w:p>
      <w:pPr>
        <w:spacing w:after="0" w:line="22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deposit agreement may not be modified to impair ADS holders’ right to withdraw the securities represented by their ADSs except to comply with mandatory provisions of law.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ADS holders generally have the right under the deposit agreement to instruct the depositary bank to exercise the voting rights for the ordinary shares represented by their ADSs. The voting rights of holders of ordinary shares are described in “Description of Share Capital and Articles of Association.”</w:t>
      </w:r>
    </w:p>
    <w:p>
      <w:pPr>
        <w:spacing w:after="0" w:line="124"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At our request, the depositary bank will distribute to ADS holders any notice of shareholders’ meeting received from us together with information explaining how to instruct the depositary bank to exercise the voting rights of the securities represented by ADSs. In lieu of distributing such materials, the depositary bank may distribute to holders of ADSs instructions on how to retrieve such materials upon request.</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40"/>
          </w:cols>
          <w:pgMar w:left="320" w:top="459" w:right="5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the depositary bank timely receives voting instructions from a holder of ADSs, it will endeavor to vote the securities (in person or by proxy)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represented by the holder’s ADSs as follows:</w:t>
      </w:r>
    </w:p>
    <w:p>
      <w:pPr>
        <w:spacing w:after="0" w:line="116" w:lineRule="exact"/>
        <w:rPr>
          <w:sz w:val="20"/>
          <w:szCs w:val="20"/>
          <w:color w:val="auto"/>
        </w:rPr>
      </w:pPr>
    </w:p>
    <w:p>
      <w:pPr>
        <w:ind w:left="1080" w:right="80" w:hanging="424"/>
        <w:spacing w:after="0" w:line="34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In the event of voting by show of hands</w:t>
      </w:r>
      <w:r>
        <w:rPr>
          <w:rFonts w:ascii="Arial" w:cs="Arial" w:eastAsia="Arial" w:hAnsi="Arial"/>
          <w:sz w:val="16"/>
          <w:szCs w:val="16"/>
          <w:color w:val="auto"/>
        </w:rPr>
        <w:t>, the depositary bank will vote (or cause the custodian to vote) all ordinary shares held on deposit at</w:t>
      </w:r>
      <w:r>
        <w:rPr>
          <w:rFonts w:ascii="Arial" w:cs="Arial" w:eastAsia="Arial" w:hAnsi="Arial"/>
          <w:sz w:val="16"/>
          <w:szCs w:val="16"/>
          <w:i w:val="1"/>
          <w:iCs w:val="1"/>
          <w:color w:val="auto"/>
        </w:rPr>
        <w:t xml:space="preserve"> </w:t>
      </w:r>
      <w:r>
        <w:rPr>
          <w:rFonts w:ascii="Arial" w:cs="Arial" w:eastAsia="Arial" w:hAnsi="Arial"/>
          <w:sz w:val="16"/>
          <w:szCs w:val="16"/>
          <w:color w:val="auto"/>
        </w:rPr>
        <w:t>that time in accordance with the voting instructions received from a majority of holders of ADSs who provide timely voting instructions.</w:t>
      </w:r>
    </w:p>
    <w:p>
      <w:pPr>
        <w:spacing w:after="0" w:line="29" w:lineRule="exact"/>
        <w:rPr>
          <w:rFonts w:ascii="Arial" w:cs="Arial" w:eastAsia="Arial" w:hAnsi="Arial"/>
          <w:sz w:val="16"/>
          <w:szCs w:val="16"/>
          <w:color w:val="auto"/>
        </w:rPr>
      </w:pPr>
    </w:p>
    <w:p>
      <w:pPr>
        <w:ind w:left="1080" w:right="7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In the event of voting by poll</w:t>
      </w:r>
      <w:r>
        <w:rPr>
          <w:rFonts w:ascii="Arial" w:cs="Arial" w:eastAsia="Arial" w:hAnsi="Arial"/>
          <w:sz w:val="18"/>
          <w:szCs w:val="18"/>
          <w:color w:val="auto"/>
        </w:rPr>
        <w:t>, the depositary bank will vote (or cause the Custodian to vote) the ordinary shares held on deposit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voting instructions received from the holders of ADSs.</w:t>
      </w:r>
    </w:p>
    <w:p>
      <w:pPr>
        <w:spacing w:after="0" w:line="170"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in the deposit agreement). The ability of the depositary to carry out voting instructions may be limited by practical and legal limitations and the terms of the securities on deposit. We cannot assure ADS holders that they will receive voting materials in time to enable them to return voting instructions to the depositary in a timely manner.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Charges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ADS holders are required to pay the following fees under the terms of the deposit agreement: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100" w:type="dxa"/>
            <w:vAlign w:val="bottom"/>
          </w:tcPr>
          <w:p>
            <w:pPr>
              <w:spacing w:after="0"/>
              <w:rPr>
                <w:sz w:val="20"/>
                <w:szCs w:val="20"/>
                <w:color w:val="auto"/>
              </w:rPr>
            </w:pPr>
            <w:r>
              <w:rPr>
                <w:rFonts w:ascii="Arial" w:cs="Arial" w:eastAsia="Arial" w:hAnsi="Arial"/>
                <w:sz w:val="14"/>
                <w:szCs w:val="14"/>
                <w:b w:val="1"/>
                <w:bCs w:val="1"/>
                <w:color w:val="auto"/>
              </w:rPr>
              <w:t>Service</w:t>
            </w:r>
          </w:p>
        </w:tc>
        <w:tc>
          <w:tcPr>
            <w:tcW w:w="6920" w:type="dxa"/>
            <w:vAlign w:val="bottom"/>
            <w:tcBorders>
              <w:bottom w:val="single" w:sz="8" w:color="auto"/>
            </w:tcBorders>
          </w:tcPr>
          <w:p>
            <w:pPr>
              <w:ind w:left="3320"/>
              <w:spacing w:after="0"/>
              <w:rPr>
                <w:sz w:val="20"/>
                <w:szCs w:val="20"/>
                <w:color w:val="auto"/>
              </w:rPr>
            </w:pPr>
            <w:r>
              <w:rPr>
                <w:rFonts w:ascii="Arial" w:cs="Arial" w:eastAsia="Arial" w:hAnsi="Arial"/>
                <w:sz w:val="14"/>
                <w:szCs w:val="14"/>
                <w:b w:val="1"/>
                <w:bCs w:val="1"/>
                <w:color w:val="auto"/>
              </w:rPr>
              <w:t>Fees</w:t>
            </w:r>
          </w:p>
        </w:tc>
      </w:tr>
      <w:tr>
        <w:trPr>
          <w:trHeight w:val="182"/>
        </w:trPr>
        <w:tc>
          <w:tcPr>
            <w:tcW w:w="4100" w:type="dxa"/>
            <w:vAlign w:val="bottom"/>
          </w:tcPr>
          <w:p>
            <w:pPr>
              <w:ind w:left="80"/>
              <w:spacing w:after="0" w:line="182" w:lineRule="exact"/>
              <w:rPr>
                <w:sz w:val="20"/>
                <w:szCs w:val="20"/>
                <w:color w:val="auto"/>
              </w:rPr>
            </w:pPr>
            <w:r>
              <w:rPr>
                <w:rFonts w:ascii="Arial" w:cs="Arial" w:eastAsia="Arial" w:hAnsi="Arial"/>
                <w:sz w:val="18"/>
                <w:szCs w:val="18"/>
                <w:color w:val="auto"/>
                <w:w w:val="96"/>
              </w:rPr>
              <w:t>•  Issuance of ADSs (e.g., an issuance of ADS upon</w:t>
            </w:r>
          </w:p>
        </w:tc>
        <w:tc>
          <w:tcPr>
            <w:tcW w:w="6920" w:type="dxa"/>
            <w:vAlign w:val="bottom"/>
          </w:tcPr>
          <w:p>
            <w:pPr>
              <w:spacing w:after="0"/>
              <w:rPr>
                <w:sz w:val="15"/>
                <w:szCs w:val="15"/>
                <w:color w:val="auto"/>
              </w:rPr>
            </w:pP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w w:val="92"/>
              </w:rPr>
              <w:t>a deposit of ordinary shares, upon a change in the</w:t>
            </w:r>
          </w:p>
        </w:tc>
        <w:tc>
          <w:tcPr>
            <w:tcW w:w="6920" w:type="dxa"/>
            <w:vAlign w:val="bottom"/>
          </w:tcPr>
          <w:p>
            <w:pPr>
              <w:spacing w:after="0"/>
              <w:rPr>
                <w:sz w:val="18"/>
                <w:szCs w:val="18"/>
                <w:color w:val="auto"/>
              </w:rPr>
            </w:pP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rPr>
              <w:t>ADS(s)-to-ordinary-share(s) ratio, or for any</w:t>
            </w:r>
          </w:p>
        </w:tc>
        <w:tc>
          <w:tcPr>
            <w:tcW w:w="6920" w:type="dxa"/>
            <w:vAlign w:val="bottom"/>
          </w:tcPr>
          <w:p>
            <w:pPr>
              <w:spacing w:after="0"/>
              <w:rPr>
                <w:sz w:val="18"/>
                <w:szCs w:val="18"/>
                <w:color w:val="auto"/>
              </w:rPr>
            </w:pP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rPr>
              <w:t>other reason), excluding ADS issuances as a</w:t>
            </w:r>
          </w:p>
        </w:tc>
        <w:tc>
          <w:tcPr>
            <w:tcW w:w="6920" w:type="dxa"/>
            <w:vAlign w:val="bottom"/>
          </w:tcPr>
          <w:p>
            <w:pPr>
              <w:spacing w:after="0"/>
              <w:rPr>
                <w:sz w:val="18"/>
                <w:szCs w:val="18"/>
                <w:color w:val="auto"/>
              </w:rPr>
            </w:pPr>
          </w:p>
        </w:tc>
      </w:tr>
      <w:tr>
        <w:trPr>
          <w:trHeight w:val="230"/>
        </w:trPr>
        <w:tc>
          <w:tcPr>
            <w:tcW w:w="4100" w:type="dxa"/>
            <w:vAlign w:val="bottom"/>
          </w:tcPr>
          <w:p>
            <w:pPr>
              <w:ind w:left="360"/>
              <w:spacing w:after="0"/>
              <w:rPr>
                <w:sz w:val="20"/>
                <w:szCs w:val="20"/>
                <w:color w:val="auto"/>
              </w:rPr>
            </w:pPr>
            <w:r>
              <w:rPr>
                <w:rFonts w:ascii="Arial" w:cs="Arial" w:eastAsia="Arial" w:hAnsi="Arial"/>
                <w:sz w:val="18"/>
                <w:szCs w:val="18"/>
                <w:color w:val="auto"/>
              </w:rPr>
              <w:t>result of distributions of shares)</w:t>
            </w:r>
          </w:p>
        </w:tc>
        <w:tc>
          <w:tcPr>
            <w:tcW w:w="6920" w:type="dxa"/>
            <w:vAlign w:val="bottom"/>
          </w:tcPr>
          <w:p>
            <w:pPr>
              <w:spacing w:after="0"/>
              <w:rPr>
                <w:sz w:val="20"/>
                <w:szCs w:val="20"/>
                <w:color w:val="auto"/>
              </w:rPr>
            </w:pPr>
            <w:r>
              <w:rPr>
                <w:rFonts w:ascii="Arial" w:cs="Arial" w:eastAsia="Arial" w:hAnsi="Arial"/>
                <w:sz w:val="18"/>
                <w:szCs w:val="18"/>
                <w:color w:val="auto"/>
              </w:rPr>
              <w:t>Up to U.S. 5 ¢ per ADS issued</w:t>
            </w:r>
          </w:p>
        </w:tc>
      </w:tr>
      <w:tr>
        <w:trPr>
          <w:trHeight w:val="310"/>
        </w:trPr>
        <w:tc>
          <w:tcPr>
            <w:tcW w:w="4100" w:type="dxa"/>
            <w:vAlign w:val="bottom"/>
          </w:tcPr>
          <w:p>
            <w:pPr>
              <w:ind w:left="80"/>
              <w:spacing w:after="0"/>
              <w:rPr>
                <w:sz w:val="20"/>
                <w:szCs w:val="20"/>
                <w:color w:val="auto"/>
              </w:rPr>
            </w:pPr>
            <w:r>
              <w:rPr>
                <w:rFonts w:ascii="Arial" w:cs="Arial" w:eastAsia="Arial" w:hAnsi="Arial"/>
                <w:sz w:val="18"/>
                <w:szCs w:val="18"/>
                <w:color w:val="auto"/>
              </w:rPr>
              <w:t>•  Cancellation of ADSs (e.g., a cancellation of</w:t>
            </w:r>
          </w:p>
        </w:tc>
        <w:tc>
          <w:tcPr>
            <w:tcW w:w="6920" w:type="dxa"/>
            <w:vAlign w:val="bottom"/>
          </w:tcPr>
          <w:p>
            <w:pPr>
              <w:spacing w:after="0"/>
              <w:rPr>
                <w:sz w:val="20"/>
                <w:szCs w:val="20"/>
                <w:color w:val="auto"/>
              </w:rPr>
            </w:pPr>
            <w:r>
              <w:rPr>
                <w:rFonts w:ascii="Arial" w:cs="Arial" w:eastAsia="Arial" w:hAnsi="Arial"/>
                <w:sz w:val="18"/>
                <w:szCs w:val="18"/>
                <w:color w:val="auto"/>
              </w:rPr>
              <w:t>Up to U.S. 5 ¢ per ADS cancelled</w:t>
            </w: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w w:val="98"/>
              </w:rPr>
              <w:t>ADSs for delivery of deposited property, upon a</w:t>
            </w:r>
          </w:p>
        </w:tc>
        <w:tc>
          <w:tcPr>
            <w:tcW w:w="6920" w:type="dxa"/>
            <w:vAlign w:val="bottom"/>
          </w:tcPr>
          <w:p>
            <w:pPr>
              <w:spacing w:after="0"/>
              <w:rPr>
                <w:sz w:val="18"/>
                <w:szCs w:val="18"/>
                <w:color w:val="auto"/>
              </w:rPr>
            </w:pP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w w:val="97"/>
              </w:rPr>
              <w:t>change in the ADS(s)-to-ordinary-share(s) ratio,</w:t>
            </w:r>
          </w:p>
        </w:tc>
        <w:tc>
          <w:tcPr>
            <w:tcW w:w="6920" w:type="dxa"/>
            <w:vAlign w:val="bottom"/>
          </w:tcPr>
          <w:p>
            <w:pPr>
              <w:spacing w:after="0"/>
              <w:rPr>
                <w:sz w:val="18"/>
                <w:szCs w:val="18"/>
                <w:color w:val="auto"/>
              </w:rPr>
            </w:pPr>
          </w:p>
        </w:tc>
      </w:tr>
      <w:tr>
        <w:trPr>
          <w:trHeight w:val="230"/>
        </w:trPr>
        <w:tc>
          <w:tcPr>
            <w:tcW w:w="4100" w:type="dxa"/>
            <w:vAlign w:val="bottom"/>
          </w:tcPr>
          <w:p>
            <w:pPr>
              <w:ind w:left="360"/>
              <w:spacing w:after="0"/>
              <w:rPr>
                <w:sz w:val="20"/>
                <w:szCs w:val="20"/>
                <w:color w:val="auto"/>
              </w:rPr>
            </w:pPr>
            <w:r>
              <w:rPr>
                <w:rFonts w:ascii="Arial" w:cs="Arial" w:eastAsia="Arial" w:hAnsi="Arial"/>
                <w:sz w:val="18"/>
                <w:szCs w:val="18"/>
                <w:color w:val="auto"/>
              </w:rPr>
              <w:t>or for any other reason)</w:t>
            </w:r>
          </w:p>
        </w:tc>
        <w:tc>
          <w:tcPr>
            <w:tcW w:w="6920" w:type="dxa"/>
            <w:vAlign w:val="bottom"/>
          </w:tcPr>
          <w:p>
            <w:pPr>
              <w:spacing w:after="0"/>
              <w:rPr>
                <w:sz w:val="20"/>
                <w:szCs w:val="20"/>
                <w:color w:val="auto"/>
              </w:rPr>
            </w:pPr>
          </w:p>
        </w:tc>
      </w:tr>
      <w:tr>
        <w:trPr>
          <w:trHeight w:val="310"/>
        </w:trPr>
        <w:tc>
          <w:tcPr>
            <w:tcW w:w="4100" w:type="dxa"/>
            <w:vAlign w:val="bottom"/>
          </w:tcPr>
          <w:p>
            <w:pPr>
              <w:ind w:left="80"/>
              <w:spacing w:after="0"/>
              <w:rPr>
                <w:sz w:val="20"/>
                <w:szCs w:val="20"/>
                <w:color w:val="auto"/>
              </w:rPr>
            </w:pPr>
            <w:r>
              <w:rPr>
                <w:rFonts w:ascii="Arial" w:cs="Arial" w:eastAsia="Arial" w:hAnsi="Arial"/>
                <w:sz w:val="18"/>
                <w:szCs w:val="18"/>
                <w:color w:val="auto"/>
              </w:rPr>
              <w:t>•  Distribution of cash dividends or other cash</w:t>
            </w:r>
          </w:p>
        </w:tc>
        <w:tc>
          <w:tcPr>
            <w:tcW w:w="6920" w:type="dxa"/>
            <w:vAlign w:val="bottom"/>
          </w:tcPr>
          <w:p>
            <w:pPr>
              <w:spacing w:after="0"/>
              <w:rPr>
                <w:sz w:val="20"/>
                <w:szCs w:val="20"/>
                <w:color w:val="auto"/>
              </w:rPr>
            </w:pPr>
            <w:r>
              <w:rPr>
                <w:rFonts w:ascii="Arial" w:cs="Arial" w:eastAsia="Arial" w:hAnsi="Arial"/>
                <w:sz w:val="18"/>
                <w:szCs w:val="18"/>
                <w:color w:val="auto"/>
              </w:rPr>
              <w:t>Up to U.S. 5 ¢ per ADS held</w:t>
            </w: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w w:val="95"/>
              </w:rPr>
              <w:t>distributions (e.g., upon a sale of rights and other</w:t>
            </w:r>
          </w:p>
        </w:tc>
        <w:tc>
          <w:tcPr>
            <w:tcW w:w="6920" w:type="dxa"/>
            <w:vAlign w:val="bottom"/>
          </w:tcPr>
          <w:p>
            <w:pPr>
              <w:spacing w:after="0"/>
              <w:rPr>
                <w:sz w:val="18"/>
                <w:szCs w:val="18"/>
                <w:color w:val="auto"/>
              </w:rPr>
            </w:pPr>
          </w:p>
        </w:tc>
      </w:tr>
      <w:tr>
        <w:trPr>
          <w:trHeight w:val="230"/>
        </w:trPr>
        <w:tc>
          <w:tcPr>
            <w:tcW w:w="4100" w:type="dxa"/>
            <w:vAlign w:val="bottom"/>
          </w:tcPr>
          <w:p>
            <w:pPr>
              <w:ind w:left="360"/>
              <w:spacing w:after="0"/>
              <w:rPr>
                <w:sz w:val="20"/>
                <w:szCs w:val="20"/>
                <w:color w:val="auto"/>
              </w:rPr>
            </w:pPr>
            <w:r>
              <w:rPr>
                <w:rFonts w:ascii="Arial" w:cs="Arial" w:eastAsia="Arial" w:hAnsi="Arial"/>
                <w:sz w:val="18"/>
                <w:szCs w:val="18"/>
                <w:color w:val="auto"/>
              </w:rPr>
              <w:t>entitlements)</w:t>
            </w:r>
          </w:p>
        </w:tc>
        <w:tc>
          <w:tcPr>
            <w:tcW w:w="6920" w:type="dxa"/>
            <w:vAlign w:val="bottom"/>
          </w:tcPr>
          <w:p>
            <w:pPr>
              <w:spacing w:after="0"/>
              <w:rPr>
                <w:sz w:val="20"/>
                <w:szCs w:val="20"/>
                <w:color w:val="auto"/>
              </w:rPr>
            </w:pPr>
          </w:p>
        </w:tc>
      </w:tr>
      <w:tr>
        <w:trPr>
          <w:trHeight w:val="310"/>
        </w:trPr>
        <w:tc>
          <w:tcPr>
            <w:tcW w:w="4100" w:type="dxa"/>
            <w:vAlign w:val="bottom"/>
          </w:tcPr>
          <w:p>
            <w:pPr>
              <w:ind w:left="80"/>
              <w:spacing w:after="0"/>
              <w:rPr>
                <w:sz w:val="20"/>
                <w:szCs w:val="20"/>
                <w:color w:val="auto"/>
              </w:rPr>
            </w:pPr>
            <w:r>
              <w:rPr>
                <w:rFonts w:ascii="Arial" w:cs="Arial" w:eastAsia="Arial" w:hAnsi="Arial"/>
                <w:sz w:val="18"/>
                <w:szCs w:val="18"/>
                <w:color w:val="auto"/>
              </w:rPr>
              <w:t>•  Distribution of ADSs pursuant to (i) stock</w:t>
            </w:r>
          </w:p>
        </w:tc>
        <w:tc>
          <w:tcPr>
            <w:tcW w:w="6920" w:type="dxa"/>
            <w:vAlign w:val="bottom"/>
          </w:tcPr>
          <w:p>
            <w:pPr>
              <w:spacing w:after="0"/>
              <w:rPr>
                <w:sz w:val="20"/>
                <w:szCs w:val="20"/>
                <w:color w:val="auto"/>
              </w:rPr>
            </w:pPr>
            <w:r>
              <w:rPr>
                <w:rFonts w:ascii="Arial" w:cs="Arial" w:eastAsia="Arial" w:hAnsi="Arial"/>
                <w:sz w:val="18"/>
                <w:szCs w:val="18"/>
                <w:color w:val="auto"/>
              </w:rPr>
              <w:t>Up to U.S. 5 ¢ per ADS held</w:t>
            </w: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rPr>
              <w:t>dividends or other free stock distributions, or</w:t>
            </w:r>
          </w:p>
        </w:tc>
        <w:tc>
          <w:tcPr>
            <w:tcW w:w="6920" w:type="dxa"/>
            <w:vAlign w:val="bottom"/>
          </w:tcPr>
          <w:p>
            <w:pPr>
              <w:spacing w:after="0"/>
              <w:rPr>
                <w:sz w:val="18"/>
                <w:szCs w:val="18"/>
                <w:color w:val="auto"/>
              </w:rPr>
            </w:pP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rPr>
              <w:t>(ii) exercise of rights to purchase additional</w:t>
            </w:r>
          </w:p>
        </w:tc>
        <w:tc>
          <w:tcPr>
            <w:tcW w:w="6920" w:type="dxa"/>
            <w:vAlign w:val="bottom"/>
          </w:tcPr>
          <w:p>
            <w:pPr>
              <w:spacing w:after="0"/>
              <w:rPr>
                <w:sz w:val="18"/>
                <w:szCs w:val="18"/>
                <w:color w:val="auto"/>
              </w:rPr>
            </w:pPr>
          </w:p>
        </w:tc>
      </w:tr>
      <w:tr>
        <w:trPr>
          <w:trHeight w:val="230"/>
        </w:trPr>
        <w:tc>
          <w:tcPr>
            <w:tcW w:w="4100" w:type="dxa"/>
            <w:vAlign w:val="bottom"/>
          </w:tcPr>
          <w:p>
            <w:pPr>
              <w:ind w:left="360"/>
              <w:spacing w:after="0"/>
              <w:rPr>
                <w:sz w:val="20"/>
                <w:szCs w:val="20"/>
                <w:color w:val="auto"/>
              </w:rPr>
            </w:pPr>
            <w:r>
              <w:rPr>
                <w:rFonts w:ascii="Arial" w:cs="Arial" w:eastAsia="Arial" w:hAnsi="Arial"/>
                <w:sz w:val="18"/>
                <w:szCs w:val="18"/>
                <w:color w:val="auto"/>
              </w:rPr>
              <w:t>ADSs</w:t>
            </w:r>
          </w:p>
        </w:tc>
        <w:tc>
          <w:tcPr>
            <w:tcW w:w="6920" w:type="dxa"/>
            <w:vAlign w:val="bottom"/>
          </w:tcPr>
          <w:p>
            <w:pPr>
              <w:spacing w:after="0"/>
              <w:rPr>
                <w:sz w:val="20"/>
                <w:szCs w:val="20"/>
                <w:color w:val="auto"/>
              </w:rPr>
            </w:pPr>
          </w:p>
        </w:tc>
      </w:tr>
      <w:tr>
        <w:trPr>
          <w:trHeight w:val="310"/>
        </w:trPr>
        <w:tc>
          <w:tcPr>
            <w:tcW w:w="4100" w:type="dxa"/>
            <w:vAlign w:val="bottom"/>
          </w:tcPr>
          <w:p>
            <w:pPr>
              <w:ind w:left="80"/>
              <w:spacing w:after="0"/>
              <w:rPr>
                <w:sz w:val="20"/>
                <w:szCs w:val="20"/>
                <w:color w:val="auto"/>
              </w:rPr>
            </w:pPr>
            <w:r>
              <w:rPr>
                <w:rFonts w:ascii="Arial" w:cs="Arial" w:eastAsia="Arial" w:hAnsi="Arial"/>
                <w:sz w:val="18"/>
                <w:szCs w:val="18"/>
                <w:color w:val="auto"/>
              </w:rPr>
              <w:t>•  Distribution of securities other than ADSs or</w:t>
            </w:r>
          </w:p>
        </w:tc>
        <w:tc>
          <w:tcPr>
            <w:tcW w:w="6920" w:type="dxa"/>
            <w:vAlign w:val="bottom"/>
          </w:tcPr>
          <w:p>
            <w:pPr>
              <w:spacing w:after="0"/>
              <w:rPr>
                <w:sz w:val="20"/>
                <w:szCs w:val="20"/>
                <w:color w:val="auto"/>
              </w:rPr>
            </w:pPr>
            <w:r>
              <w:rPr>
                <w:rFonts w:ascii="Arial" w:cs="Arial" w:eastAsia="Arial" w:hAnsi="Arial"/>
                <w:sz w:val="18"/>
                <w:szCs w:val="18"/>
                <w:color w:val="auto"/>
              </w:rPr>
              <w:t>Up to U.S. 5 ¢ per ADS held</w:t>
            </w: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w w:val="97"/>
              </w:rPr>
              <w:t>rights to purchase additional ADSs (e.g., upon a</w:t>
            </w:r>
          </w:p>
        </w:tc>
        <w:tc>
          <w:tcPr>
            <w:tcW w:w="6920" w:type="dxa"/>
            <w:vAlign w:val="bottom"/>
          </w:tcPr>
          <w:p>
            <w:pPr>
              <w:spacing w:after="0"/>
              <w:rPr>
                <w:sz w:val="18"/>
                <w:szCs w:val="18"/>
                <w:color w:val="auto"/>
              </w:rPr>
            </w:pPr>
          </w:p>
        </w:tc>
      </w:tr>
      <w:tr>
        <w:trPr>
          <w:trHeight w:val="230"/>
        </w:trPr>
        <w:tc>
          <w:tcPr>
            <w:tcW w:w="4100" w:type="dxa"/>
            <w:vAlign w:val="bottom"/>
          </w:tcPr>
          <w:p>
            <w:pPr>
              <w:ind w:left="360"/>
              <w:spacing w:after="0"/>
              <w:rPr>
                <w:sz w:val="20"/>
                <w:szCs w:val="20"/>
                <w:color w:val="auto"/>
              </w:rPr>
            </w:pPr>
            <w:r>
              <w:rPr>
                <w:rFonts w:ascii="Arial" w:cs="Arial" w:eastAsia="Arial" w:hAnsi="Arial"/>
                <w:sz w:val="18"/>
                <w:szCs w:val="18"/>
                <w:color w:val="auto"/>
              </w:rPr>
              <w:t>spin-off)</w:t>
            </w:r>
          </w:p>
        </w:tc>
        <w:tc>
          <w:tcPr>
            <w:tcW w:w="6920" w:type="dxa"/>
            <w:vAlign w:val="bottom"/>
          </w:tcPr>
          <w:p>
            <w:pPr>
              <w:spacing w:after="0"/>
              <w:rPr>
                <w:sz w:val="20"/>
                <w:szCs w:val="20"/>
                <w:color w:val="auto"/>
              </w:rPr>
            </w:pPr>
          </w:p>
        </w:tc>
      </w:tr>
      <w:tr>
        <w:trPr>
          <w:trHeight w:val="324"/>
        </w:trPr>
        <w:tc>
          <w:tcPr>
            <w:tcW w:w="4100" w:type="dxa"/>
            <w:vAlign w:val="bottom"/>
          </w:tcPr>
          <w:p>
            <w:pPr>
              <w:ind w:left="80"/>
              <w:spacing w:after="0"/>
              <w:rPr>
                <w:sz w:val="20"/>
                <w:szCs w:val="20"/>
                <w:color w:val="auto"/>
              </w:rPr>
            </w:pPr>
            <w:r>
              <w:rPr>
                <w:rFonts w:ascii="Arial" w:cs="Arial" w:eastAsia="Arial" w:hAnsi="Arial"/>
                <w:sz w:val="18"/>
                <w:szCs w:val="18"/>
                <w:color w:val="auto"/>
              </w:rPr>
              <w:t>•  ADS Services</w:t>
            </w:r>
          </w:p>
        </w:tc>
        <w:tc>
          <w:tcPr>
            <w:tcW w:w="6920" w:type="dxa"/>
            <w:vAlign w:val="bottom"/>
          </w:tcPr>
          <w:p>
            <w:pPr>
              <w:spacing w:after="0"/>
              <w:rPr>
                <w:sz w:val="20"/>
                <w:szCs w:val="20"/>
                <w:color w:val="auto"/>
              </w:rPr>
            </w:pPr>
            <w:r>
              <w:rPr>
                <w:rFonts w:ascii="Arial" w:cs="Arial" w:eastAsia="Arial" w:hAnsi="Arial"/>
                <w:sz w:val="18"/>
                <w:szCs w:val="18"/>
                <w:color w:val="auto"/>
                <w:w w:val="90"/>
              </w:rPr>
              <w:t>Up to U.S. 5 ¢ per ADS held on the applicable record date(s) established by the depositary bank</w:t>
            </w:r>
          </w:p>
        </w:tc>
      </w:tr>
      <w:tr>
        <w:trPr>
          <w:trHeight w:val="310"/>
        </w:trPr>
        <w:tc>
          <w:tcPr>
            <w:tcW w:w="4100" w:type="dxa"/>
            <w:vAlign w:val="bottom"/>
          </w:tcPr>
          <w:p>
            <w:pPr>
              <w:ind w:left="80"/>
              <w:spacing w:after="0"/>
              <w:rPr>
                <w:sz w:val="20"/>
                <w:szCs w:val="20"/>
                <w:color w:val="auto"/>
              </w:rPr>
            </w:pPr>
            <w:r>
              <w:rPr>
                <w:rFonts w:ascii="Arial" w:cs="Arial" w:eastAsia="Arial" w:hAnsi="Arial"/>
                <w:sz w:val="18"/>
                <w:szCs w:val="18"/>
                <w:color w:val="auto"/>
              </w:rPr>
              <w:t>•  Registration of ADS transfers (e.g., upon a</w:t>
            </w:r>
          </w:p>
        </w:tc>
        <w:tc>
          <w:tcPr>
            <w:tcW w:w="6920" w:type="dxa"/>
            <w:vAlign w:val="bottom"/>
          </w:tcPr>
          <w:p>
            <w:pPr>
              <w:spacing w:after="0"/>
              <w:rPr>
                <w:sz w:val="20"/>
                <w:szCs w:val="20"/>
                <w:color w:val="auto"/>
              </w:rPr>
            </w:pPr>
            <w:r>
              <w:rPr>
                <w:rFonts w:ascii="Arial" w:cs="Arial" w:eastAsia="Arial" w:hAnsi="Arial"/>
                <w:sz w:val="18"/>
                <w:szCs w:val="18"/>
                <w:color w:val="auto"/>
              </w:rPr>
              <w:t>Up to U.S. 5 ¢ per ADS (or fraction thereof) transferred</w:t>
            </w: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rPr>
              <w:t>registration of the transfer of registered</w:t>
            </w:r>
          </w:p>
        </w:tc>
        <w:tc>
          <w:tcPr>
            <w:tcW w:w="6920" w:type="dxa"/>
            <w:vAlign w:val="bottom"/>
          </w:tcPr>
          <w:p>
            <w:pPr>
              <w:spacing w:after="0"/>
              <w:rPr>
                <w:sz w:val="18"/>
                <w:szCs w:val="18"/>
                <w:color w:val="auto"/>
              </w:rPr>
            </w:pP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rPr>
              <w:t>ownership of ADSs, upon a transfer of ADSs</w:t>
            </w:r>
          </w:p>
        </w:tc>
        <w:tc>
          <w:tcPr>
            <w:tcW w:w="6920" w:type="dxa"/>
            <w:vAlign w:val="bottom"/>
          </w:tcPr>
          <w:p>
            <w:pPr>
              <w:spacing w:after="0"/>
              <w:rPr>
                <w:sz w:val="18"/>
                <w:szCs w:val="18"/>
                <w:color w:val="auto"/>
              </w:rPr>
            </w:pPr>
          </w:p>
        </w:tc>
      </w:tr>
      <w:tr>
        <w:trPr>
          <w:trHeight w:val="230"/>
        </w:trPr>
        <w:tc>
          <w:tcPr>
            <w:tcW w:w="4100" w:type="dxa"/>
            <w:vAlign w:val="bottom"/>
          </w:tcPr>
          <w:p>
            <w:pPr>
              <w:ind w:left="360"/>
              <w:spacing w:after="0"/>
              <w:rPr>
                <w:sz w:val="20"/>
                <w:szCs w:val="20"/>
                <w:color w:val="auto"/>
              </w:rPr>
            </w:pPr>
            <w:r>
              <w:rPr>
                <w:rFonts w:ascii="Arial" w:cs="Arial" w:eastAsia="Arial" w:hAnsi="Arial"/>
                <w:sz w:val="18"/>
                <w:szCs w:val="18"/>
                <w:color w:val="auto"/>
                <w:w w:val="95"/>
              </w:rPr>
              <w:t xml:space="preserve">into DTC and </w:t>
            </w:r>
            <w:r>
              <w:rPr>
                <w:rFonts w:ascii="Arial" w:cs="Arial" w:eastAsia="Arial" w:hAnsi="Arial"/>
                <w:sz w:val="18"/>
                <w:szCs w:val="18"/>
                <w:i w:val="1"/>
                <w:iCs w:val="1"/>
                <w:color w:val="auto"/>
                <w:w w:val="95"/>
              </w:rPr>
              <w:t>vice versa</w:t>
            </w:r>
            <w:r>
              <w:rPr>
                <w:rFonts w:ascii="Arial" w:cs="Arial" w:eastAsia="Arial" w:hAnsi="Arial"/>
                <w:sz w:val="18"/>
                <w:szCs w:val="18"/>
                <w:color w:val="auto"/>
                <w:w w:val="95"/>
              </w:rPr>
              <w:t>, or for any other reason)</w:t>
            </w:r>
          </w:p>
        </w:tc>
        <w:tc>
          <w:tcPr>
            <w:tcW w:w="6920" w:type="dxa"/>
            <w:vAlign w:val="bottom"/>
          </w:tcPr>
          <w:p>
            <w:pPr>
              <w:spacing w:after="0"/>
              <w:rPr>
                <w:sz w:val="20"/>
                <w:szCs w:val="20"/>
                <w:color w:val="auto"/>
              </w:rPr>
            </w:pPr>
          </w:p>
        </w:tc>
      </w:tr>
      <w:tr>
        <w:trPr>
          <w:trHeight w:val="310"/>
        </w:trPr>
        <w:tc>
          <w:tcPr>
            <w:tcW w:w="4100" w:type="dxa"/>
            <w:vAlign w:val="bottom"/>
          </w:tcPr>
          <w:p>
            <w:pPr>
              <w:ind w:left="80"/>
              <w:spacing w:after="0"/>
              <w:rPr>
                <w:sz w:val="20"/>
                <w:szCs w:val="20"/>
                <w:color w:val="auto"/>
              </w:rPr>
            </w:pPr>
            <w:r>
              <w:rPr>
                <w:rFonts w:ascii="Arial" w:cs="Arial" w:eastAsia="Arial" w:hAnsi="Arial"/>
                <w:sz w:val="18"/>
                <w:szCs w:val="18"/>
                <w:color w:val="auto"/>
              </w:rPr>
              <w:t>•  Conversion of ADSs of one series for ADSs of</w:t>
            </w:r>
          </w:p>
        </w:tc>
        <w:tc>
          <w:tcPr>
            <w:tcW w:w="6920" w:type="dxa"/>
            <w:vAlign w:val="bottom"/>
          </w:tcPr>
          <w:p>
            <w:pPr>
              <w:spacing w:after="0"/>
              <w:rPr>
                <w:sz w:val="20"/>
                <w:szCs w:val="20"/>
                <w:color w:val="auto"/>
              </w:rPr>
            </w:pPr>
            <w:r>
              <w:rPr>
                <w:rFonts w:ascii="Arial" w:cs="Arial" w:eastAsia="Arial" w:hAnsi="Arial"/>
                <w:sz w:val="18"/>
                <w:szCs w:val="18"/>
                <w:color w:val="auto"/>
              </w:rPr>
              <w:t>Up to U.S. 5 ¢ per ADS (or fraction thereof) converted</w:t>
            </w: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w w:val="99"/>
              </w:rPr>
              <w:t>another series (e.g., upon conversion of Partial</w:t>
            </w:r>
          </w:p>
        </w:tc>
        <w:tc>
          <w:tcPr>
            <w:tcW w:w="6920" w:type="dxa"/>
            <w:vAlign w:val="bottom"/>
          </w:tcPr>
          <w:p>
            <w:pPr>
              <w:spacing w:after="0"/>
              <w:rPr>
                <w:sz w:val="18"/>
                <w:szCs w:val="18"/>
                <w:color w:val="auto"/>
              </w:rPr>
            </w:pPr>
          </w:p>
        </w:tc>
      </w:tr>
      <w:tr>
        <w:trPr>
          <w:trHeight w:val="230"/>
        </w:trPr>
        <w:tc>
          <w:tcPr>
            <w:tcW w:w="4100" w:type="dxa"/>
            <w:vAlign w:val="bottom"/>
          </w:tcPr>
          <w:p>
            <w:pPr>
              <w:ind w:left="360"/>
              <w:spacing w:after="0"/>
              <w:rPr>
                <w:sz w:val="20"/>
                <w:szCs w:val="20"/>
                <w:color w:val="auto"/>
              </w:rPr>
            </w:pPr>
            <w:r>
              <w:rPr>
                <w:rFonts w:ascii="Arial" w:cs="Arial" w:eastAsia="Arial" w:hAnsi="Arial"/>
                <w:sz w:val="18"/>
                <w:szCs w:val="18"/>
                <w:color w:val="auto"/>
                <w:w w:val="99"/>
              </w:rPr>
              <w:t>Entitlement ADSs for Full Entitlement ADSs, or</w:t>
            </w:r>
          </w:p>
        </w:tc>
        <w:tc>
          <w:tcPr>
            <w:tcW w:w="6920" w:type="dxa"/>
            <w:vAlign w:val="bottom"/>
          </w:tcPr>
          <w:p>
            <w:pPr>
              <w:spacing w:after="0"/>
              <w:rPr>
                <w:sz w:val="20"/>
                <w:szCs w:val="20"/>
                <w:color w:val="auto"/>
              </w:rPr>
            </w:pPr>
          </w:p>
        </w:tc>
      </w:tr>
      <w:tr>
        <w:trPr>
          <w:trHeight w:val="364"/>
        </w:trPr>
        <w:tc>
          <w:tcPr>
            <w:tcW w:w="4100" w:type="dxa"/>
            <w:vAlign w:val="bottom"/>
          </w:tcPr>
          <w:p>
            <w:pPr>
              <w:spacing w:after="0"/>
              <w:rPr>
                <w:sz w:val="24"/>
                <w:szCs w:val="24"/>
                <w:color w:val="auto"/>
              </w:rPr>
            </w:pPr>
          </w:p>
        </w:tc>
        <w:tc>
          <w:tcPr>
            <w:tcW w:w="6920" w:type="dxa"/>
            <w:vAlign w:val="bottom"/>
          </w:tcPr>
          <w:p>
            <w:pPr>
              <w:ind w:left="1320"/>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upon conversion of Restricted ADSs (each as defined in the Deposit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Agreement) into freely transferable ADSs, and </w:t>
      </w:r>
      <w:r>
        <w:rPr>
          <w:rFonts w:ascii="Arial" w:cs="Arial" w:eastAsia="Arial" w:hAnsi="Arial"/>
          <w:sz w:val="18"/>
          <w:szCs w:val="18"/>
          <w:i w:val="1"/>
          <w:iCs w:val="1"/>
          <w:color w:val="auto"/>
        </w:rPr>
        <w:t>vice versa</w:t>
      </w:r>
      <w:r>
        <w:rPr>
          <w:rFonts w:ascii="Arial" w:cs="Arial" w:eastAsia="Arial" w:hAnsi="Arial"/>
          <w:sz w:val="18"/>
          <w:szCs w:val="18"/>
          <w:color w:val="auto"/>
        </w:rPr>
        <w:t>).</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ADS holders may also be responsible to pay certain charges such as:</w:t>
      </w:r>
    </w:p>
    <w:p>
      <w:pPr>
        <w:spacing w:after="0" w:line="131"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30"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bank or any nominees upon the making of deposits and withdrawals, respectively;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fees, expenses, spreads, taxes and other charges of the depositary bank and/or service providers (which may be a division, branch or affiliate of the depositary bank) in the conversion of foreign currency;</w:t>
      </w:r>
    </w:p>
    <w:p>
      <w:pPr>
        <w:spacing w:after="0" w:line="75" w:lineRule="exact"/>
        <w:rPr>
          <w:rFonts w:ascii="Arial" w:cs="Arial" w:eastAsia="Arial" w:hAnsi="Arial"/>
          <w:sz w:val="18"/>
          <w:szCs w:val="18"/>
          <w:color w:val="auto"/>
        </w:rPr>
      </w:pPr>
    </w:p>
    <w:p>
      <w:pPr>
        <w:ind w:left="1080" w:right="500" w:hanging="424"/>
        <w:spacing w:after="0" w:line="308"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reasonable and customary out-of-pocket expenses incurred by the depositary bank in connection with compliance with exchange control regulations and other regulatory requirements applicable to ordinary shares, ADSs and ADRs;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bank, the custodian, or any nominee in connection with the ADR program.</w:t>
      </w:r>
    </w:p>
    <w:p>
      <w:pPr>
        <w:spacing w:after="0" w:line="24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67"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closing of the ADS offering. Note that the fees and charges ADS holders may be required to pay may vary over time and may be changed by us and by the depositary bank. ADS holders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and Termination</w:t>
      </w:r>
    </w:p>
    <w:p>
      <w:pPr>
        <w:spacing w:after="0" w:line="12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may agree with the depositary bank to modify the deposit agreement at any time without the consent of ADS holders. We undertake to give holders 30 days’ prior notice of any modifications that would materially prejudice any of their substantial rights under the deposit agreement. We will not consider to be materially prejudicial to ADS holders’ substantial rights any modifications or supplements that are reasonably necessary for the ADSs to be registered under the Securities Act or to be eligible for book-entry settlement, in each case without imposing or increasing the fees and charges ADS holders are required to pay. In addition, we may not be able to provide ADS holders with prior notice of any modifications or supplements that are required to accommodate compliance with applicable provisions of law.</w:t>
      </w:r>
    </w:p>
    <w:p>
      <w:pPr>
        <w:spacing w:after="0" w:line="178"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ADS holders are bound by the modifications to the deposit agreement if such holder continues to hold their ADSs after the modifications to the deposit agreement become effective. The deposit agreement cannot be amended to prevent ADS holders from withdrawing the ordinary shares represented by their ADSs (except as permitted by law).</w:t>
      </w:r>
    </w:p>
    <w:p>
      <w:pPr>
        <w:spacing w:after="0" w:line="184"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the rights of ADS holders under the deposit agreement will be unaffected.</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After termination, the depositary bank will continue to collect distributions received (but will not distribute any such property until an ADS holder requests the cancellation of their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spacing w:after="0" w:line="18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In connection with any termination of the deposit agreement, the depositary bank may make available to owners of ADSs a means to withdraw the ordinary shares represented by ADSs and to direct the depositary of such ordinary shares into an unsponsored American depositary share program established by the depositary bank.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depositary bank will maintain ADS holder records at its depositary office. ADS holders may inspect such records at such office during regular business hours but solely for the purpose of communicating with other holders in the interest of business matters relating to the ADSs and the deposit agreement.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depositary bank will maintain in New York facilities to record and process the issuance, cancellation, combination, split-up and transfer of ADSs.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facilities may be closed from time to time, to the extent not prohibited by law.</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deposit agreement limits our obligations and the depositary bank’s obligations to holders of ADSs. Please note the following:</w:t>
      </w:r>
    </w:p>
    <w:p>
      <w:pPr>
        <w:spacing w:after="0" w:line="131" w:lineRule="exact"/>
        <w:rPr>
          <w:sz w:val="20"/>
          <w:szCs w:val="20"/>
          <w:color w:val="auto"/>
        </w:rPr>
      </w:pPr>
    </w:p>
    <w:p>
      <w:pPr>
        <w:ind w:left="1080" w:right="20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and the depositary bank are obligated only to take the actions specifically stated in the deposit agreement without negligence or bad faith.</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40"/>
          </w:cols>
          <w:pgMar w:left="320" w:top="459" w:right="5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depositary bank disclaims any liability for any failure to carry out voting instructions, for any manner in which a vote is cast or for the effect of any vote, provided it acts in good faith and in accordance with the terms of the deposit agreement.</w:t>
      </w:r>
    </w:p>
    <w:p>
      <w:pPr>
        <w:spacing w:after="0" w:line="75" w:lineRule="exact"/>
        <w:rPr>
          <w:rFonts w:ascii="Arial" w:cs="Arial" w:eastAsia="Arial" w:hAnsi="Arial"/>
          <w:sz w:val="18"/>
          <w:szCs w:val="18"/>
          <w:color w:val="auto"/>
        </w:rPr>
      </w:pPr>
    </w:p>
    <w:p>
      <w:pPr>
        <w:jc w:val="both"/>
        <w:ind w:left="1080" w:right="60" w:hanging="424"/>
        <w:spacing w:after="0" w:line="275"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depositary bank disclaims any liability for any failure to determine the lawfulness or practicality of any action, for the content of any document forwarded to a holder of ADSs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and the depositary bank will not be obligated to perform any act that is inconsistent with the terms of the deposit agreement.</w:t>
      </w:r>
    </w:p>
    <w:p>
      <w:pPr>
        <w:spacing w:after="0" w:line="142" w:lineRule="exact"/>
        <w:rPr>
          <w:rFonts w:ascii="Arial" w:cs="Arial" w:eastAsia="Arial" w:hAnsi="Arial"/>
          <w:sz w:val="17"/>
          <w:szCs w:val="17"/>
          <w:color w:val="auto"/>
        </w:rPr>
      </w:pPr>
    </w:p>
    <w:p>
      <w:pPr>
        <w:ind w:left="1080" w:hanging="424"/>
        <w:spacing w:after="0" w:line="25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Incorporation, or any provision of or governing the securities on deposit, or by reason of any act of God or war or other circumstances beyond our control.</w:t>
      </w:r>
    </w:p>
    <w:p>
      <w:pPr>
        <w:spacing w:after="0" w:line="93" w:lineRule="exact"/>
        <w:rPr>
          <w:rFonts w:ascii="Arial" w:cs="Arial" w:eastAsia="Arial" w:hAnsi="Arial"/>
          <w:sz w:val="18"/>
          <w:szCs w:val="18"/>
          <w:color w:val="auto"/>
        </w:rPr>
      </w:pPr>
    </w:p>
    <w:p>
      <w:pPr>
        <w:ind w:left="1080" w:right="300" w:hanging="424"/>
        <w:spacing w:after="0" w:line="308"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and the depositary bank disclaim any liability by reason of any exercise of, or failure to exercise, any discretion provided for in the deposit agreement or in our Articles of Incorporation or in any provisions of or governing the securities on deposit.</w:t>
      </w:r>
    </w:p>
    <w:p>
      <w:pPr>
        <w:spacing w:after="0" w:line="51" w:lineRule="exact"/>
        <w:rPr>
          <w:rFonts w:ascii="Arial" w:cs="Arial" w:eastAsia="Arial" w:hAnsi="Arial"/>
          <w:sz w:val="17"/>
          <w:szCs w:val="17"/>
          <w:color w:val="auto"/>
        </w:rPr>
      </w:pPr>
    </w:p>
    <w:p>
      <w:pPr>
        <w:ind w:left="1080" w:right="20" w:hanging="424"/>
        <w:spacing w:after="0" w:line="286"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and the depositary bank further disclaim any liability for any action or inaction in reliance on the advice or information received from legal counsel, accountants, any person presenting ordinary shares for deposit, any holder of ADSs or authorized representatives thereof, or any other person believed by either of us in good faith to be competent to give such advice or information.</w:t>
      </w:r>
    </w:p>
    <w:p>
      <w:pPr>
        <w:spacing w:after="0" w:line="70" w:lineRule="exact"/>
        <w:rPr>
          <w:rFonts w:ascii="Arial" w:cs="Arial" w:eastAsia="Arial" w:hAnsi="Arial"/>
          <w:sz w:val="17"/>
          <w:szCs w:val="17"/>
          <w:color w:val="auto"/>
        </w:rPr>
      </w:pPr>
    </w:p>
    <w:p>
      <w:pPr>
        <w:ind w:left="1080" w:right="10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and the depositary bank also disclaim liability for the inability by a holder to benefit from any distribution, offering, right or other benefit that is made available to holders of ordinary shares but is not, under the terms of the deposit agreement, made available to holders of ADSs.</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and the depositary bank may rely without any liability upon any written notice, request or other document believed to be genuine and to have been signed or presented by the proper parties.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and the depositary bank also disclaim liability for any consequential or punitive damages for any breach of the terms of the deposit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disclaimer of any Securities Act liability is intended by any provision of the deposit agreement.</w:t>
      </w:r>
    </w:p>
    <w:p>
      <w:pPr>
        <w:spacing w:after="0" w:line="130"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Nothing in the deposit agreement gives rise to a partnership or joint venture, or establishes a fiduciary relationship, among us, the depositary bank and any ADS holder.</w:t>
      </w:r>
    </w:p>
    <w:p>
      <w:pPr>
        <w:spacing w:after="0" w:line="75"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295"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i w:val="1"/>
          <w:iCs w:val="1"/>
          <w:color w:val="auto"/>
        </w:rPr>
        <w:t>As the above limitations relate to our obligations and the depositary’s obligations to ADS holders under the deposit agreement, we believe that, as a matter of construction of the clause, such limitations would likely to continue to apply to ADS holders who withdraw the ordinary shares from the ADS facility with respect to obligations or liabilities incurred under the deposit agreement before the cancellation of the ADSs and the withdrawal of the ordinary shares, and such limitations would most likely not apply to ADS holders who</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80"/>
          </w:cols>
          <w:pgMar w:left="32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i w:val="1"/>
          <w:iCs w:val="1"/>
          <w:color w:val="auto"/>
        </w:rPr>
        <w:t>withdraw the ordinary shares from the ADS facility with respect to obligations or liabilities incurred after the cancellation of the ADSs and the withdrawal of the ordinary shares and not under the deposit agreement.</w:t>
      </w:r>
    </w:p>
    <w:p>
      <w:pPr>
        <w:spacing w:after="0" w:line="27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i w:val="1"/>
          <w:iCs w:val="1"/>
          <w:color w:val="auto"/>
        </w:rPr>
        <w:t>In any event, ADS holders will not be deemed, by agreeing to the terms of the deposit agreement, to have waived our or the depositary’s compliance with U.S. federal securities laws and the rules and regulations promulgated thereunder. In fact, ADS holders cannot waive our or the depositary’s compliance with U.S. federal securities laws and the rules and regulations promulgated thereunder.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ADS holders are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ADS holders are liable for any deficiency if the sale proceeds do not cover the taxes that are due.</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 distributions on behalf of the ADS holders. However, holders of ADSs may be required to provide to the depositary bank and to the custodian proof of taxpayer status and residence and such other information as the depositary bank and the custodian may require to fulfill legal obligations. Holders of ADSs are required to indemnify us, the depositary bank and the custodian for any claims with respect to taxes based on any tax benefit obtained for such holder.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Conversion</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depositary bank will arrange for the conversion of all foreign currency received into U.S. dollars if such conversion is practical, and it will distribute the U.S. dollars in accordance with the terms of the deposit agreement. Holders of ADSs may have to pay fees and expenses incurred in converting foreign currency, such as fees and expenses incurred in complying with currency exchange controls and other governmental requirements.</w:t>
      </w:r>
    </w:p>
    <w:p>
      <w:pPr>
        <w:spacing w:after="0" w:line="14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bank may take the following actions in its discretion:</w:t>
      </w:r>
    </w:p>
    <w:p>
      <w:pPr>
        <w:spacing w:after="0" w:line="76" w:lineRule="exact"/>
        <w:rPr>
          <w:sz w:val="20"/>
          <w:szCs w:val="20"/>
          <w:color w:val="auto"/>
        </w:rPr>
      </w:pPr>
    </w:p>
    <w:p>
      <w:pPr>
        <w:ind w:left="1080" w:right="16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Distribute the foreign currency to holders for whom the distribution is lawful and practical.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Law/Waiver of Jury Trial</w:t>
      </w:r>
    </w:p>
    <w:p>
      <w:pPr>
        <w:spacing w:after="0" w:line="12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deposit agreement, the ADRs and the ADSs will be interpreted in accordance with the laws of the State of New York. The rights of holders of ordinary shares (including ordinary shares represented by ADSs) is governed by the laws of England and Wales.</w:t>
      </w:r>
    </w:p>
    <w:p>
      <w:pPr>
        <w:spacing w:after="0" w:line="170"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AS A PARTY TO THE DEPOSIT AGREEMENT, HOLDERS OF ADSs IRREVOCABLY WAIVE, TO THE FULLEST EXTENT PERMITTED BY APPLICABLE LAW, THEIR RIGHT TO TRIAL BY JURY IN ANY LEGAL PROCEEDING ARISING OUT OF THE DEPOSIT AGREEMENT OR THE ADRs AGAINST US AND/OR THE DEPOSITARY BANK.</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b w:val="1"/>
          <w:bCs w:val="1"/>
          <w:i w:val="1"/>
          <w:iCs w:val="1"/>
          <w:color w:val="auto"/>
        </w:rPr>
        <w:t>The deposit agreement provides that, to the extent permitted by law, ADS holders waive the right to a jury trial of any claim they may have against us or the depositary arising out of or relating to our ordinary shares, the ADSs or the deposit agreement, including any claim under U.S. federal securities laws. If we or the depositary opposed a jury trial demand based on the waiver, the court would determine whether the waiver was enforceable in the facts and circumstances of that case in accordance with applicable case law. However, holders of ADSs will not be deemed, by agreeing to the terms of the deposit agreement, to have waived our or the depositary’s compliance with U.S. federal securities laws and the rules and regulations promulgated thereunder.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This prospectus describes the general terms and provisions of the debt securities we may offer under this prospectus.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any of the general terms and provisions described in this prospectus apply to a particular series of debt securities. You should read the applicable indenture if you do not fully understand a term or the way we use it in this prospectus.</w:t>
      </w:r>
    </w:p>
    <w:p>
      <w:pPr>
        <w:spacing w:after="0" w:line="188"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We may offer senior or subordinated debt securities, which may be convertible. Each series of debt securities may have different terms. The senior debt securities will be issued under one or more senior indentures, dated as of a date prior to such issuance, between us and the trustee identified in the applicable prospectus supplement, as amended or supplemented from time to time. We will refer to any such indenture throughout this prospectus as the “senior indenture.” Any subordinated debt securities will be issued under one or more separate indentures, dated as of a date prior to such issuance, between us and the trustee identified in the applicable prospectus supplement, as amended or supplemented from time to time. We will refer to any such indenture throughout this prospectus as the “subordinated indenture” and to the trustee under the senior or subordinated indenture as the “trustee.” The senior indenture and the subordinated indenture are sometimes collectively referred to in this prospectus as the “indentures.” The indentures will be subject to and governed by the Trust Indenture Act of 1939, as amended. We included copies of the forms of the indentures as exhibits to this registration statement of which this prospectus forms a part.</w:t>
      </w:r>
    </w:p>
    <w:p>
      <w:pPr>
        <w:spacing w:after="0" w:line="181"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w:t>
      </w:r>
    </w:p>
    <w:p>
      <w:pPr>
        <w:spacing w:after="0" w:line="184"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have summarized below the material provisions of the indentures and the debt securities, or indicated which material provisions will be described in the related prospectus supplement. The prospectus supplement relating to any particular securities offered will describe the specific terms of the debt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debt securities that are described in this prospectus or in any applicable prospectus supplement. The statements below are not complete and are subject to, and qualified in their entirety by reference to, all of the provisions of the applicable indenture, as amended or supplemented from time to time. Please read “Where You Can Find More Information” to find out how you can obtain a copy of those documents. Except as otherwise indicated, the terms of the indentures are identical. As used under this caption, the term “debt securities” includes the debt securities being offered by this prospectus and all other debt securities issued by us under the indentures.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expect that the indentures will:</w:t>
      </w:r>
    </w:p>
    <w:p>
      <w:pPr>
        <w:spacing w:after="0" w:line="131"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 limit the amount of debt securities that we may issue;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 require us to issue all of the debt securities of a series at the same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allow us to reopen a series to issue additional debt securities without the consent of the holders of the debt securities of such series;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that the debt securities will be unsecured, except as may be set forth in the applicable prospectus supplement.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Unless we give you different information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4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Each indenture will provide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131"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title of the debt securities and whether they are senior or subordinated;</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89" w:lineRule="exact"/>
        <w:rPr>
          <w:rFonts w:ascii="Arial" w:cs="Arial" w:eastAsia="Arial" w:hAnsi="Arial"/>
          <w:sz w:val="18"/>
          <w:szCs w:val="18"/>
          <w:color w:val="auto"/>
        </w:rPr>
      </w:pPr>
    </w:p>
    <w:p>
      <w:pPr>
        <w:ind w:left="1080" w:right="260" w:hanging="424"/>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ordinary shares or the method by which any such portion shall be determined;</w:t>
      </w:r>
    </w:p>
    <w:p>
      <w:pPr>
        <w:spacing w:after="0" w:line="92" w:lineRule="exact"/>
        <w:rPr>
          <w:rFonts w:ascii="Arial" w:cs="Arial" w:eastAsia="Arial" w:hAnsi="Arial"/>
          <w:sz w:val="18"/>
          <w:szCs w:val="18"/>
          <w:color w:val="auto"/>
        </w:rPr>
      </w:pPr>
    </w:p>
    <w:p>
      <w:pPr>
        <w:ind w:left="1080" w:right="380" w:hanging="424"/>
        <w:spacing w:after="0" w:line="308"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convertible, the terms on which such debt securities are convertible, including the initial conversion price or rate and the conversion period and any applicable limitations on the ownership or transferability of ordinary shares received on conversion;</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fixed or variable interest rate or rates of the debt securities, or the method by which the interest rate or rates is determined;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from which interest will accrue;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record dates for interest payment dates, or the method by which we will determine those 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basis upon which interest will be calculated if other than that of a 360-day year of twelve 30-day months;</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place or places where the principal of, and any premium, or make-whole amount, and interest on, the debt securities will be payable;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where the debt securities may be surrendered for registration of transfer or conversion or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where notices or demands to or upon us in respect of the debt securities and the applicable indenture may be served;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times, prices and other terms and conditions upon which we may redeem the debt securities;</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an obligation;</w:t>
      </w:r>
    </w:p>
    <w:p>
      <w:pPr>
        <w:spacing w:after="0" w:line="89" w:lineRule="exact"/>
        <w:rPr>
          <w:rFonts w:ascii="Arial" w:cs="Arial" w:eastAsia="Arial" w:hAnsi="Arial"/>
          <w:sz w:val="18"/>
          <w:szCs w:val="18"/>
          <w:color w:val="auto"/>
        </w:rPr>
      </w:pPr>
    </w:p>
    <w:p>
      <w:pPr>
        <w:jc w:val="both"/>
        <w:ind w:left="1080" w:right="300" w:hanging="424"/>
        <w:spacing w:after="0" w:line="286"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70"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89" w:lineRule="exact"/>
        <w:rPr>
          <w:rFonts w:ascii="Arial" w:cs="Arial" w:eastAsia="Arial" w:hAnsi="Arial"/>
          <w:sz w:val="18"/>
          <w:szCs w:val="18"/>
          <w:color w:val="auto"/>
        </w:rPr>
      </w:pPr>
    </w:p>
    <w:p>
      <w:pPr>
        <w:ind w:left="1080" w:right="500" w:hanging="424"/>
        <w:spacing w:after="0" w:line="308"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51" w:lineRule="exact"/>
        <w:rPr>
          <w:rFonts w:ascii="Arial" w:cs="Arial" w:eastAsia="Arial" w:hAnsi="Arial"/>
          <w:sz w:val="17"/>
          <w:szCs w:val="17"/>
          <w:color w:val="auto"/>
        </w:rPr>
      </w:pPr>
    </w:p>
    <w:p>
      <w:pPr>
        <w:ind w:left="1080" w:hanging="424"/>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debt securities will be in registered form, bearer form or both and (1) if in registered form, the person to whom any interest shall be payable, if other than the person in whose name the security is registered at the close of business on the regular record date for such interest, or (2) if in bearer form, the manner in which, or the person to whom, any interest on the security shall be payable if otherwise than upon presentation and surrender upon maturity;</w:t>
      </w:r>
    </w:p>
    <w:p>
      <w:pPr>
        <w:spacing w:after="0" w:line="92"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restrictions applicable to the offer, sale or delivery of debt securities in bearer form and the terms upon which securities in bearer form of the series may be exchanged for debt securities in registered form of the series and vice versa if permitted by applicable laws and regulations;</w:t>
      </w:r>
    </w:p>
    <w:p>
      <w:pPr>
        <w:spacing w:after="0" w:line="89"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identity of the depositary for securities in registered form, if such series are to be issuable as a global security;</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guarantors of each series, if any, and the extent of the guarantees (including provisions relating to seniority, subordination, security and release of the guarantees), if any;</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as of which any debt securities in bearer form or in temporary global form shall be dated if other than the original issuance date of the first security of the series to be issued;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applicability, if any, of the defeasance and covenant defeasance provisions described in this prospectus or in the applicable indenture;</w:t>
      </w:r>
    </w:p>
    <w:p>
      <w:pPr>
        <w:spacing w:after="0" w:line="153" w:lineRule="exact"/>
        <w:rPr>
          <w:rFonts w:ascii="Arial" w:cs="Arial" w:eastAsia="Arial" w:hAnsi="Arial"/>
          <w:sz w:val="16"/>
          <w:szCs w:val="16"/>
          <w:color w:val="auto"/>
        </w:rPr>
      </w:pPr>
    </w:p>
    <w:p>
      <w:pPr>
        <w:ind w:left="1080" w:right="460" w:hanging="424"/>
        <w:spacing w:after="0" w:line="342"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29" w:lineRule="exact"/>
        <w:rPr>
          <w:rFonts w:ascii="Arial" w:cs="Arial" w:eastAsia="Arial" w:hAnsi="Arial"/>
          <w:sz w:val="16"/>
          <w:szCs w:val="16"/>
          <w:color w:val="auto"/>
        </w:rPr>
      </w:pPr>
    </w:p>
    <w:p>
      <w:pPr>
        <w:ind w:left="1080" w:right="2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and under what circumstances the debt securities being offered are convertible into ordinary shares, including the conversion price or rate or the manner of calculation thereof;</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of securities upon the occurrence of such events as specified in the applicable prospectus supplement;</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name of the applicable trustee and the nature of any material relationship between the trustee and us or any of our affiliates, and the percentage of debt securities of the class necessary to require the trustee to take action;</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deletions from, modifications of, or additions to our events of default or covenants and any change in the right of any trustee or any of the holders to declare the principal amount of any of such debt securities due and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provisions related to the modification of the indentures;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applicable CUSIP numbers;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other terms of such debt securities not inconsistent with the provisions of the applicable indenture or the Trust Indenture Act.</w:t>
      </w:r>
    </w:p>
    <w:p>
      <w:pPr>
        <w:spacing w:after="0" w:line="23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may issue debt securities at a discount below their principal amount and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87"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We also may issue indexed debt securities. Payments of principal,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4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Except as described under “—Merger, Consolidation or Sale of Assets” or as may be set forth in any prospectus supplement, the debt securities will not contain any provisions that (1) would limit our ability to incur indebtedness or (2)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78"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Unless we give you different information in the applicable prospectus supplement, the principal of, and any premium or make-whole amount, and interest on, any series of the debt securities will be payable at 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Denomination, Interest, Registration and Transfer</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Unless otherwise described in the applicable prospectus supplement, the debt securities of any series will be issuable in denominations of $1,000 and integral multiples of $1,000.</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76" w:lineRule="exact"/>
        <w:rPr>
          <w:sz w:val="20"/>
          <w:szCs w:val="20"/>
          <w:color w:val="auto"/>
        </w:rPr>
      </w:pPr>
    </w:p>
    <w:p>
      <w:pPr>
        <w:jc w:val="both"/>
        <w:ind w:left="1080" w:right="22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89"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70"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Neither we, nor any trustee, will be required to:</w:t>
      </w:r>
    </w:p>
    <w:p>
      <w:pPr>
        <w:spacing w:after="0" w:line="131" w:lineRule="exact"/>
        <w:rPr>
          <w:sz w:val="20"/>
          <w:szCs w:val="20"/>
          <w:color w:val="auto"/>
        </w:rPr>
      </w:pPr>
    </w:p>
    <w:p>
      <w:pPr>
        <w:ind w:left="1080" w:right="320" w:hanging="424"/>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any series during a period beginning at the opening of business 15 calendar days before the day that the notice of redemption of any debt securities selected for redemption is mailed and ending at the close of business on the day of such mailing;</w:t>
      </w:r>
    </w:p>
    <w:p>
      <w:pPr>
        <w:spacing w:after="0" w:line="89"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indentures provide that we may, without the consent of the holders of any outstanding debt securities, (1) consolidate with, (2) sell, lease or convey all or substantially all of our assets to, or (3) merge with or into, any other entity provided that:</w:t>
      </w:r>
    </w:p>
    <w:p>
      <w:pPr>
        <w:spacing w:after="0" w:line="76" w:lineRule="exact"/>
        <w:rPr>
          <w:sz w:val="20"/>
          <w:szCs w:val="20"/>
          <w:color w:val="auto"/>
        </w:rPr>
      </w:pPr>
    </w:p>
    <w:p>
      <w:pPr>
        <w:ind w:left="1080" w:right="180" w:hanging="424"/>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each indenture;</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officers’ certificate and legal opinion covering such conditions are delivered to each applicable trustee.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120" w:right="300"/>
        <w:spacing w:after="0" w:line="286" w:lineRule="auto"/>
        <w:rPr>
          <w:sz w:val="20"/>
          <w:szCs w:val="20"/>
          <w:color w:val="auto"/>
        </w:rPr>
      </w:pPr>
      <w:r>
        <w:rPr>
          <w:rFonts w:ascii="Arial" w:cs="Arial" w:eastAsia="Arial" w:hAnsi="Arial"/>
          <w:sz w:val="17"/>
          <w:szCs w:val="17"/>
          <w:i w:val="1"/>
          <w:iCs w:val="1"/>
          <w:color w:val="auto"/>
        </w:rPr>
        <w:t>Existence</w:t>
      </w:r>
      <w:r>
        <w:rPr>
          <w:rFonts w:ascii="Arial" w:cs="Arial" w:eastAsia="Arial" w:hAnsi="Arial"/>
          <w:sz w:val="17"/>
          <w:szCs w:val="17"/>
          <w:color w:val="auto"/>
        </w:rPr>
        <w:t>. Except as permitted under “—Merger, Consolidation or Sale of Assets,” the indentures require us to do or cause to be done all things</w:t>
      </w:r>
      <w:r>
        <w:rPr>
          <w:rFonts w:ascii="Arial" w:cs="Arial" w:eastAsia="Arial" w:hAnsi="Arial"/>
          <w:sz w:val="17"/>
          <w:szCs w:val="17"/>
          <w:i w:val="1"/>
          <w:iCs w:val="1"/>
          <w:color w:val="auto"/>
        </w:rPr>
        <w:t xml:space="preserve"> </w:t>
      </w:r>
      <w:r>
        <w:rPr>
          <w:rFonts w:ascii="Arial" w:cs="Arial" w:eastAsia="Arial" w:hAnsi="Arial"/>
          <w:sz w:val="17"/>
          <w:szCs w:val="17"/>
          <w:color w:val="auto"/>
        </w:rPr>
        <w:t>necessary to 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6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color w:val="auto"/>
        </w:rPr>
        <w:t>Payment of taxes and other claims</w:t>
      </w:r>
      <w:r>
        <w:rPr>
          <w:rFonts w:ascii="Arial" w:cs="Arial" w:eastAsia="Arial" w:hAnsi="Arial"/>
          <w:sz w:val="18"/>
          <w:szCs w:val="18"/>
          <w:color w:val="auto"/>
        </w:rPr>
        <w:t>. The indentures require us to pay, discharge or cause to be paid or discharged, before they become delinquent (1) all</w:t>
      </w:r>
      <w:r>
        <w:rPr>
          <w:rFonts w:ascii="Arial" w:cs="Arial" w:eastAsia="Arial" w:hAnsi="Arial"/>
          <w:sz w:val="18"/>
          <w:szCs w:val="18"/>
          <w:i w:val="1"/>
          <w:iCs w:val="1"/>
          <w:color w:val="auto"/>
        </w:rPr>
        <w:t xml:space="preserve"> </w:t>
      </w:r>
      <w:r>
        <w:rPr>
          <w:rFonts w:ascii="Arial" w:cs="Arial" w:eastAsia="Arial" w:hAnsi="Arial"/>
          <w:sz w:val="18"/>
          <w:szCs w:val="18"/>
          <w:color w:val="auto"/>
        </w:rPr>
        <w:t>taxes, assessments and governmental charges levied or imposed on us, our subsidiaries or our subsidiaries’ income, profits or property, and (2) all lawful claims for labor, materials and supplies which, if unpaid, might by law become a lien upon our property or the property of our subsidiaries. However, we will not be required to pay, discharge or cause to be paid or discharged any such tax, assessment, charge or claim whose amount, applicability or validity is being contested in good faith by appropriate proceedings.</w:t>
      </w:r>
    </w:p>
    <w:p>
      <w:pPr>
        <w:spacing w:after="0" w:line="188"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i w:val="1"/>
          <w:iCs w:val="1"/>
          <w:color w:val="auto"/>
        </w:rPr>
        <w:t>Provision of financial information</w:t>
      </w:r>
      <w:r>
        <w:rPr>
          <w:rFonts w:ascii="Arial" w:cs="Arial" w:eastAsia="Arial" w:hAnsi="Arial"/>
          <w:sz w:val="18"/>
          <w:szCs w:val="18"/>
          <w:color w:val="auto"/>
        </w:rPr>
        <w:t>. The indentures require us to (1) within 15 days of each of the respective dates by which we are required to file our</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reports, quarterly reports and other documents with the SEC, file with the trustee copies of the annual report, quarterly report and other documents that we file with the SEC under Section 13 or 15(d) of the Exchange Act of 1934, as amended (the “Exchange Act”), (2) file with the trustee and the SEC any additional information, documents and reports regarding compliance by us with the conditions and covenants of the indentures, as required, (3) within 30 days after the filing with the trustee, mail to all holders of debt securities, as their names and addresses appear in the applicable register for such debt securities, without cost to such holders, summaries of any documents and reports required to be filed by us pursuant to (1) and (2) above, and (4) supply, promptly upon written request and payment of the reasonable cost of duplication and delivery, copies of such documents to any prospective holder.</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Additional covenants</w:t>
      </w:r>
      <w:r>
        <w:rPr>
          <w:rFonts w:ascii="Arial" w:cs="Arial" w:eastAsia="Arial" w:hAnsi="Arial"/>
          <w:sz w:val="17"/>
          <w:szCs w:val="17"/>
          <w:color w:val="auto"/>
        </w:rPr>
        <w:t>. The applicable prospectus supplement will set forth any additional covenants relating to any series of debt securities.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 Notice and Waiver</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76"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security of such series continuing for 30 calendar days;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or make-whole amount, on any debt security of such series for five business days at its stated maturity;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default in making any sinking fund payment as required for any debt security of such series for five business days;</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us continuing for 90 calendar days after written notice as provided in the applicable indenture, but not of a covenant added to the indenture solely for the benefit of a series of debt securities issued thereunder other than such series;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under any bond, debenture, note, mortgage, indenture or instrument:</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having an aggregate principal amount in excess of a minimum amount as specified in a prospectus supplement; or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0" w:firstLine="7"/>
        <w:spacing w:after="0" w:line="291" w:lineRule="auto"/>
        <w:tabs>
          <w:tab w:leader="none" w:pos="1355" w:val="left"/>
        </w:tabs>
        <w:numPr>
          <w:ilvl w:val="1"/>
          <w:numId w:val="44"/>
        </w:numPr>
        <w:rPr>
          <w:rFonts w:ascii="Arial" w:cs="Arial" w:eastAsia="Arial" w:hAnsi="Arial"/>
          <w:sz w:val="16"/>
          <w:szCs w:val="16"/>
          <w:color w:val="auto"/>
        </w:rPr>
      </w:pPr>
      <w:r>
        <w:rPr>
          <w:rFonts w:ascii="Arial" w:cs="Arial" w:eastAsia="Arial" w:hAnsi="Arial"/>
          <w:sz w:val="16"/>
          <w:szCs w:val="16"/>
          <w:color w:val="auto"/>
        </w:rPr>
        <w:t>under which there may be issued, secured or evidenced any existing or later created indebtedness for money borrowed by us or our subsidiaries, if we are directly responsible or liable as obligor or guarantor, 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specifying such default and requiring us to cause such indebtedness to be discharged or cause such acceleration to be rescinded or annulled and shall state that such notice is a “Notice of Default” under such indenture;</w:t>
      </w:r>
    </w:p>
    <w:p>
      <w:pPr>
        <w:spacing w:after="0" w:line="71" w:lineRule="exact"/>
        <w:rPr>
          <w:rFonts w:ascii="Arial" w:cs="Arial" w:eastAsia="Arial" w:hAnsi="Arial"/>
          <w:sz w:val="16"/>
          <w:szCs w:val="16"/>
          <w:color w:val="auto"/>
        </w:rPr>
      </w:pPr>
    </w:p>
    <w:p>
      <w:pPr>
        <w:ind w:left="1080" w:right="70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bankruptcy, insolvency or reorganization, or court appointment of a receiver, liquidator or trustee of Centessa Therapeutics or any significant subsidiary that, if contested, is not dismissed or stayed within 90 calendar days;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pacing w:after="0" w:line="22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When we use the term “significant subsidiary,” we refer to the meaning ascribed to such term in Rule 1-02 of Regulation S-X promulgated under the Securities Act of 1933, as amended (the “Securities Act”).</w:t>
      </w:r>
    </w:p>
    <w:p>
      <w:pPr>
        <w:spacing w:after="0" w:line="170"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If an event of default occurs and is continuing with respect to debt securities of any series outstanding, then the applicable trustee or the holders of 33%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33%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97" w:lineRule="exact"/>
        <w:rPr>
          <w:sz w:val="20"/>
          <w:szCs w:val="20"/>
          <w:color w:val="auto"/>
        </w:rPr>
      </w:pPr>
    </w:p>
    <w:p>
      <w:pPr>
        <w:ind w:left="1080" w:right="60" w:hanging="424"/>
        <w:spacing w:after="0" w:line="263"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170"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We expect that the indentures will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89"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payment of the principal, any premium, or make-whole amount, or interest;</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respect of a covenant or provision for the benefit or protection of the trustee, without its express written consent.</w:t>
      </w:r>
    </w:p>
    <w:p>
      <w:pPr>
        <w:spacing w:after="0" w:line="22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expect that the indentures will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We expect that the indentures will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92" w:lineRule="exact"/>
        <w:rPr>
          <w:sz w:val="20"/>
          <w:szCs w:val="20"/>
          <w:color w:val="auto"/>
        </w:rPr>
      </w:pPr>
    </w:p>
    <w:p>
      <w:pPr>
        <w:ind w:left="120" w:right="200"/>
        <w:spacing w:after="0" w:line="273" w:lineRule="auto"/>
        <w:rPr>
          <w:sz w:val="20"/>
          <w:szCs w:val="20"/>
          <w:color w:val="auto"/>
        </w:rPr>
      </w:pPr>
      <w:r>
        <w:rPr>
          <w:rFonts w:ascii="Arial" w:cs="Arial" w:eastAsia="Arial" w:hAnsi="Arial"/>
          <w:sz w:val="17"/>
          <w:szCs w:val="17"/>
          <w:color w:val="auto"/>
        </w:rPr>
        <w:t>We expect that the indentures will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83"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may be unduly prejudicial to the holders of debt securities of the series not joining the proceeding.</w:t>
      </w:r>
    </w:p>
    <w:p>
      <w:pPr>
        <w:spacing w:after="0" w:line="22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the Indentures</w:t>
      </w:r>
    </w:p>
    <w:p>
      <w:pPr>
        <w:spacing w:after="0" w:line="121"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color w:val="auto"/>
        </w:rPr>
        <w:t>We expect that the indentures will provide that modifications and amendments may be made only with the consent of the affected holders of at least a majority in principal amount of all outstanding debt securities issued under that indenture. However, no such modification or amendment may, without the consent of each of the affected holders of the debt securities affected by the modification or amendment:</w:t>
      </w:r>
    </w:p>
    <w:p>
      <w:pPr>
        <w:spacing w:after="0" w:line="71" w:lineRule="exact"/>
        <w:rPr>
          <w:sz w:val="20"/>
          <w:szCs w:val="20"/>
          <w:color w:val="auto"/>
        </w:rPr>
      </w:pPr>
    </w:p>
    <w:p>
      <w:pPr>
        <w:ind w:left="1080" w:right="4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premium, or make-whole amount, on, or any installment of principal of or interest on, any such debt security;</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principal amount of, the rate or amount of interest on or any premium, or make-whole amount, payable on redemption of any such debt security;</w:t>
      </w:r>
    </w:p>
    <w:p>
      <w:pPr>
        <w:spacing w:after="0" w:line="75" w:lineRule="exact"/>
        <w:rPr>
          <w:rFonts w:ascii="Arial" w:cs="Arial" w:eastAsia="Arial" w:hAnsi="Arial"/>
          <w:sz w:val="18"/>
          <w:szCs w:val="18"/>
          <w:color w:val="auto"/>
        </w:rPr>
      </w:pPr>
    </w:p>
    <w:p>
      <w:pPr>
        <w:ind w:left="1080" w:right="100" w:hanging="424"/>
        <w:spacing w:after="0" w:line="34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29" w:lineRule="exact"/>
        <w:rPr>
          <w:rFonts w:ascii="Arial" w:cs="Arial" w:eastAsia="Arial" w:hAnsi="Arial"/>
          <w:sz w:val="16"/>
          <w:szCs w:val="16"/>
          <w:color w:val="auto"/>
        </w:rPr>
      </w:pPr>
    </w:p>
    <w:p>
      <w:pPr>
        <w:ind w:left="1080" w:right="24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 the place of payment or the coin or currency for payment of principal of, or any premium, or make-whole amount, or interest on, any such debt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such debt security;</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00" w:hanging="424"/>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84"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12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76"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130" w:lineRule="exact"/>
        <w:rPr>
          <w:rFonts w:ascii="Arial" w:cs="Arial" w:eastAsia="Arial" w:hAnsi="Arial"/>
          <w:sz w:val="18"/>
          <w:szCs w:val="18"/>
          <w:color w:val="auto"/>
        </w:rPr>
      </w:pPr>
    </w:p>
    <w:p>
      <w:pPr>
        <w:ind w:left="1080" w:right="280" w:hanging="424"/>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add or change any provisions of an indenture (1) to change or eliminate restrictions on the payment of principal of, or premium, or make-whole amount, or interest on, debt securities in bearer form, or (2) to permit or facilitate the issuance of debt securities in uncertificated form, provided that such action shall not adversely affect the interests of the holders of the debt securities of any series in any material respect;</w:t>
      </w:r>
    </w:p>
    <w:p>
      <w:pPr>
        <w:spacing w:after="0" w:line="92"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cure any ambiguity, defect or inconsistency in an indenture, provided that such action shall not adversely affect the interests of holders of debt securities of any series issued under such indenture; and</w:t>
      </w:r>
    </w:p>
    <w:p>
      <w:pPr>
        <w:spacing w:after="0" w:line="75"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We expect the indentures will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89" w:lineRule="exact"/>
        <w:rPr>
          <w:sz w:val="20"/>
          <w:szCs w:val="20"/>
          <w:color w:val="auto"/>
        </w:rPr>
      </w:pPr>
    </w:p>
    <w:p>
      <w:pPr>
        <w:ind w:left="1080" w:right="460" w:hanging="424"/>
        <w:spacing w:after="0" w:line="342"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29" w:lineRule="exact"/>
        <w:rPr>
          <w:rFonts w:ascii="Arial" w:cs="Arial" w:eastAsia="Arial" w:hAnsi="Arial"/>
          <w:sz w:val="16"/>
          <w:szCs w:val="16"/>
          <w:color w:val="auto"/>
        </w:rPr>
      </w:pPr>
    </w:p>
    <w:p>
      <w:pPr>
        <w:ind w:left="1080" w:right="140" w:hanging="424"/>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debt securities owned by us or any other obligor upon the debt securities or by any affiliate of ours or of such other obligor shall be disregarded.</w:t>
      </w:r>
    </w:p>
    <w:p>
      <w:pPr>
        <w:spacing w:after="0" w:line="170"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7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8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18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Notwithstanding the foregoing provisions, we expect that the indentures will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92" w:lineRule="exact"/>
        <w:rPr>
          <w:sz w:val="20"/>
          <w:szCs w:val="20"/>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130" w:lineRule="exact"/>
        <w:rPr>
          <w:rFonts w:ascii="Arial" w:cs="Arial" w:eastAsia="Arial" w:hAnsi="Arial"/>
          <w:sz w:val="18"/>
          <w:szCs w:val="18"/>
          <w:color w:val="auto"/>
        </w:rPr>
      </w:pPr>
    </w:p>
    <w:p>
      <w:pPr>
        <w:ind w:left="1080" w:right="180" w:hanging="424"/>
        <w:spacing w:after="0" w:line="286" w:lineRule="auto"/>
        <w:tabs>
          <w:tab w:leader="none" w:pos="10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principal amount of the outstanding debt securities of such series that vote in favor of such request, demand, authorization, direction, notice, consent, waiver or other action shall be taken account in determining whether such request, demand, authorization, direction, notice, consent, waiver or other action has been made, given or taken under such indenture.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Unless otherwise provided in the applicable prospectus supplement and indenture, subordinated securities will be subject to the following subordination provisions.</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Upon any distribution to our creditors in a liquidation, dissolution or reorganization, the payment of the principal of and interest on any subordinated securities will be subordinated to the extent provided in the applicable indenture in right of payment to the prior payment in full of all senior debt. However, our obligation to make payments of the principal of and interest on such subordinated securities otherwise will not be affected. No payment of principal or interest will be permitted to be made on subordinated securities at any time if a default on senior debt exists that permits the holders of such senior debt to accelerate its maturity and the default is the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subject of judicial proceedings or we receive notice of the default. After all senior debt is paid in full and until the subordinated securities are paid in full, holders of subordinated securities will be subrogated to the rights of holders of senior debt to the extent that distributions otherwise payable to holders of subordinated securities have been applied to the payment of senior debt. The subordinated indenture will not restrict the amount of senior debt or other indebtedness of Centessa Therapeutics and its subsidiaries. As a result of these subordination provisions, in the event of a distribution of assets upon insolvency, holders of subordinated securities may recover less, ratably, than our general creditors.</w:t>
      </w:r>
    </w:p>
    <w:p>
      <w:pPr>
        <w:spacing w:after="0" w:line="176"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restrictions will be included in any indenture relating to subordinated securities upon the creation of additional senior debt.</w:t>
      </w:r>
    </w:p>
    <w:p>
      <w:pPr>
        <w:spacing w:after="0" w:line="225"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If this prospectus is being delivered in connection with the offering of a series of subordinated securities, the accompanying prospectus supplement or the information incorporated in this prospectus by reference will set forth the approximate amount of senior debt outstanding as of the end of our most recent fiscal quarter.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and Discharge</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terms of each indenture are expected to provide us with the option to be discharged from any and all obligations in respect of the debt securities issued thereunder upon the deposit with the trustee, in trust, of money or government obligations, or both, which through the payment of interest and principal in accordance with their terms will provide money in an amount sufficient to pay any installment of principal, premium and interest on, and any mandatory sinking fund payments in respect of, the debt securities on the stated maturity of the payments in accordance with the terms of the debt securities and the indenture governing the debt securities. We expect that this right may only be exercised if, among other things, we have received from, or there has been published by, the Internal Revenue Service a ruling to the effect that such a discharge will not be deemed, or result in, a taxable event with respect to holders. This discharge would not apply to our obligations to register the transfer or exchange of debt securities, to replace stolen, lost or mutilated debt securities, to maintain paying agencies and hold moneys for payment in trust.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of Certain Covenants</w:t>
      </w:r>
    </w:p>
    <w:p>
      <w:pPr>
        <w:spacing w:after="0" w:line="12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We expect that the terms of the debt securities will provide us with the right not to comply with specified covenants and that specified events of default described in a prospectus supplement will not apply provided we deposit with the trustee money or government obligations, or both, which through the payment of interest and principal will provide money in an amount sufficient to pay any installment of principal, premium, and interest on, and any mandatory sinking fund payments in respect of, the debt securities on the stated maturity of such payments in accordance with the terms of the debt securities and the indenture governing such debt securities. We expect that to exercise this right, we will also be required to deliver to the trustee an opinion of counsel to the effect that the deposit and related covenant defeasance should not cause the holders of such series to recognize income, gain or loss for federal income tax purposes.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Rights</w:t>
      </w:r>
    </w:p>
    <w:p>
      <w:pPr>
        <w:spacing w:after="0" w:line="121" w:lineRule="exact"/>
        <w:rPr>
          <w:sz w:val="20"/>
          <w:szCs w:val="20"/>
          <w:color w:val="auto"/>
        </w:rPr>
      </w:pPr>
    </w:p>
    <w:p>
      <w:pPr>
        <w:jc w:val="both"/>
        <w:ind w:left="120" w:right="500"/>
        <w:spacing w:after="0" w:line="263" w:lineRule="auto"/>
        <w:rPr>
          <w:sz w:val="20"/>
          <w:szCs w:val="20"/>
          <w:color w:val="auto"/>
        </w:rPr>
      </w:pPr>
      <w:r>
        <w:rPr>
          <w:rFonts w:ascii="Arial" w:cs="Arial" w:eastAsia="Arial" w:hAnsi="Arial"/>
          <w:sz w:val="18"/>
          <w:szCs w:val="18"/>
          <w:color w:val="auto"/>
        </w:rPr>
        <w:t>The terms and conditions, if any, upon which the debt securities are convertible into ordinary shares will be set forth in the applicable prospectus supplement. The terms will include whether the debt securities are convertible into ordinary shares, the conversion price, or manner of calculation thereof, the conversion period, provisions as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The debt securities of a series may be issued in whole or in part in the form of one or more global securities that will be deposited with, or on behalf of, a depository identified in the applicable prospectus supplement relating to such series. Global securities, if any, issued in the United States are expected to be deposited with The Depository Trust Company (“DTC”) as depository. We may issue global securities in either registered or bearer form and in either temporary or permanent form. We will describe the specific terms of the depository arrangement with respect to a series of debt securities in the applicable prospectus supplement relating to such series. We expect that unless the applicable prospectus supplement provides otherwise, the following provisions will apply to depository arrangements.</w:t>
      </w:r>
    </w:p>
    <w:p>
      <w:pPr>
        <w:spacing w:after="0" w:line="178"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Once a global security is issued, the depository for such global security or its nominee will credit on its book-entry registration and transfer system the respective principal amounts of the individual debt securities represented by such global security to the accounts of participants that have accounts with such depository. Such accounts shall be designated by the underwriters, dealers or agents with respect to such debt securities or by us if we offer such debt securities directly. Ownership of beneficial interests in such global security will be limited to participants with the depository or persons that may hold interests through those participants.</w:t>
      </w:r>
    </w:p>
    <w:p>
      <w:pPr>
        <w:spacing w:after="0" w:line="18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expect that, under procedures established by DTC, ownership of beneficial interests in any global security for which DTC is the depository will be shown on, and the transfer of that ownership will be effected only through, records maintained by DTC or its nominee, with respect to beneficial interests of participants with the depository, and records of participants, with respect to beneficial interests of persons who hold through participants with the depository. Neither we nor the trustee will have any responsibility or liability for any aspect of the records of DTC or for maintaining, supervising or reviewing any records of DTC or any of its participants relating to beneficial ownership interests in the debt securities. The laws of some states require that certain purchasers of securities take physical delivery of such securities in definitive form. Such limits and laws may impair the ability to own, pledge or transfer beneficial interest in a global security.</w:t>
      </w:r>
    </w:p>
    <w:p>
      <w:pPr>
        <w:spacing w:after="0" w:line="17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So long as the depository for a global security or its nominee is the registered owner of such global security, such depository or such nominee, as the case may be, will be considered the sole owner or holder of the debt securities represented by the global security for all purposes under the applicable indenture. Except as described below or in the applicable prospectus supplement, owners of beneficial interest in a global security will not be entitled to have any of the individual debt securities represented by such global security registered in their names, will not receive or be entitled to receive physical delivery of any such debt securities in definitive form and will not be considered the owners or holders thereof under the applicable indenture. Beneficial owners of debt securities evidenced by a global security will not be considered the owners or holders thereof under the applicable indenture for any purpose, including with respect to the giving of any direction, instructions or approvals to the trustee under the indenture. Accordingly, each person owning a beneficial interest in a global security with respect to which DTC is the depository must rely on the procedures of DTC and, if such person is not a participant with the depository, on the procedures of the participant through which such person owns its interests, to exercise any rights of a holder under the applicable indenture. We understand that, under existing industry practice, if DTC requests any action of holders or if an owner of a beneficial interest in a global security desires to give or take any action which a holder is entitled to give or take under the applicable indenture, DTC would authorize the participants holding the relevant beneficial interest to give or take such action, and such participants would authorize beneficial owners through such participants to give or take such actions or would otherwise act upon the instructions of beneficial owners holding through them.</w:t>
      </w:r>
    </w:p>
    <w:p>
      <w:pPr>
        <w:spacing w:after="0" w:line="174"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Payments of principal of, and any premium, or make-whole amount, and interest on, individual debt securities represented by a global security registered in the name of a depository or its nominee will be made to or at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direction of the depository or its nominee, as the case may be, as the registered owner of the global security under the applicable indenture. Under the terms of the applicable indenture, we and the trustee may treat the persons in whose name debt securities, including a global security, are registered as the owners thereof for the purpose of receiving such payments. Consequently, neither we nor the trustee have or will have any responsibility or liability for the payment of such amounts to beneficial owners of debt securities including principal, any premium, or make-whole amount, or interest. We believe, however, that it is currently the policy of DTC to immediately credit the accounts of relevant participants with such payments, in amounts proportionate to their respective holdings of beneficial interests in the relevant global security as shown on the records of DTC or its nominee. We also expect that payments by participants to owners of beneficial interests in such global security held through such participants will be governed by standing instructions and customary practices, as is the case with securities held for the account of customers in bearer form or registered in street name, and will be the responsibility of such participants. Redemption notices with respect to any debt securities represented by a global security will be sent to the depository or its nominee. If less than all of the debt securities of any series are to be redeemed, we expect the depository to determine the amount of the interest of each participant in such debt securities to be redeemed to be determined by lot. Neither we, the trustee, any paying agent nor the security registrar for such debt securities will have any responsibility or liability for any aspect of the records relating to or payments made on account of beneficial ownership interests in the global security for such debt securities or for maintaining any records with respect thereto.</w:t>
      </w:r>
    </w:p>
    <w:p>
      <w:pPr>
        <w:spacing w:after="0" w:line="174"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Neither we nor the trustee will be liable for any delay by the holders of a global security or the depository in identifying the beneficial owners of debt securities, and we and the trustee may conclusively rely on, and will be protected in relying on, instructions from the holder of a global security or the depository for all purposes. The rules applicable to DTC and its participants are on file with the SEC.</w:t>
      </w:r>
    </w:p>
    <w:p>
      <w:pPr>
        <w:spacing w:after="0" w:line="184"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If a depository for any debt securities is at any time unwilling, unable or ineligible to continue as depository and we do not appoint a successor depository within 90 days, we will issue individual debt securities in exchange for the global security representing such debt securities. In addition, we may at any time and in our sole discretion, subject to any limitations described in the applicable prospectus supplement relating to such debt securities, determine not to have any of such debt securities represented by one or more global securities and in such event will issue individual debt securities in exchange for the global security or securities representing such debt securities. Individual debt securities so issued will be issued in denominations of $1,000 and integral multiples of $1,000.</w:t>
      </w:r>
    </w:p>
    <w:p>
      <w:pPr>
        <w:spacing w:after="0" w:line="192"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debt securities of a series may also be issued in whole or in part in the form of one or more bearer global securities that will be deposited with a depository, or with a nominee for such depository, identified in the applicable prospectus supplement. Any such bearer global securities may be issued in temporary or permanent form. The specific terms and procedures, including the specific terms of the depositary arrangement, with respect to any portion of a series of debt securities to be represented by one or more bearer global securities will be described in the applicable prospectus supplement.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Recourse</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There is no recourse under any obligation, covenant or agreement in the applicable indenture or with respect to any security against any of our or our successor’s past, present or future shareholders, employees, officers or directors.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refer you to any applicable prospectus supplement with respect to any deletions or additions or modifications to the descriptions above.</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We may offer warrants for the purchase of ordinary shares, each of which may be represented by one American Depositary Share, and/or senior or subordinated debt securities in one or more series, from time to time. We may issue warrants independently or together with ordinary shares, each of which may be represented by one American Depositary Share, and/or senior or subordinated debt securities, and the warrants may be attached to or separate from those securities.</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If we offer warrants, they will be evidenced by warrant certificates issued under one or more warrant agreements, which are contracts between us and an agent for the holders of the warrants. We will indicate the name and address of the warrant agent in the applicable prospectus supplement relating to a particular series of warrants.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131" w:lineRule="exact"/>
        <w:rPr>
          <w:sz w:val="20"/>
          <w:szCs w:val="20"/>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related securities will be separately transferable;</w:t>
      </w:r>
    </w:p>
    <w:p>
      <w:pPr>
        <w:spacing w:after="0" w:line="130"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51" w:lineRule="exact"/>
        <w:rPr>
          <w:rFonts w:ascii="Arial" w:cs="Arial" w:eastAsia="Arial" w:hAnsi="Arial"/>
          <w:sz w:val="17"/>
          <w:szCs w:val="17"/>
          <w:color w:val="auto"/>
        </w:rPr>
      </w:pPr>
    </w:p>
    <w:p>
      <w:pPr>
        <w:ind w:left="1080" w:right="28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warrants to purchase securities, the number of shares purchasable upon the exercise of one warrant and the price at which these shares may be purchased upon such exercise;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 and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provisions for changes to or adjustments in the exercise price or number of securities issuable upon exercise of the warrants;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periods during which, and places at which, the warrants are exercisable;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manner of exercise;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manner in which the warrant agreement and warrants may be modified;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United States federal income tax consequences of holding or exercising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25"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8"/>
          <w:szCs w:val="18"/>
          <w:color w:val="auto"/>
        </w:rPr>
        <w:t>We urge you to read the prospectus supplement related to any series of warrants we may offer, as well as the complete warrant agreement and warrant certificate that contain the terms of the warrants. If we offer warrants, forms of warrant agreements and warrant certificates relating to warrants for the purchase of such ordinary shares and debt securities will be incorporated by reference into the registration statement of which this prospectus is a part from reports we would subsequently file with the SEC.</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We may offer units consisting of ordinary shares, ordinary shares in the form of ADSs, debt securities and/or warrants for the purchase of ordinary shares and/or debt securities in any combination in one or more series, from time to time.</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If we offer units, they will be evidenced by unit certificates issued under one or more unit agreements, which are contracts between us and an agent for the holders of the units.</w:t>
      </w:r>
    </w:p>
    <w:p>
      <w:pPr>
        <w:spacing w:after="0" w:line="17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76"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discussion of certain United States federal income tax considerations applicable to the units;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225"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We urge you to read the prospectus supplement related to any series of units we may offer, as well as the complete unit agreement and unit certificate that contain the terms of the unit. If we offer units, forms of unit agreements and unit certificates relating to units will be incorporated by reference into the registration statement of which this prospectus is a part from reports we would subsequently file with the SEC.</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320" w:top="459" w:right="5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TAXATION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Income Tax Considerations For U.S. Holders</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applicable prospectus supplement will contain information about any material U.S. federal income tax considerations relating to the securities covered by such prospectus supplement.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U.K. Taxation</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applicable prospectus supplement will contain information about any U.K. tax considerations relating to the securities covered by such prospectus supplement.</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60"/>
          </w:cols>
          <w:pgMar w:left="320" w:top="459" w:right="6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will retain broad discretion over the use of the net proceeds from the sale of our securities offered by us under this prospectus. Except as described in any prospectus supplement, we currently anticipate using the net proceeds from the sale of our securities offered hereby primarily for general corporate purposes. We may also use a portion of the net proceeds to pay interest or principal on outstanding indebtedness, if any, and/or acquire or invest in complementary businesses, products and technologies. Although we have no specific agreements, commitments or understandings with respect to any acquisition, we evaluate acquisition opportunities and engage in related discussions with other companies from time to time.</w:t>
      </w:r>
    </w:p>
    <w:p>
      <w:pPr>
        <w:spacing w:after="0" w:line="161"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Pending the use of the net proceeds, we intend to invest the net proceeds in in a variety of capital preservation instruments, including short-term, interest-bearing, investment-grade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We may sell our securities from time to time in one or more transactions. We may sell our securities to or through agents, underwriters, dealers, remarketing firms or other third parties or directly to one or more purchasers or through a combination of any of these methods. In some cases, we or dealers acting with us or on our behalf may also purchase our securities and reoffer them to the public. We may also offer and sell, or agree to deliver, securities pursuant to, or in connection with, any option agreement or other contractual arrangement.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Agents whom we designate may solicit offers to purchase our securities.</w:t>
      </w:r>
    </w:p>
    <w:p>
      <w:pPr>
        <w:spacing w:after="0" w:line="131" w:lineRule="exact"/>
        <w:rPr>
          <w:sz w:val="20"/>
          <w:szCs w:val="20"/>
          <w:color w:val="auto"/>
        </w:rPr>
      </w:pPr>
    </w:p>
    <w:p>
      <w:pPr>
        <w:ind w:left="1080" w:right="18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will name any agent involved in offering or selling our securities, and disclose any commissions that we will pay to the agent, in the applicable prospectus supplement.</w:t>
      </w:r>
    </w:p>
    <w:p>
      <w:pPr>
        <w:spacing w:after="0" w:line="75" w:lineRule="exact"/>
        <w:rPr>
          <w:rFonts w:ascii="Arial" w:cs="Arial" w:eastAsia="Arial" w:hAnsi="Arial"/>
          <w:sz w:val="18"/>
          <w:szCs w:val="18"/>
          <w:color w:val="auto"/>
        </w:rPr>
      </w:pPr>
    </w:p>
    <w:p>
      <w:pPr>
        <w:ind w:left="1080" w:right="88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Unless indicate otherwise in the applicable prospectus supplement, agents will act on a best efforts basis for the period of their appointment.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Agents may be deemed to be underwriters under the Securities Act of any of our securities that they offer or sell.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use an underwriter or underwriters in the offer or sale of our securities.</w:t>
      </w:r>
    </w:p>
    <w:p>
      <w:pPr>
        <w:spacing w:after="0" w:line="131" w:lineRule="exact"/>
        <w:rPr>
          <w:sz w:val="20"/>
          <w:szCs w:val="20"/>
          <w:color w:val="auto"/>
        </w:rPr>
      </w:pPr>
    </w:p>
    <w:p>
      <w:pPr>
        <w:ind w:left="1080" w:right="8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we use an underwriter or underwriters, we will execute an underwriting agreement with the underwriter or underwriters at the time that we reach an agreement for the sale of our securities.</w:t>
      </w:r>
    </w:p>
    <w:p>
      <w:pPr>
        <w:spacing w:after="0" w:line="75" w:lineRule="exact"/>
        <w:rPr>
          <w:rFonts w:ascii="Arial" w:cs="Arial" w:eastAsia="Arial" w:hAnsi="Arial"/>
          <w:sz w:val="18"/>
          <w:szCs w:val="18"/>
          <w:color w:val="auto"/>
        </w:rPr>
      </w:pPr>
    </w:p>
    <w:p>
      <w:pPr>
        <w:jc w:val="both"/>
        <w:ind w:left="1080" w:right="140" w:hanging="424"/>
        <w:spacing w:after="0" w:line="342"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will include the names of the specific managing underwriter or underwriters, as well as the names of any other underwriters, and the terms of the transactions, including the compensation the underwriters and dealers will receive, in the applicable prospectus supplement.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underwriters will use the applicable prospectus supplement, together with the prospectus, to sell our securities.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use a dealer to sell our securities.</w:t>
      </w:r>
    </w:p>
    <w:p>
      <w:pPr>
        <w:spacing w:after="0" w:line="131" w:lineRule="exact"/>
        <w:rPr>
          <w:sz w:val="20"/>
          <w:szCs w:val="20"/>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we use a dealer, we will sell our securities to the dealer, as principal.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dealer will then sell our securities to the public at varying prices that the dealer will determine at the time it sells our securities.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We will include the name of the dealer and the terms of the transactions with the dealer in the applicable prospectus supplement.</w:t>
      </w:r>
    </w:p>
    <w:p>
      <w:pPr>
        <w:spacing w:after="0" w:line="237"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4"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We may solicit directly offers to purchase our securities, and we may directly sell our securities to institutional or other investors. We will describe the terms of direct sales in the applicable prospectus supplement.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engage in at the market offerings into an existing trading market in accordance with Rule 415(a)(4) of the Securities Act.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60"/>
          </w:cols>
          <w:pgMar w:left="320" w:top="459" w:right="5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3" w:lineRule="auto"/>
        <w:rPr>
          <w:sz w:val="20"/>
          <w:szCs w:val="20"/>
          <w:color w:val="auto"/>
        </w:rPr>
      </w:pPr>
      <w:r>
        <w:rPr>
          <w:rFonts w:ascii="Arial" w:cs="Arial" w:eastAsia="Arial" w:hAnsi="Arial"/>
          <w:sz w:val="17"/>
          <w:szCs w:val="17"/>
          <w:color w:val="auto"/>
        </w:rPr>
        <w:t>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17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Agents, underwriters and dealers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In addition, the underwriters’ commissions, discounts or concessions may qualify as underwriters’ compensation under the Securities Act and the rules of the Financial Industry Regulatory Authority, Inc. We may indemnify agents, underwriters and dealers against certain liabilities, including liabilities under the Securities Act. Agents, underwriters and dealers, or their affiliates, may be customers of, engage in transactions with or perform services for us or our respective affiliates, in the ordinary course of business.</w:t>
      </w:r>
    </w:p>
    <w:p>
      <w:pPr>
        <w:spacing w:after="0" w:line="178"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We may authorize agents and underwriters to solicit offers by certain institutions to purchase our securities at the public offering price under delayed delivery contracts.</w:t>
      </w:r>
    </w:p>
    <w:p>
      <w:pPr>
        <w:spacing w:after="0" w:line="76" w:lineRule="exact"/>
        <w:rPr>
          <w:sz w:val="20"/>
          <w:szCs w:val="20"/>
          <w:color w:val="auto"/>
        </w:rPr>
      </w:pPr>
    </w:p>
    <w:p>
      <w:pPr>
        <w:ind w:left="1080" w:right="14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we use delayed delivery contracts, we will disclose that we are using them in the prospectus supplement and will tell you when we will demand payment and when delivery of our securities will be made under the delayed delivery contracts.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These delayed delivery contracts will be subject only to the conditions that we describe in the prospectus supplement.</w:t>
      </w:r>
    </w:p>
    <w:p>
      <w:pPr>
        <w:spacing w:after="0" w:line="130"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will describe in the applicable prospectus supplement the commission that underwriters and agents soliciting purchases of our securities under delayed delivery contracts will be entitled to receive.</w:t>
      </w:r>
    </w:p>
    <w:p>
      <w:pPr>
        <w:spacing w:after="0" w:line="170"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Unless otherwise specified in connection with a particular underwritten offering of our securities, the underwriters will not be obligated to purchase offered securities unless specified conditions are satisfied, and if the underwriters do purchase any offered securities, they will purchase all offered securities.</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w:t>
      </w:r>
    </w:p>
    <w:p>
      <w:pPr>
        <w:spacing w:after="0" w:line="184"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78" w:lineRule="exact"/>
        <w:rPr>
          <w:sz w:val="20"/>
          <w:szCs w:val="20"/>
          <w:color w:val="auto"/>
        </w:rPr>
      </w:pPr>
    </w:p>
    <w:p>
      <w:pPr>
        <w:jc w:val="center"/>
        <w:ind w:left="360" w:right="80"/>
        <w:spacing w:after="0" w:line="449" w:lineRule="auto"/>
        <w:rPr>
          <w:sz w:val="20"/>
          <w:szCs w:val="20"/>
          <w:color w:val="auto"/>
        </w:rPr>
      </w:pPr>
      <w:r>
        <w:rPr>
          <w:rFonts w:ascii="Arial" w:cs="Arial" w:eastAsia="Arial" w:hAnsi="Arial"/>
          <w:sz w:val="18"/>
          <w:szCs w:val="18"/>
          <w:color w:val="auto"/>
        </w:rPr>
        <w:t>The underwriters, dealers and agents may engage in other transactions with us, or perform other services for us, in the ordinary course of their business. 61</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effect sales of securities in connection with forward sale, option, swap or other types of agreements with third parties.</w:t>
      </w:r>
    </w:p>
    <w:p>
      <w:pPr>
        <w:spacing w:after="0" w:line="22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Any distribution of securities pursuant to any sale may be effected from time to time in one or more transactions that may take place through a stock exchange, including block trades or ordinary broker’s transactions, or through broker-dealers acting either as principal or agent, or through privately-negotiated transactions, or through an underwritten public offering, or through a combination of any such methods of sale, at market prices prevailing at the time of sale, prices relating to such prevailing market prices or at negotiated or fixed prices.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specific terms of the lock-up provisions, if any, with respect to any given offering will be described in the applicable prospectus supplement.</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expenses of any offering of our securities will be detailed in the applicable prospectus supplement.</w:t>
      </w:r>
    </w:p>
    <w:p>
      <w:pPr>
        <w:spacing w:after="0" w:line="225"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We will identify the specific plan of distribution, including any agents, underwriters, dealers, remarketing firms or other third parties and their compensation in a prospectus supplement.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60"/>
          </w:cols>
          <w:pgMar w:left="320" w:top="459" w:right="5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Certain legal matters of English law and U.S. federal law will be passed upon for us by Goodwin Procter (UK) LLP and Goodwin Procter LLP, respectively. Any underwriters will be advised about other issues relating to any offering by their own legal counsel.</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consolidated and combined financial statements of Centessa Pharmaceuticals plc and subsidiaries and the Centessa Predecessor Group (consisting of Z Factor Limited, LockBody Therapeutics Ltd, and Morphogen-IX Limited) as of December 31, 2021 and 2020, and for each of the respective periods in the three-year period ended December 31, 2021, have been incorporated by reference herein in reliance upon the report of KPMG LLP, independent registered public accounting firm, incorporated by reference herein, and upon the authority of said firm as experts in accounting and auditing.</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2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are incorporated and currently existing under the laws of England and Wales. In addition, certain of our directors and officers reside outside of the United States and most of the assets of our non-U.S. subsidiaries are located outside of the United States. As a result, it may be difficult for investors to effect service of process on us or those persons in the United States or to enforce in the United States judgments obtained in United States courts against us or those persons based on the civil liability or other provisions of the United States securities laws or other laws. In addition, uncertainty exists as to whether the courts of England and Wales would:</w:t>
      </w:r>
    </w:p>
    <w:p>
      <w:pPr>
        <w:spacing w:after="0" w:line="93" w:lineRule="exact"/>
        <w:rPr>
          <w:sz w:val="20"/>
          <w:szCs w:val="20"/>
          <w:color w:val="auto"/>
        </w:rPr>
      </w:pPr>
    </w:p>
    <w:p>
      <w:pPr>
        <w:ind w:left="1080" w:right="12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liabilities provisions of the securities laws of the United States or any state in the United States; or</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entertain original actions brought in England and Wales against us or our directors or officers predicated upon the securities laws of the United States or any state in the United States.</w:t>
      </w:r>
    </w:p>
    <w:p>
      <w:pPr>
        <w:spacing w:after="0" w:line="170"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 Convention on the Recognition and Enforcement of Foreign Arbitral Awards) and that a final judgment for the payment of money rendered by any general or state court in the United States based on civil liability, whether predicated solely upon the United States securities laws, would not be automatically enforceable in England and Wales. Any final and conclusive monetary judgment for a definite sum obtained against us in United States courts would be treated by the courts of England and Wales as a cause of action in itself and sued upon as a debt at common law so that no retrial of the issues would be necessary, provided that:</w:t>
      </w:r>
    </w:p>
    <w:p>
      <w:pPr>
        <w:spacing w:after="0" w:line="100" w:lineRule="exact"/>
        <w:rPr>
          <w:sz w:val="20"/>
          <w:szCs w:val="20"/>
          <w:color w:val="auto"/>
        </w:rPr>
      </w:pPr>
    </w:p>
    <w:p>
      <w:pPr>
        <w:ind w:left="1080" w:right="28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England and Wales courts had jurisdiction over the matter on enforcement and we either submitted to such jurisdiction or were resident or carrying on business within such jurisdiction and were duly served with process;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U.S. judgment was final and conclusive on the merits in the sense of being final and unalterable in the court that pronounced it and being for a definite sum of money;</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59" w:right="4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judgment was not procured by fraud;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recognition or enforcement of the judgment in England and Wales would not be contrary to public policy or the Human Rights Act 1998;</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proceedings pursuant to which judgment was obtained were not contrary to natural justice;</w:t>
      </w:r>
    </w:p>
    <w:p>
      <w:pPr>
        <w:spacing w:after="0" w:line="130"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there is not a prior decision of an English court or the court of another jurisdiction on the issues in question between the same parties;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English enforcement proceedings were commenced within the limitation period.</w:t>
      </w:r>
    </w:p>
    <w:p>
      <w:pPr>
        <w:spacing w:after="0" w:line="225"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124" w:lineRule="exact"/>
        <w:rPr>
          <w:sz w:val="20"/>
          <w:szCs w:val="20"/>
          <w:color w:val="auto"/>
        </w:rPr>
      </w:pPr>
    </w:p>
    <w:p>
      <w:pPr>
        <w:jc w:val="both"/>
        <w:ind w:left="120" w:right="340"/>
        <w:spacing w:after="0" w:line="342" w:lineRule="auto"/>
        <w:rPr>
          <w:sz w:val="20"/>
          <w:szCs w:val="20"/>
          <w:color w:val="auto"/>
        </w:rPr>
      </w:pPr>
      <w:r>
        <w:rPr>
          <w:rFonts w:ascii="Arial" w:cs="Arial" w:eastAsia="Arial" w:hAnsi="Arial"/>
          <w:sz w:val="16"/>
          <w:szCs w:val="16"/>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12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in certain circumstances the judgment debtor may raise any counterclaim that could have been brought if the action had been originally brought in England unless the subject of the counterclaim was in issue and denied (other than on procedural grounds) in the U.S. proceedings.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This prospectus is part of a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You may obtain copies of the registration statement and its exhibits via the SEC’s EDGAR database.</w:t>
      </w:r>
    </w:p>
    <w:p>
      <w:pPr>
        <w:spacing w:after="0" w:line="176"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We file annual, quarterly and current reports, proxy statements and other information with the SEC under the Exchange Act. The SEC maintains a website that contains reports, proxy and information statements and other information regarding issuers, including us, that file electronically with the SEC. You may obtain documents that we file with the SEC at www.sec.gov.</w:t>
      </w:r>
    </w:p>
    <w:p>
      <w:pPr>
        <w:spacing w:after="0" w:line="184"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Our website address is http://www.centessa.com. We do not incorporate the information on or accessible through our website into this prospectus or any prospectus supplement, and you should not consider any information on, or that can be accessed through, our website as part of this prospectus or any prospectus supplement. Our website address is included in this prospectus as an inactive textual reference only.</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60"/>
          </w:cols>
          <w:pgMar w:left="320" w:top="459" w:right="5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220"/>
        <w:spacing w:after="0" w:line="293" w:lineRule="auto"/>
        <w:rPr>
          <w:sz w:val="20"/>
          <w:szCs w:val="20"/>
          <w:color w:val="auto"/>
        </w:rPr>
      </w:pPr>
      <w:r>
        <w:rPr>
          <w:rFonts w:ascii="Arial" w:cs="Arial" w:eastAsia="Arial" w:hAnsi="Arial"/>
          <w:sz w:val="16"/>
          <w:szCs w:val="16"/>
          <w:color w:val="auto"/>
        </w:rPr>
        <w:t>The SEC allows us to incorporate by reference into this prospectus the information contained in other documents we file with the SEC, which means that we can disclose important information to you by referring you to those documents. Any statement contained in any document incorporated or deemed to be incorporated by reference herein shall be deemed to be modified or superseded, for purposes of this prospectus, to the extent that a statement contained in or omitted from this prospectus, or in any other subsequently filed document that also is or is deemed to be incorporated by reference herein, modifies or supersedes such statement. Any such statement so modified or superseded shall not be deemed, except as so modified or superseded, to constitute a part of this prospectus. We incorporate by reference the documents listed below which have been filed by us:</w:t>
      </w:r>
    </w:p>
    <w:p>
      <w:pPr>
        <w:spacing w:after="0" w:line="70" w:lineRule="exact"/>
        <w:rPr>
          <w:sz w:val="20"/>
          <w:szCs w:val="20"/>
          <w:color w:val="auto"/>
        </w:rPr>
      </w:pPr>
    </w:p>
    <w:p>
      <w:pPr>
        <w:ind w:left="1080" w:right="44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03">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2021, filed with the SEC on March 30, 2022, as amended by our Annual Report on </w:t>
      </w:r>
      <w:hyperlink r:id="rId104">
        <w:r>
          <w:rPr>
            <w:rFonts w:ascii="Arial" w:cs="Arial" w:eastAsia="Arial" w:hAnsi="Arial"/>
            <w:sz w:val="18"/>
            <w:szCs w:val="18"/>
            <w:u w:val="single" w:color="auto"/>
            <w:color w:val="0000EE"/>
          </w:rPr>
          <w:t>Form 10K/A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May 2, 2022;</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Quarterly Report on </w:t>
      </w:r>
      <w:hyperlink r:id="rId105">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2022, filed with the SEC on May 16, 2022;</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63"/>
        </w:numPr>
        <w:rPr>
          <w:rFonts w:ascii="Arial" w:cs="Arial" w:eastAsia="Arial" w:hAnsi="Arial"/>
          <w:sz w:val="18"/>
          <w:szCs w:val="18"/>
          <w:color w:val="0000EE"/>
        </w:rPr>
      </w:pPr>
      <w:hyperlink r:id="rId106">
        <w:r>
          <w:rPr>
            <w:rFonts w:ascii="Arial" w:cs="Arial" w:eastAsia="Arial" w:hAnsi="Arial"/>
            <w:sz w:val="18"/>
            <w:szCs w:val="18"/>
            <w:color w:val="auto"/>
          </w:rPr>
          <w:t xml:space="preserve">Current Reports on Form 8-K filed with the SEC on </w:t>
        </w:r>
        <w:r>
          <w:rPr>
            <w:rFonts w:ascii="Arial" w:cs="Arial" w:eastAsia="Arial" w:hAnsi="Arial"/>
            <w:sz w:val="18"/>
            <w:szCs w:val="18"/>
            <w:u w:val="single" w:color="auto"/>
            <w:color w:val="0000EE"/>
          </w:rPr>
          <w:t>February 14,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16,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24,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14, 2022</w:t>
        </w:r>
        <w:r>
          <w:rPr>
            <w:rFonts w:ascii="Arial" w:cs="Arial" w:eastAsia="Arial" w:hAnsi="Arial"/>
            <w:sz w:val="18"/>
            <w:szCs w:val="18"/>
            <w:color w:val="auto"/>
          </w:rPr>
          <w:t>, J</w:t>
        </w:r>
        <w:r>
          <w:rPr>
            <w:rFonts w:ascii="Arial" w:cs="Arial" w:eastAsia="Arial" w:hAnsi="Arial"/>
            <w:sz w:val="18"/>
            <w:szCs w:val="18"/>
            <w:u w:val="single" w:color="auto"/>
            <w:color w:val="0000EE"/>
          </w:rPr>
          <w:t>une 2,</w:t>
        </w:r>
      </w:hyperlink>
      <w:r>
        <w:rPr>
          <w:rFonts w:ascii="Arial" w:cs="Arial" w:eastAsia="Arial" w:hAnsi="Arial"/>
          <w:sz w:val="18"/>
          <w:szCs w:val="18"/>
          <w:color w:val="auto"/>
        </w:rPr>
        <w:t xml:space="preserve"> </w:t>
      </w:r>
      <w:hyperlink r:id="rId106">
        <w:r>
          <w:rPr>
            <w:rFonts w:ascii="Arial" w:cs="Arial" w:eastAsia="Arial" w:hAnsi="Arial"/>
            <w:sz w:val="18"/>
            <w:szCs w:val="18"/>
            <w:u w:val="single" w:color="auto"/>
            <w:color w:val="0000EE"/>
          </w:rPr>
          <w:t>2022</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07">
        <w:r>
          <w:rPr>
            <w:rFonts w:ascii="Arial" w:cs="Arial" w:eastAsia="Arial" w:hAnsi="Arial"/>
            <w:sz w:val="18"/>
            <w:szCs w:val="18"/>
            <w:u w:val="single" w:color="auto"/>
            <w:color w:val="0000EE"/>
          </w:rPr>
          <w:t xml:space="preserve">June 30, 2022 </w:t>
        </w:r>
      </w:hyperlink>
      <w:hyperlink r:id="rId106">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108">
        <w:r>
          <w:rPr>
            <w:rFonts w:ascii="Arial" w:cs="Arial" w:eastAsia="Arial" w:hAnsi="Arial"/>
            <w:sz w:val="18"/>
            <w:szCs w:val="18"/>
            <w:u w:val="single" w:color="auto"/>
            <w:color w:val="0000EE"/>
          </w:rPr>
          <w:t xml:space="preserve">July 1, 2022 </w:t>
        </w:r>
      </w:hyperlink>
      <w:hyperlink r:id="rId106">
        <w:r>
          <w:rPr>
            <w:rFonts w:ascii="Arial" w:cs="Arial" w:eastAsia="Arial" w:hAnsi="Arial"/>
            <w:sz w:val="18"/>
            <w:szCs w:val="18"/>
            <w:color w:val="000000"/>
          </w:rPr>
          <w:t>(except that, with respect to the foregoing Current Reports, any portions thereof which are furnished</w:t>
        </w:r>
      </w:hyperlink>
      <w:r>
        <w:rPr>
          <w:rFonts w:ascii="Arial" w:cs="Arial" w:eastAsia="Arial" w:hAnsi="Arial"/>
          <w:sz w:val="18"/>
          <w:szCs w:val="18"/>
          <w:color w:val="0000EE"/>
        </w:rPr>
        <w:t xml:space="preserve"> </w:t>
      </w:r>
      <w:r>
        <w:rPr>
          <w:rFonts w:ascii="Arial" w:cs="Arial" w:eastAsia="Arial" w:hAnsi="Arial"/>
          <w:sz w:val="18"/>
          <w:szCs w:val="18"/>
          <w:color w:val="000000"/>
        </w:rPr>
        <w:t>and not filed shall not be deemed incorporated by reference); and</w:t>
      </w:r>
    </w:p>
    <w:p>
      <w:pPr>
        <w:spacing w:after="0" w:line="89" w:lineRule="exact"/>
        <w:rPr>
          <w:rFonts w:ascii="Arial" w:cs="Arial" w:eastAsia="Arial" w:hAnsi="Arial"/>
          <w:sz w:val="18"/>
          <w:szCs w:val="18"/>
          <w:color w:val="0000EE"/>
        </w:rPr>
      </w:pPr>
    </w:p>
    <w:p>
      <w:pPr>
        <w:ind w:left="1080" w:right="40" w:hanging="424"/>
        <w:spacing w:after="0" w:line="286"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The description of our ordinary shares and ADSs contained in our Registration Statement on </w:t>
      </w:r>
      <w:hyperlink r:id="rId109">
        <w:r>
          <w:rPr>
            <w:rFonts w:ascii="Arial" w:cs="Arial" w:eastAsia="Arial" w:hAnsi="Arial"/>
            <w:sz w:val="17"/>
            <w:szCs w:val="17"/>
            <w:u w:val="single" w:color="auto"/>
            <w:color w:val="0000EE"/>
          </w:rPr>
          <w:t>Form 8-A</w:t>
        </w:r>
      </w:hyperlink>
      <w:r>
        <w:rPr>
          <w:rFonts w:ascii="Arial" w:cs="Arial" w:eastAsia="Arial" w:hAnsi="Arial"/>
          <w:sz w:val="17"/>
          <w:szCs w:val="17"/>
          <w:color w:val="auto"/>
        </w:rPr>
        <w:t xml:space="preserve">, as filed with the SEC under Section 12(b) of the Exchange Act on May 25, 2021, including any amendment or report filed for the purpose of updating such description (File No. 001-40445), including </w:t>
      </w:r>
      <w:hyperlink r:id="rId110">
        <w:r>
          <w:rPr>
            <w:rFonts w:ascii="Arial" w:cs="Arial" w:eastAsia="Arial" w:hAnsi="Arial"/>
            <w:sz w:val="17"/>
            <w:szCs w:val="17"/>
            <w:u w:val="single" w:color="auto"/>
            <w:color w:val="0000EE"/>
          </w:rPr>
          <w:t>Exhibit 4.3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our Annual Report on Form 10-K for the year ended December 31, 2021.</w:t>
      </w:r>
    </w:p>
    <w:p>
      <w:pPr>
        <w:spacing w:after="0" w:line="165" w:lineRule="exact"/>
        <w:rPr>
          <w:rFonts w:ascii="Arial" w:cs="Arial" w:eastAsia="Arial" w:hAnsi="Arial"/>
          <w:sz w:val="17"/>
          <w:szCs w:val="17"/>
          <w:color w:val="auto"/>
        </w:rPr>
      </w:pPr>
    </w:p>
    <w:p>
      <w:pPr>
        <w:ind w:left="120"/>
        <w:spacing w:after="0" w:line="275" w:lineRule="auto"/>
        <w:rPr>
          <w:sz w:val="20"/>
          <w:szCs w:val="20"/>
          <w:color w:val="auto"/>
        </w:rPr>
      </w:pPr>
      <w:r>
        <w:rPr>
          <w:rFonts w:ascii="Arial" w:cs="Arial" w:eastAsia="Arial" w:hAnsi="Arial"/>
          <w:sz w:val="17"/>
          <w:szCs w:val="17"/>
          <w:color w:val="auto"/>
        </w:rPr>
        <w:t>All reports and other documents we subsequently file pursuant to Section 13(a), 13(c), 14 or 15(d) of the Exchange Act on or after the date of this prospectus, including our annual Proxy Statement on Schedule 14A relating to our annual general meeting of shareholders, until the earlier of the date on which all of the securities registered hereunder have been sold or the registration statement of which this prospectus is a part has been withdrawn, but excluding any information furnished to, rather than filed with, the SEC, will also be incorporated by reference into this prospectus and deemed to be part of this prospectus from the date of the filing of such reports and documents.</w:t>
      </w:r>
    </w:p>
    <w:p>
      <w:pPr>
        <w:spacing w:after="0" w:line="176" w:lineRule="exact"/>
        <w:rPr>
          <w:rFonts w:ascii="Arial" w:cs="Arial" w:eastAsia="Arial" w:hAnsi="Arial"/>
          <w:sz w:val="17"/>
          <w:szCs w:val="17"/>
          <w:color w:val="auto"/>
        </w:rPr>
      </w:pPr>
    </w:p>
    <w:p>
      <w:pPr>
        <w:ind w:left="120" w:right="100"/>
        <w:spacing w:after="0" w:line="259" w:lineRule="auto"/>
        <w:rPr>
          <w:sz w:val="20"/>
          <w:szCs w:val="20"/>
          <w:color w:val="auto"/>
        </w:rPr>
      </w:pPr>
      <w:r>
        <w:rPr>
          <w:rFonts w:ascii="Arial" w:cs="Arial" w:eastAsia="Arial" w:hAnsi="Arial"/>
          <w:sz w:val="18"/>
          <w:szCs w:val="18"/>
          <w:color w:val="auto"/>
        </w:rPr>
        <w:t>We will provide to each person at their request, including any beneficial owner, to whom a prospectus is delivered, a copy of any or all of the reports or documents that have been incorporated by reference into this prospectus but not delivered with this prospectus free of charge. We will provide these reports upon written or oral request at no cost to the requester. Please direct your request, either in writing or by telephone, to the following address and telephone number:</w:t>
      </w:r>
    </w:p>
    <w:p>
      <w:pPr>
        <w:spacing w:after="0" w:line="187"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8"/>
          <w:szCs w:val="18"/>
          <w:color w:val="auto"/>
        </w:rPr>
        <w:t>Centessa Pharmaceuticals plc</w:t>
      </w:r>
    </w:p>
    <w:p>
      <w:pPr>
        <w:spacing w:after="0" w:line="23"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8"/>
          <w:szCs w:val="18"/>
          <w:color w:val="auto"/>
        </w:rPr>
        <w:t>3rd Floor, 1 Ashley Rd,</w:t>
      </w:r>
    </w:p>
    <w:p>
      <w:pPr>
        <w:spacing w:after="0" w:line="9"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8"/>
          <w:szCs w:val="18"/>
          <w:color w:val="auto"/>
        </w:rPr>
        <w:t>Altrincham, Cheshire,</w:t>
      </w:r>
    </w:p>
    <w:p>
      <w:pPr>
        <w:spacing w:after="0" w:line="9"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8"/>
          <w:szCs w:val="18"/>
          <w:color w:val="auto"/>
        </w:rPr>
        <w:t>United Kingdom, WA14 2DT</w:t>
      </w:r>
    </w:p>
    <w:p>
      <w:pPr>
        <w:spacing w:after="0" w:line="9"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8"/>
          <w:szCs w:val="18"/>
          <w:color w:val="auto"/>
        </w:rPr>
        <w:t>+44 7391 789784</w:t>
      </w:r>
    </w:p>
    <w:p>
      <w:pPr>
        <w:spacing w:after="0" w:line="211" w:lineRule="exact"/>
        <w:rPr>
          <w:rFonts w:ascii="Arial" w:cs="Arial" w:eastAsia="Arial" w:hAnsi="Arial"/>
          <w:sz w:val="17"/>
          <w:szCs w:val="17"/>
          <w:color w:val="auto"/>
        </w:rPr>
      </w:pPr>
    </w:p>
    <w:p>
      <w:pPr>
        <w:ind w:left="120" w:right="380"/>
        <w:spacing w:after="0" w:line="342" w:lineRule="auto"/>
        <w:rPr>
          <w:sz w:val="20"/>
          <w:szCs w:val="20"/>
          <w:color w:val="auto"/>
        </w:rPr>
      </w:pPr>
      <w:r>
        <w:rPr>
          <w:rFonts w:ascii="Arial" w:cs="Arial" w:eastAsia="Arial" w:hAnsi="Arial"/>
          <w:sz w:val="16"/>
          <w:szCs w:val="16"/>
          <w:color w:val="auto"/>
        </w:rPr>
        <w:t>You may also access these documents on our website, http://www.centessa.com. The information contained on, or that can be accessed through, our website is not a part of this prospectus. We have included our website address in this prospectus solely as an inactive textual reference.</w:t>
      </w:r>
    </w:p>
    <w:p>
      <w:pPr>
        <w:spacing w:after="0" w:line="124" w:lineRule="exact"/>
        <w:rPr>
          <w:rFonts w:ascii="Arial" w:cs="Arial" w:eastAsia="Arial" w:hAnsi="Arial"/>
          <w:sz w:val="17"/>
          <w:szCs w:val="17"/>
          <w:color w:val="auto"/>
        </w:rPr>
      </w:pPr>
    </w:p>
    <w:p>
      <w:pPr>
        <w:jc w:val="both"/>
        <w:ind w:left="120" w:right="240"/>
        <w:spacing w:after="0" w:line="311" w:lineRule="auto"/>
        <w:rPr>
          <w:sz w:val="20"/>
          <w:szCs w:val="20"/>
          <w:color w:val="auto"/>
        </w:rPr>
      </w:pPr>
      <w:r>
        <w:rPr>
          <w:rFonts w:ascii="Arial" w:cs="Arial" w:eastAsia="Arial" w:hAnsi="Arial"/>
          <w:sz w:val="16"/>
          <w:szCs w:val="16"/>
          <w:color w:val="auto"/>
        </w:rPr>
        <w:t>You should rely only on the information incorporated by reference or provided in this prospectus. We have not authorized anyone else to provide you with different or additional information. An offer of these securities is not being made in any jurisdiction where the offer or sale is not permitted. You should not assume that the information in this prospectus is accurate as of any date other than the date on the front of those documents.</w:t>
      </w:r>
    </w:p>
    <w:p>
      <w:pPr>
        <w:spacing w:after="0" w:line="81"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1917700</wp:posOffset>
            </wp:positionV>
            <wp:extent cx="2571750" cy="5575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2571750" cy="5575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840"/>
        <w:spacing w:after="0"/>
        <w:rPr>
          <w:sz w:val="20"/>
          <w:szCs w:val="20"/>
          <w:color w:val="auto"/>
        </w:rPr>
      </w:pPr>
      <w:r>
        <w:rPr>
          <w:rFonts w:ascii="Arial" w:cs="Arial" w:eastAsia="Arial" w:hAnsi="Arial"/>
          <w:sz w:val="29"/>
          <w:szCs w:val="29"/>
          <w:b w:val="1"/>
          <w:bCs w:val="1"/>
          <w:color w:val="auto"/>
        </w:rPr>
        <w:t>$350,000,000</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Ordinary Shares</w:t>
      </w:r>
    </w:p>
    <w:p>
      <w:pPr>
        <w:spacing w:after="0" w:line="36"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American Depositary Shares representing Ordinary Shares</w:t>
      </w:r>
    </w:p>
    <w:p>
      <w:pPr>
        <w:spacing w:after="0" w:line="5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Debt Securities</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Warrants</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542925</wp:posOffset>
            </wp:positionV>
            <wp:extent cx="1474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551180</wp:posOffset>
            </wp:positionV>
            <wp:extent cx="1474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1611630</wp:posOffset>
            </wp:positionV>
            <wp:extent cx="6995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1671955</wp:posOffset>
            </wp:positionV>
            <wp:extent cx="699516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following is an estimate of the expenses (all of which are to be paid by us) that we may incur in connection with the securities being registered hereby, other than the FINRA filing fee.</w:t>
      </w:r>
    </w:p>
    <w:p>
      <w:pPr>
        <w:sectPr>
          <w:pgSz w:w="11900" w:h="16838" w:orient="portrait"/>
          <w:cols w:equalWidth="0" w:num="1">
            <w:col w:w="11120"/>
          </w:cols>
          <w:pgMar w:left="320" w:top="459" w:right="459" w:bottom="1440" w:gutter="0" w:footer="0" w:header="0"/>
        </w:sectPr>
      </w:pPr>
    </w:p>
    <w:p>
      <w:pPr>
        <w:spacing w:after="0" w:line="19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20320</wp:posOffset>
            </wp:positionV>
            <wp:extent cx="4749165"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Miscellaneous expenses</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2"/>
        <w:spacing w:after="0"/>
        <w:rPr>
          <w:sz w:val="20"/>
          <w:szCs w:val="20"/>
          <w:color w:val="auto"/>
        </w:rPr>
      </w:pPr>
      <w:r>
        <w:rPr>
          <w:rFonts w:ascii="Arial" w:cs="Arial" w:eastAsia="Arial" w:hAnsi="Arial"/>
          <w:sz w:val="17"/>
          <w:szCs w:val="17"/>
          <w:color w:val="auto"/>
        </w:rPr>
        <w:t>$ 32,445.00</w:t>
      </w:r>
    </w:p>
    <w:p>
      <w:pPr>
        <w:spacing w:after="0" w:line="35" w:lineRule="exact"/>
        <w:rPr>
          <w:sz w:val="20"/>
          <w:szCs w:val="20"/>
          <w:color w:val="auto"/>
        </w:rPr>
      </w:pPr>
    </w:p>
    <w:p>
      <w:pPr>
        <w:ind w:left="822" w:hanging="822"/>
        <w:spacing w:after="0"/>
        <w:tabs>
          <w:tab w:leader="none" w:pos="822"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822"/>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822"/>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822"/>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829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 w:lineRule="exact"/>
        <w:rPr>
          <w:sz w:val="20"/>
          <w:szCs w:val="20"/>
          <w:color w:val="auto"/>
        </w:rPr>
      </w:pPr>
    </w:p>
    <w:p>
      <w:pPr>
        <w:ind w:left="822" w:hanging="822"/>
        <w:spacing w:after="0"/>
        <w:tabs>
          <w:tab w:leader="none" w:pos="822"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829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5829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58" w:space="720"/>
            <w:col w:w="2742"/>
          </w:cols>
          <w:pgMar w:left="320" w:top="459" w:right="459" w:bottom="1440" w:gutter="0" w:footer="0" w:header="0"/>
          <w:type w:val="continuous"/>
        </w:sectPr>
      </w:pP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Estimated expenses not presently known.</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Subject to the Companies Act 2006, members of the registrant’s board of directors and its officers (excluding auditors) have the benefit of the following indemnification provisions in the registrant’s Articles of Association: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 and former members of the registrant’s board of directors or officers shall be reimbursed for:</w:t>
      </w:r>
    </w:p>
    <w:p>
      <w:pPr>
        <w:spacing w:after="0" w:line="131" w:lineRule="exact"/>
        <w:rPr>
          <w:sz w:val="20"/>
          <w:szCs w:val="20"/>
          <w:color w:val="auto"/>
        </w:rPr>
      </w:pPr>
    </w:p>
    <w:p>
      <w:pPr>
        <w:ind w:left="540" w:right="100" w:hanging="424"/>
        <w:spacing w:after="0" w:line="277"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costs, charges, losses, expenses and liabilities sustained or incurred in relation to his or her actual or purported execution of his or her duties in relation to the registrant, including any liability incurred in defending any criminal or civil proceedings; and</w:t>
      </w:r>
    </w:p>
    <w:p>
      <w:pPr>
        <w:spacing w:after="0" w:line="75" w:lineRule="exact"/>
        <w:rPr>
          <w:rFonts w:ascii="Arial" w:cs="Arial" w:eastAsia="Arial" w:hAnsi="Arial"/>
          <w:sz w:val="18"/>
          <w:szCs w:val="18"/>
          <w:color w:val="auto"/>
        </w:rPr>
      </w:pPr>
    </w:p>
    <w:p>
      <w:pPr>
        <w:ind w:left="540" w:hanging="424"/>
        <w:spacing w:after="0" w:line="301"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expenses incurred or to be incurred in defending any criminal or civil proceedings, in an investigation by a regulatory authority or against a proposed action to be taken by a regulatory authority, or in connection with any application for relief under the statutes of the United Kingdom and any other statutes that concern and affect the registrant as a company, or collectively the Statutes, arising in relation to the registrant or an associated company, by virtue of the actual or purposed execution of the duties of his or her office or the exercise of his or her powers.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the case of current or former members of the registrant’s board of directors, there shall be no entitlement to reimbursement as referred to above for</w:t>
      </w:r>
    </w:p>
    <w:p>
      <w:pPr>
        <w:spacing w:after="0" w:line="46" w:lineRule="exact"/>
        <w:rPr>
          <w:sz w:val="20"/>
          <w:szCs w:val="20"/>
          <w:color w:val="auto"/>
        </w:rPr>
      </w:pPr>
    </w:p>
    <w:p>
      <w:pPr>
        <w:ind w:left="120" w:hanging="4"/>
        <w:spacing w:after="0" w:line="271" w:lineRule="auto"/>
        <w:tabs>
          <w:tab w:leader="none" w:pos="335"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liability incurred to the registrant or any associated company, (ii) the payment of a fine imposed in any criminal proceeding or a penalty imposed by a regulatory authority for non-compliance with any requirement of a regulatory nature, (iii) the defense of any criminal proceeding if the member of the registrant’s board of directors is convicted, (iv) the defense of any civil proceeding brought by the registrant or an associated company in which judgment is given against the director, and (v) any application for relief under the statutes of the United Kingdom and any other statutes that concern and affect the registrant as a company in which the court refuses to grant relief to the director.</w:t>
      </w:r>
    </w:p>
    <w:p>
      <w:pPr>
        <w:spacing w:after="0" w:line="17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addition, members of the registrant’s board of directors and its officers who have received payment from the registrant under these indemnification provisions must repay the amount they received in accordance with the Statutes or in any other circumstances that the registrant may prescribe or where the registrant has reserved the right to require repayment.</w:t>
      </w:r>
    </w:p>
    <w:p>
      <w:pPr>
        <w:spacing w:after="0" w:line="184" w:lineRule="exact"/>
        <w:rPr>
          <w:sz w:val="20"/>
          <w:szCs w:val="20"/>
          <w:color w:val="auto"/>
        </w:rPr>
      </w:pPr>
    </w:p>
    <w:p>
      <w:pPr>
        <w:ind w:left="120" w:right="960"/>
        <w:spacing w:after="0" w:line="308" w:lineRule="auto"/>
        <w:rPr>
          <w:sz w:val="20"/>
          <w:szCs w:val="20"/>
          <w:color w:val="auto"/>
        </w:rPr>
      </w:pPr>
      <w:r>
        <w:rPr>
          <w:rFonts w:ascii="Arial" w:cs="Arial" w:eastAsia="Arial" w:hAnsi="Arial"/>
          <w:sz w:val="17"/>
          <w:szCs w:val="17"/>
          <w:color w:val="auto"/>
        </w:rPr>
        <w:t>In addition, the Registrant has entered or intends to enter into a deed of indemnity with each of its directors and officers. In addition to such indemnification, the Registrant provides its directors and officers with directors’ and officers’ liability insurance.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exhibits are filed with this registration statement or are incorporated herein by reference.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60" w:type="dxa"/>
            <w:vAlign w:val="bottom"/>
          </w:tcPr>
          <w:p>
            <w:pPr>
              <w:jc w:val="right"/>
              <w:ind w:right="692"/>
              <w:spacing w:after="0"/>
              <w:rPr>
                <w:sz w:val="20"/>
                <w:szCs w:val="20"/>
                <w:color w:val="auto"/>
              </w:rPr>
            </w:pPr>
            <w:r>
              <w:rPr>
                <w:rFonts w:ascii="Arial" w:cs="Arial" w:eastAsia="Arial" w:hAnsi="Arial"/>
                <w:sz w:val="14"/>
                <w:szCs w:val="14"/>
                <w:b w:val="1"/>
                <w:bCs w:val="1"/>
                <w:color w:val="auto"/>
                <w:w w:val="98"/>
              </w:rPr>
              <w:t>Exhibit</w:t>
            </w: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20" w:type="dxa"/>
            <w:vAlign w:val="bottom"/>
            <w:gridSpan w:val="11"/>
            <w:vMerge w:val="restart"/>
          </w:tcPr>
          <w:p>
            <w:pPr>
              <w:ind w:left="4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5"/>
        </w:trPr>
        <w:tc>
          <w:tcPr>
            <w:tcW w:w="1260" w:type="dxa"/>
            <w:vAlign w:val="bottom"/>
          </w:tcPr>
          <w:p>
            <w:pPr>
              <w:jc w:val="right"/>
              <w:ind w:right="672"/>
              <w:spacing w:after="0"/>
              <w:rPr>
                <w:sz w:val="20"/>
                <w:szCs w:val="20"/>
                <w:color w:val="auto"/>
              </w:rPr>
            </w:pPr>
            <w:r>
              <w:rPr>
                <w:rFonts w:ascii="Arial" w:cs="Arial" w:eastAsia="Arial" w:hAnsi="Arial"/>
                <w:sz w:val="14"/>
                <w:szCs w:val="14"/>
                <w:b w:val="1"/>
                <w:bCs w:val="1"/>
                <w:color w:val="auto"/>
                <w:w w:val="90"/>
              </w:rPr>
              <w:t>Number</w:t>
            </w:r>
          </w:p>
        </w:tc>
        <w:tc>
          <w:tcPr>
            <w:tcW w:w="13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20" w:type="dxa"/>
            <w:vAlign w:val="bottom"/>
            <w:tcBorders>
              <w:bottom w:val="single" w:sz="8" w:color="auto"/>
            </w:tcBorders>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260" w:type="dxa"/>
            <w:vAlign w:val="bottom"/>
          </w:tcPr>
          <w:p>
            <w:pPr>
              <w:jc w:val="right"/>
              <w:ind w:right="772"/>
              <w:spacing w:after="0"/>
              <w:rPr>
                <w:sz w:val="20"/>
                <w:szCs w:val="20"/>
                <w:color w:val="auto"/>
              </w:rPr>
            </w:pPr>
            <w:r>
              <w:rPr>
                <w:rFonts w:ascii="Arial" w:cs="Arial" w:eastAsia="Arial" w:hAnsi="Arial"/>
                <w:sz w:val="18"/>
                <w:szCs w:val="18"/>
                <w:color w:val="auto"/>
              </w:rPr>
              <w:t>1.1*</w:t>
            </w:r>
          </w:p>
        </w:tc>
        <w:tc>
          <w:tcPr>
            <w:tcW w:w="9760" w:type="dxa"/>
            <w:vAlign w:val="bottom"/>
            <w:gridSpan w:val="19"/>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83"/>
        </w:trPr>
        <w:tc>
          <w:tcPr>
            <w:tcW w:w="1260" w:type="dxa"/>
            <w:vAlign w:val="bottom"/>
          </w:tcPr>
          <w:p>
            <w:pPr>
              <w:jc w:val="right"/>
              <w:ind w:right="852"/>
              <w:spacing w:after="0"/>
              <w:rPr>
                <w:sz w:val="20"/>
                <w:szCs w:val="20"/>
                <w:color w:val="auto"/>
              </w:rPr>
            </w:pPr>
            <w:r>
              <w:rPr>
                <w:rFonts w:ascii="Arial" w:cs="Arial" w:eastAsia="Arial" w:hAnsi="Arial"/>
                <w:sz w:val="18"/>
                <w:szCs w:val="18"/>
                <w:color w:val="auto"/>
              </w:rPr>
              <w:t>4.1</w:t>
            </w:r>
          </w:p>
        </w:tc>
        <w:tc>
          <w:tcPr>
            <w:tcW w:w="9680" w:type="dxa"/>
            <w:vAlign w:val="bottom"/>
            <w:tcBorders>
              <w:bottom w:val="single" w:sz="8" w:color="0000EE"/>
            </w:tcBorders>
            <w:gridSpan w:val="18"/>
          </w:tcPr>
          <w:p>
            <w:pPr>
              <w:spacing w:after="0"/>
              <w:rPr>
                <w:rFonts w:ascii="Arial" w:cs="Arial" w:eastAsia="Arial" w:hAnsi="Arial"/>
                <w:sz w:val="18"/>
                <w:szCs w:val="18"/>
                <w:color w:val="0000EE"/>
                <w:w w:val="91"/>
              </w:rPr>
            </w:pPr>
            <w:hyperlink r:id="rId127">
              <w:r>
                <w:rPr>
                  <w:rFonts w:ascii="Arial" w:cs="Arial" w:eastAsia="Arial" w:hAnsi="Arial"/>
                  <w:sz w:val="18"/>
                  <w:szCs w:val="18"/>
                  <w:color w:val="0000EE"/>
                  <w:w w:val="91"/>
                </w:rPr>
                <w:t>Articles of Association of the registrant, as currently in effect (incorporated by reference to Exhibit 3.1 to the Registrant’s Registration</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4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Statement on Form S-1 (File No. 333-255393)).</w:t>
              </w:r>
            </w:hyperlink>
          </w:p>
        </w:tc>
        <w:tc>
          <w:tcPr>
            <w:tcW w:w="63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60" w:type="dxa"/>
            <w:vAlign w:val="bottom"/>
          </w:tcPr>
          <w:p>
            <w:pPr>
              <w:jc w:val="right"/>
              <w:ind w:right="852"/>
              <w:spacing w:after="0"/>
              <w:rPr>
                <w:sz w:val="20"/>
                <w:szCs w:val="20"/>
                <w:color w:val="auto"/>
              </w:rPr>
            </w:pPr>
            <w:r>
              <w:rPr>
                <w:rFonts w:ascii="Arial" w:cs="Arial" w:eastAsia="Arial" w:hAnsi="Arial"/>
                <w:sz w:val="18"/>
                <w:szCs w:val="18"/>
                <w:color w:val="auto"/>
              </w:rPr>
              <w:t>4.2</w:t>
            </w:r>
          </w:p>
        </w:tc>
        <w:tc>
          <w:tcPr>
            <w:tcW w:w="9760" w:type="dxa"/>
            <w:vAlign w:val="bottom"/>
            <w:gridSpan w:val="19"/>
          </w:tcPr>
          <w:p>
            <w:pPr>
              <w:spacing w:after="0"/>
              <w:rPr>
                <w:rFonts w:ascii="Arial" w:cs="Arial" w:eastAsia="Arial" w:hAnsi="Arial"/>
                <w:sz w:val="18"/>
                <w:szCs w:val="18"/>
                <w:color w:val="0000EE"/>
                <w:w w:val="94"/>
              </w:rPr>
            </w:pPr>
            <w:hyperlink r:id="rId128">
              <w:r>
                <w:rPr>
                  <w:rFonts w:ascii="Arial" w:cs="Arial" w:eastAsia="Arial" w:hAnsi="Arial"/>
                  <w:sz w:val="18"/>
                  <w:szCs w:val="18"/>
                  <w:color w:val="0000EE"/>
                  <w:w w:val="94"/>
                </w:rPr>
                <w:t>Form of Deposit Agreement (incorporated by reference to Exhibit 4.1 to the Registrant’s Registration Statement on Form S-1 (File</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4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No. 333-255393)).</w:t>
              </w:r>
            </w:hyperlink>
          </w:p>
        </w:tc>
        <w:tc>
          <w:tcPr>
            <w:tcW w:w="3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tcPr>
          <w:p>
            <w:pPr>
              <w:jc w:val="right"/>
              <w:ind w:right="852"/>
              <w:spacing w:after="0"/>
              <w:rPr>
                <w:sz w:val="20"/>
                <w:szCs w:val="20"/>
                <w:color w:val="auto"/>
              </w:rPr>
            </w:pPr>
            <w:r>
              <w:rPr>
                <w:rFonts w:ascii="Arial" w:cs="Arial" w:eastAsia="Arial" w:hAnsi="Arial"/>
                <w:sz w:val="18"/>
                <w:szCs w:val="18"/>
                <w:color w:val="auto"/>
              </w:rPr>
              <w:t>4.3</w:t>
            </w:r>
          </w:p>
        </w:tc>
        <w:tc>
          <w:tcPr>
            <w:tcW w:w="9760" w:type="dxa"/>
            <w:vAlign w:val="bottom"/>
            <w:gridSpan w:val="19"/>
          </w:tcPr>
          <w:p>
            <w:pPr>
              <w:spacing w:after="0"/>
              <w:rPr>
                <w:rFonts w:ascii="Arial" w:cs="Arial" w:eastAsia="Arial" w:hAnsi="Arial"/>
                <w:sz w:val="18"/>
                <w:szCs w:val="18"/>
                <w:color w:val="0000EE"/>
              </w:rPr>
            </w:pPr>
            <w:hyperlink r:id="rId128">
              <w:r>
                <w:rPr>
                  <w:rFonts w:ascii="Arial" w:cs="Arial" w:eastAsia="Arial" w:hAnsi="Arial"/>
                  <w:sz w:val="18"/>
                  <w:szCs w:val="18"/>
                  <w:color w:val="0000EE"/>
                </w:rPr>
                <w:t>Form of American Depositary Receipt (included in Exhibit 4.1) (incorporated by reference to Exhibit 4.2 to the Registrant’s</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Registration Statement on Form S-1 (File No. 333-255393)).</w:t>
              </w:r>
            </w:hyperlink>
          </w:p>
        </w:tc>
        <w:tc>
          <w:tcPr>
            <w:tcW w:w="4580" w:type="dxa"/>
            <w:vAlign w:val="bottom"/>
            <w:tcBorders>
              <w:top w:val="single" w:sz="8" w:color="0000EE"/>
            </w:tcBorders>
            <w:gridSpan w:val="6"/>
          </w:tcPr>
          <w:p>
            <w:pPr>
              <w:spacing w:after="0"/>
              <w:rPr>
                <w:sz w:val="17"/>
                <w:szCs w:val="17"/>
                <w:color w:val="auto"/>
              </w:rPr>
            </w:pPr>
          </w:p>
        </w:tc>
        <w:tc>
          <w:tcPr>
            <w:tcW w:w="8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60" w:type="dxa"/>
            <w:vAlign w:val="bottom"/>
          </w:tcPr>
          <w:p>
            <w:pPr>
              <w:jc w:val="right"/>
              <w:ind w:right="852"/>
              <w:spacing w:after="0"/>
              <w:rPr>
                <w:sz w:val="20"/>
                <w:szCs w:val="20"/>
                <w:color w:val="auto"/>
              </w:rPr>
            </w:pPr>
            <w:r>
              <w:rPr>
                <w:rFonts w:ascii="Arial" w:cs="Arial" w:eastAsia="Arial" w:hAnsi="Arial"/>
                <w:sz w:val="18"/>
                <w:szCs w:val="18"/>
                <w:color w:val="auto"/>
              </w:rPr>
              <w:t>4.4</w:t>
            </w:r>
          </w:p>
        </w:tc>
        <w:tc>
          <w:tcPr>
            <w:tcW w:w="9760" w:type="dxa"/>
            <w:vAlign w:val="bottom"/>
            <w:gridSpan w:val="19"/>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Form of Indenture for Senior Debt Securities</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tcPr>
          <w:p>
            <w:pPr>
              <w:jc w:val="right"/>
              <w:ind w:right="852"/>
              <w:spacing w:after="0"/>
              <w:rPr>
                <w:sz w:val="20"/>
                <w:szCs w:val="20"/>
                <w:color w:val="auto"/>
              </w:rPr>
            </w:pPr>
            <w:r>
              <w:rPr>
                <w:rFonts w:ascii="Arial" w:cs="Arial" w:eastAsia="Arial" w:hAnsi="Arial"/>
                <w:sz w:val="18"/>
                <w:szCs w:val="18"/>
                <w:color w:val="auto"/>
              </w:rPr>
              <w:t>4.5</w:t>
            </w:r>
          </w:p>
        </w:tc>
        <w:tc>
          <w:tcPr>
            <w:tcW w:w="44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78">
              <w:r>
                <w:rPr>
                  <w:rFonts w:ascii="Arial" w:cs="Arial" w:eastAsia="Arial" w:hAnsi="Arial"/>
                  <w:sz w:val="18"/>
                  <w:szCs w:val="18"/>
                  <w:color w:val="0000EE"/>
                  <w:w w:val="92"/>
                </w:rPr>
                <w:t>Form of Senior Debt Security (included in Exhibit 4.4 hereto)</w:t>
              </w:r>
            </w:hyperlink>
          </w:p>
        </w:tc>
        <w:tc>
          <w:tcPr>
            <w:tcW w:w="5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tcPr>
          <w:p>
            <w:pPr>
              <w:jc w:val="right"/>
              <w:ind w:right="852"/>
              <w:spacing w:after="0"/>
              <w:rPr>
                <w:sz w:val="20"/>
                <w:szCs w:val="20"/>
                <w:color w:val="auto"/>
              </w:rPr>
            </w:pPr>
            <w:r>
              <w:rPr>
                <w:rFonts w:ascii="Arial" w:cs="Arial" w:eastAsia="Arial" w:hAnsi="Arial"/>
                <w:sz w:val="18"/>
                <w:szCs w:val="18"/>
                <w:color w:val="auto"/>
              </w:rPr>
              <w:t>4.6</w:t>
            </w:r>
          </w:p>
        </w:tc>
        <w:tc>
          <w:tcPr>
            <w:tcW w:w="374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53">
              <w:r>
                <w:rPr>
                  <w:rFonts w:ascii="Arial" w:cs="Arial" w:eastAsia="Arial" w:hAnsi="Arial"/>
                  <w:sz w:val="18"/>
                  <w:szCs w:val="18"/>
                  <w:color w:val="0000EE"/>
                  <w:w w:val="91"/>
                </w:rPr>
                <w:t>Form of Indenture for Subordinated Debt Securities</w:t>
              </w:r>
            </w:hyperlink>
          </w:p>
        </w:tc>
        <w:tc>
          <w:tcPr>
            <w:tcW w:w="60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tcPr>
          <w:p>
            <w:pPr>
              <w:jc w:val="right"/>
              <w:ind w:right="852"/>
              <w:spacing w:after="0"/>
              <w:rPr>
                <w:sz w:val="20"/>
                <w:szCs w:val="20"/>
                <w:color w:val="auto"/>
              </w:rPr>
            </w:pPr>
            <w:r>
              <w:rPr>
                <w:rFonts w:ascii="Arial" w:cs="Arial" w:eastAsia="Arial" w:hAnsi="Arial"/>
                <w:sz w:val="18"/>
                <w:szCs w:val="18"/>
                <w:color w:val="auto"/>
              </w:rPr>
              <w:t>4.7</w:t>
            </w:r>
          </w:p>
        </w:tc>
        <w:tc>
          <w:tcPr>
            <w:tcW w:w="9760" w:type="dxa"/>
            <w:vAlign w:val="bottom"/>
            <w:gridSpan w:val="19"/>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Form of Subordinated Debt Security (included in Exhibit 4.6 hereto)</w:t>
              </w:r>
            </w:hyperlink>
          </w:p>
        </w:tc>
        <w:tc>
          <w:tcPr>
            <w:tcW w:w="0" w:type="dxa"/>
            <w:vAlign w:val="bottom"/>
          </w:tcPr>
          <w:p>
            <w:pPr>
              <w:spacing w:after="0"/>
              <w:rPr>
                <w:sz w:val="1"/>
                <w:szCs w:val="1"/>
                <w:color w:val="auto"/>
              </w:rPr>
            </w:pPr>
          </w:p>
        </w:tc>
      </w:tr>
      <w:tr>
        <w:trPr>
          <w:trHeight w:val="345"/>
        </w:trPr>
        <w:tc>
          <w:tcPr>
            <w:tcW w:w="1260" w:type="dxa"/>
            <w:vAlign w:val="bottom"/>
          </w:tcPr>
          <w:p>
            <w:pPr>
              <w:jc w:val="right"/>
              <w:ind w:right="772"/>
              <w:spacing w:after="0"/>
              <w:rPr>
                <w:sz w:val="20"/>
                <w:szCs w:val="20"/>
                <w:color w:val="auto"/>
              </w:rPr>
            </w:pPr>
            <w:r>
              <w:rPr>
                <w:rFonts w:ascii="Arial" w:cs="Arial" w:eastAsia="Arial" w:hAnsi="Arial"/>
                <w:sz w:val="18"/>
                <w:szCs w:val="18"/>
                <w:color w:val="auto"/>
              </w:rPr>
              <w:t>4.8*</w:t>
            </w:r>
          </w:p>
        </w:tc>
        <w:tc>
          <w:tcPr>
            <w:tcW w:w="494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auto"/>
              </w:rPr>
              <w:t>Form of Warrant Agreement</w:t>
            </w:r>
          </w:p>
        </w:tc>
        <w:tc>
          <w:tcPr>
            <w:tcW w:w="48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60" w:type="dxa"/>
            <w:vAlign w:val="bottom"/>
          </w:tcPr>
          <w:p>
            <w:pPr>
              <w:jc w:val="right"/>
              <w:ind w:right="772"/>
              <w:spacing w:after="0"/>
              <w:rPr>
                <w:sz w:val="20"/>
                <w:szCs w:val="20"/>
                <w:color w:val="auto"/>
              </w:rPr>
            </w:pPr>
            <w:r>
              <w:rPr>
                <w:rFonts w:ascii="Arial" w:cs="Arial" w:eastAsia="Arial" w:hAnsi="Arial"/>
                <w:sz w:val="18"/>
                <w:szCs w:val="18"/>
                <w:color w:val="auto"/>
              </w:rPr>
              <w:t>4.9*</w:t>
            </w:r>
          </w:p>
        </w:tc>
        <w:tc>
          <w:tcPr>
            <w:tcW w:w="9760" w:type="dxa"/>
            <w:vAlign w:val="bottom"/>
            <w:gridSpan w:val="19"/>
          </w:tcPr>
          <w:p>
            <w:pPr>
              <w:spacing w:after="0"/>
              <w:rPr>
                <w:sz w:val="20"/>
                <w:szCs w:val="20"/>
                <w:color w:val="auto"/>
              </w:rPr>
            </w:pPr>
            <w:r>
              <w:rPr>
                <w:rFonts w:ascii="Arial" w:cs="Arial" w:eastAsia="Arial" w:hAnsi="Arial"/>
                <w:sz w:val="18"/>
                <w:szCs w:val="18"/>
                <w:color w:val="auto"/>
              </w:rPr>
              <w:t>Form of Warrant Certificate</w:t>
            </w:r>
          </w:p>
        </w:tc>
        <w:tc>
          <w:tcPr>
            <w:tcW w:w="0" w:type="dxa"/>
            <w:vAlign w:val="bottom"/>
          </w:tcPr>
          <w:p>
            <w:pPr>
              <w:spacing w:after="0"/>
              <w:rPr>
                <w:sz w:val="1"/>
                <w:szCs w:val="1"/>
                <w:color w:val="auto"/>
              </w:rPr>
            </w:pPr>
          </w:p>
        </w:tc>
      </w:tr>
      <w:tr>
        <w:trPr>
          <w:trHeight w:val="324"/>
        </w:trPr>
        <w:tc>
          <w:tcPr>
            <w:tcW w:w="1260" w:type="dxa"/>
            <w:vAlign w:val="bottom"/>
          </w:tcPr>
          <w:p>
            <w:pPr>
              <w:jc w:val="right"/>
              <w:ind w:right="772"/>
              <w:spacing w:after="0"/>
              <w:rPr>
                <w:sz w:val="20"/>
                <w:szCs w:val="20"/>
                <w:color w:val="auto"/>
              </w:rPr>
            </w:pPr>
            <w:r>
              <w:rPr>
                <w:rFonts w:ascii="Arial" w:cs="Arial" w:eastAsia="Arial" w:hAnsi="Arial"/>
                <w:sz w:val="18"/>
                <w:szCs w:val="18"/>
                <w:color w:val="auto"/>
                <w:w w:val="90"/>
              </w:rPr>
              <w:t>4.10*</w:t>
            </w:r>
          </w:p>
        </w:tc>
        <w:tc>
          <w:tcPr>
            <w:tcW w:w="9760" w:type="dxa"/>
            <w:vAlign w:val="bottom"/>
            <w:gridSpan w:val="19"/>
          </w:tcPr>
          <w:p>
            <w:pPr>
              <w:spacing w:after="0"/>
              <w:rPr>
                <w:sz w:val="20"/>
                <w:szCs w:val="20"/>
                <w:color w:val="auto"/>
              </w:rPr>
            </w:pPr>
            <w:r>
              <w:rPr>
                <w:rFonts w:ascii="Arial" w:cs="Arial" w:eastAsia="Arial" w:hAnsi="Arial"/>
                <w:sz w:val="18"/>
                <w:szCs w:val="18"/>
                <w:color w:val="auto"/>
              </w:rPr>
              <w:t>Form of Unit Agreement</w:t>
            </w:r>
          </w:p>
        </w:tc>
        <w:tc>
          <w:tcPr>
            <w:tcW w:w="0" w:type="dxa"/>
            <w:vAlign w:val="bottom"/>
          </w:tcPr>
          <w:p>
            <w:pPr>
              <w:spacing w:after="0"/>
              <w:rPr>
                <w:sz w:val="1"/>
                <w:szCs w:val="1"/>
                <w:color w:val="auto"/>
              </w:rPr>
            </w:pPr>
          </w:p>
        </w:tc>
      </w:tr>
      <w:tr>
        <w:trPr>
          <w:trHeight w:val="324"/>
        </w:trPr>
        <w:tc>
          <w:tcPr>
            <w:tcW w:w="1260" w:type="dxa"/>
            <w:vAlign w:val="bottom"/>
          </w:tcPr>
          <w:p>
            <w:pPr>
              <w:jc w:val="right"/>
              <w:ind w:right="772"/>
              <w:spacing w:after="0"/>
              <w:rPr>
                <w:sz w:val="20"/>
                <w:szCs w:val="20"/>
                <w:color w:val="auto"/>
              </w:rPr>
            </w:pPr>
            <w:r>
              <w:rPr>
                <w:rFonts w:ascii="Arial" w:cs="Arial" w:eastAsia="Arial" w:hAnsi="Arial"/>
                <w:sz w:val="18"/>
                <w:szCs w:val="18"/>
                <w:color w:val="auto"/>
                <w:w w:val="90"/>
              </w:rPr>
              <w:t>4.11*</w:t>
            </w:r>
          </w:p>
        </w:tc>
        <w:tc>
          <w:tcPr>
            <w:tcW w:w="9760" w:type="dxa"/>
            <w:vAlign w:val="bottom"/>
            <w:gridSpan w:val="19"/>
          </w:tcPr>
          <w:p>
            <w:pPr>
              <w:spacing w:after="0"/>
              <w:rPr>
                <w:sz w:val="20"/>
                <w:szCs w:val="20"/>
                <w:color w:val="auto"/>
              </w:rPr>
            </w:pPr>
            <w:r>
              <w:rPr>
                <w:rFonts w:ascii="Arial" w:cs="Arial" w:eastAsia="Arial" w:hAnsi="Arial"/>
                <w:sz w:val="18"/>
                <w:szCs w:val="18"/>
                <w:color w:val="auto"/>
              </w:rPr>
              <w:t>Form of Unit Certificate</w:t>
            </w:r>
          </w:p>
        </w:tc>
        <w:tc>
          <w:tcPr>
            <w:tcW w:w="0" w:type="dxa"/>
            <w:vAlign w:val="bottom"/>
          </w:tcPr>
          <w:p>
            <w:pPr>
              <w:spacing w:after="0"/>
              <w:rPr>
                <w:sz w:val="1"/>
                <w:szCs w:val="1"/>
                <w:color w:val="auto"/>
              </w:rPr>
            </w:pPr>
          </w:p>
        </w:tc>
      </w:tr>
      <w:tr>
        <w:trPr>
          <w:trHeight w:val="283"/>
        </w:trPr>
        <w:tc>
          <w:tcPr>
            <w:tcW w:w="1260" w:type="dxa"/>
            <w:vAlign w:val="bottom"/>
          </w:tcPr>
          <w:p>
            <w:pPr>
              <w:jc w:val="right"/>
              <w:ind w:right="852"/>
              <w:spacing w:after="0"/>
              <w:rPr>
                <w:sz w:val="20"/>
                <w:szCs w:val="20"/>
                <w:color w:val="auto"/>
              </w:rPr>
            </w:pPr>
            <w:r>
              <w:rPr>
                <w:rFonts w:ascii="Arial" w:cs="Arial" w:eastAsia="Arial" w:hAnsi="Arial"/>
                <w:sz w:val="18"/>
                <w:szCs w:val="18"/>
                <w:color w:val="auto"/>
              </w:rPr>
              <w:t>5.1</w:t>
            </w:r>
          </w:p>
        </w:tc>
        <w:tc>
          <w:tcPr>
            <w:tcW w:w="286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234">
              <w:r>
                <w:rPr>
                  <w:rFonts w:ascii="Arial" w:cs="Arial" w:eastAsia="Arial" w:hAnsi="Arial"/>
                  <w:sz w:val="18"/>
                  <w:szCs w:val="18"/>
                  <w:color w:val="0000EE"/>
                  <w:w w:val="94"/>
                </w:rPr>
                <w:t>Opinion of Goodwin Procter (UK) LLP</w:t>
              </w:r>
            </w:hyperlink>
          </w:p>
        </w:tc>
        <w:tc>
          <w:tcPr>
            <w:tcW w:w="69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tcPr>
          <w:p>
            <w:pPr>
              <w:jc w:val="right"/>
              <w:ind w:right="852"/>
              <w:spacing w:after="0"/>
              <w:rPr>
                <w:sz w:val="20"/>
                <w:szCs w:val="20"/>
                <w:color w:val="auto"/>
              </w:rPr>
            </w:pPr>
            <w:r>
              <w:rPr>
                <w:rFonts w:ascii="Arial" w:cs="Arial" w:eastAsia="Arial" w:hAnsi="Arial"/>
                <w:sz w:val="18"/>
                <w:szCs w:val="18"/>
                <w:color w:val="auto"/>
              </w:rPr>
              <w:t>5.2</w:t>
            </w:r>
          </w:p>
        </w:tc>
        <w:tc>
          <w:tcPr>
            <w:tcW w:w="244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242">
              <w:r>
                <w:rPr>
                  <w:rFonts w:ascii="Arial" w:cs="Arial" w:eastAsia="Arial" w:hAnsi="Arial"/>
                  <w:sz w:val="18"/>
                  <w:szCs w:val="18"/>
                  <w:color w:val="0000EE"/>
                  <w:w w:val="93"/>
                </w:rPr>
                <w:t>Opinion of Goodwin Procter LLP</w:t>
              </w:r>
            </w:hyperlink>
          </w:p>
        </w:tc>
        <w:tc>
          <w:tcPr>
            <w:tcW w:w="73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tcPr>
          <w:p>
            <w:pPr>
              <w:jc w:val="right"/>
              <w:ind w:right="852"/>
              <w:spacing w:after="0"/>
              <w:rPr>
                <w:sz w:val="20"/>
                <w:szCs w:val="20"/>
                <w:color w:val="auto"/>
              </w:rPr>
            </w:pPr>
            <w:r>
              <w:rPr>
                <w:rFonts w:ascii="Arial" w:cs="Arial" w:eastAsia="Arial" w:hAnsi="Arial"/>
                <w:sz w:val="18"/>
                <w:szCs w:val="18"/>
                <w:color w:val="auto"/>
                <w:w w:val="85"/>
              </w:rPr>
              <w:t>10.1</w:t>
            </w:r>
          </w:p>
        </w:tc>
        <w:tc>
          <w:tcPr>
            <w:tcW w:w="9600" w:type="dxa"/>
            <w:vAlign w:val="bottom"/>
            <w:tcBorders>
              <w:bottom w:val="single" w:sz="8" w:color="0000EE"/>
            </w:tcBorders>
            <w:gridSpan w:val="17"/>
          </w:tcPr>
          <w:p>
            <w:pPr>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Registration Rights Agreement by and among the registrant and the Investors listed therein, dated January 29, 2021 (incorporated by</w:t>
              </w:r>
            </w:hyperlink>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760" w:type="dxa"/>
            <w:vAlign w:val="bottom"/>
            <w:gridSpan w:val="19"/>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reference to Exhibit 10.1 to the Registrant’s Registration Statement on Form S-1 (File No. 333-255393)).</w:t>
              </w:r>
            </w:hyperlink>
          </w:p>
        </w:tc>
        <w:tc>
          <w:tcPr>
            <w:tcW w:w="0" w:type="dxa"/>
            <w:vAlign w:val="bottom"/>
          </w:tcPr>
          <w:p>
            <w:pPr>
              <w:spacing w:after="0"/>
              <w:rPr>
                <w:sz w:val="1"/>
                <w:szCs w:val="1"/>
                <w:color w:val="auto"/>
              </w:rPr>
            </w:pPr>
          </w:p>
        </w:tc>
      </w:tr>
      <w:tr>
        <w:trPr>
          <w:trHeight w:val="304"/>
        </w:trPr>
        <w:tc>
          <w:tcPr>
            <w:tcW w:w="1260" w:type="dxa"/>
            <w:vAlign w:val="bottom"/>
          </w:tcPr>
          <w:p>
            <w:pPr>
              <w:jc w:val="right"/>
              <w:ind w:right="852"/>
              <w:spacing w:after="0"/>
              <w:rPr>
                <w:sz w:val="20"/>
                <w:szCs w:val="20"/>
                <w:color w:val="auto"/>
              </w:rPr>
            </w:pPr>
            <w:r>
              <w:rPr>
                <w:rFonts w:ascii="Arial" w:cs="Arial" w:eastAsia="Arial" w:hAnsi="Arial"/>
                <w:sz w:val="18"/>
                <w:szCs w:val="18"/>
                <w:color w:val="auto"/>
                <w:w w:val="85"/>
              </w:rPr>
              <w:t>23.1</w:t>
            </w:r>
          </w:p>
        </w:tc>
        <w:tc>
          <w:tcPr>
            <w:tcW w:w="7560" w:type="dxa"/>
            <w:vAlign w:val="bottom"/>
            <w:tcBorders>
              <w:top w:val="single" w:sz="8" w:color="0000EE"/>
            </w:tcBorders>
            <w:gridSpan w:val="14"/>
          </w:tcPr>
          <w:p>
            <w:pPr>
              <w:spacing w:after="0"/>
              <w:rPr>
                <w:rFonts w:ascii="Arial" w:cs="Arial" w:eastAsia="Arial" w:hAnsi="Arial"/>
                <w:sz w:val="18"/>
                <w:szCs w:val="18"/>
                <w:color w:val="0000EE"/>
              </w:rPr>
            </w:pPr>
            <w:hyperlink w:anchor="page234">
              <w:r>
                <w:rPr>
                  <w:rFonts w:ascii="Arial" w:cs="Arial" w:eastAsia="Arial" w:hAnsi="Arial"/>
                  <w:sz w:val="18"/>
                  <w:szCs w:val="18"/>
                  <w:color w:val="0000EE"/>
                </w:rPr>
                <w:t>Consent of Goodwin Procter (UK) LLP (included in Exhibit 5.1 hereto)</w:t>
              </w:r>
            </w:hyperlink>
          </w:p>
        </w:tc>
        <w:tc>
          <w:tcPr>
            <w:tcW w:w="2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tcPr>
          <w:p>
            <w:pPr>
              <w:jc w:val="right"/>
              <w:ind w:right="852"/>
              <w:spacing w:after="0"/>
              <w:rPr>
                <w:sz w:val="20"/>
                <w:szCs w:val="20"/>
                <w:color w:val="auto"/>
              </w:rPr>
            </w:pPr>
            <w:r>
              <w:rPr>
                <w:rFonts w:ascii="Arial" w:cs="Arial" w:eastAsia="Arial" w:hAnsi="Arial"/>
                <w:sz w:val="18"/>
                <w:szCs w:val="18"/>
                <w:color w:val="auto"/>
                <w:w w:val="85"/>
              </w:rPr>
              <w:t>23.2</w:t>
            </w:r>
          </w:p>
        </w:tc>
        <w:tc>
          <w:tcPr>
            <w:tcW w:w="5160" w:type="dxa"/>
            <w:vAlign w:val="bottom"/>
            <w:tcBorders>
              <w:top w:val="single" w:sz="8" w:color="0000EE"/>
            </w:tcBorders>
            <w:gridSpan w:val="13"/>
          </w:tcPr>
          <w:p>
            <w:pPr>
              <w:spacing w:after="0"/>
              <w:rPr>
                <w:rFonts w:ascii="Arial" w:cs="Arial" w:eastAsia="Arial" w:hAnsi="Arial"/>
                <w:sz w:val="18"/>
                <w:szCs w:val="18"/>
                <w:color w:val="0000EE"/>
              </w:rPr>
            </w:pPr>
            <w:hyperlink w:anchor="page242">
              <w:r>
                <w:rPr>
                  <w:rFonts w:ascii="Arial" w:cs="Arial" w:eastAsia="Arial" w:hAnsi="Arial"/>
                  <w:sz w:val="18"/>
                  <w:szCs w:val="18"/>
                  <w:color w:val="0000EE"/>
                </w:rPr>
                <w:t>Consent of Goodwin Procter LLP (included in Exhibit 5.2 hereto)</w:t>
              </w:r>
            </w:hyperlink>
          </w:p>
        </w:tc>
        <w:tc>
          <w:tcPr>
            <w:tcW w:w="46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tcPr>
          <w:p>
            <w:pPr>
              <w:jc w:val="right"/>
              <w:ind w:right="852"/>
              <w:spacing w:after="0"/>
              <w:rPr>
                <w:sz w:val="20"/>
                <w:szCs w:val="20"/>
                <w:color w:val="auto"/>
              </w:rPr>
            </w:pPr>
            <w:r>
              <w:rPr>
                <w:rFonts w:ascii="Arial" w:cs="Arial" w:eastAsia="Arial" w:hAnsi="Arial"/>
                <w:sz w:val="18"/>
                <w:szCs w:val="18"/>
                <w:color w:val="auto"/>
                <w:w w:val="85"/>
              </w:rPr>
              <w:t>23.3</w:t>
            </w:r>
          </w:p>
        </w:tc>
        <w:tc>
          <w:tcPr>
            <w:tcW w:w="1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244">
              <w:r>
                <w:rPr>
                  <w:rFonts w:ascii="Arial" w:cs="Arial" w:eastAsia="Arial" w:hAnsi="Arial"/>
                  <w:sz w:val="18"/>
                  <w:szCs w:val="18"/>
                  <w:color w:val="0000EE"/>
                  <w:w w:val="93"/>
                </w:rPr>
                <w:t>Consent of KPMG LLP</w:t>
              </w:r>
            </w:hyperlink>
          </w:p>
        </w:tc>
        <w:tc>
          <w:tcPr>
            <w:tcW w:w="3020" w:type="dxa"/>
            <w:vAlign w:val="bottom"/>
            <w:tcBorders>
              <w:top w:val="single" w:sz="8" w:color="0000EE"/>
            </w:tcBorders>
            <w:gridSpan w:val="9"/>
          </w:tcPr>
          <w:p>
            <w:pPr>
              <w:spacing w:after="0"/>
              <w:rPr>
                <w:sz w:val="24"/>
                <w:szCs w:val="24"/>
                <w:color w:val="auto"/>
              </w:rPr>
            </w:pPr>
          </w:p>
        </w:tc>
        <w:tc>
          <w:tcPr>
            <w:tcW w:w="50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tcPr>
          <w:p>
            <w:pPr>
              <w:jc w:val="right"/>
              <w:ind w:right="852"/>
              <w:spacing w:after="0"/>
              <w:rPr>
                <w:sz w:val="20"/>
                <w:szCs w:val="20"/>
                <w:color w:val="auto"/>
              </w:rPr>
            </w:pPr>
            <w:r>
              <w:rPr>
                <w:rFonts w:ascii="Arial" w:cs="Arial" w:eastAsia="Arial" w:hAnsi="Arial"/>
                <w:sz w:val="18"/>
                <w:szCs w:val="18"/>
                <w:color w:val="auto"/>
                <w:w w:val="85"/>
              </w:rPr>
              <w:t>24.1</w:t>
            </w:r>
          </w:p>
        </w:tc>
        <w:tc>
          <w:tcPr>
            <w:tcW w:w="9760" w:type="dxa"/>
            <w:vAlign w:val="bottom"/>
            <w:gridSpan w:val="19"/>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Power of Attorney (included on signature page)</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40" w:type="dxa"/>
            <w:vAlign w:val="bottom"/>
            <w:gridSpan w:val="6"/>
            <w:shd w:val="clear" w:color="auto" w:fill="0000EE"/>
          </w:tcPr>
          <w:p>
            <w:pPr>
              <w:spacing w:after="0" w:line="20" w:lineRule="exact"/>
              <w:rPr>
                <w:sz w:val="1"/>
                <w:szCs w:val="1"/>
                <w:color w:val="auto"/>
              </w:rPr>
            </w:pPr>
          </w:p>
        </w:tc>
        <w:tc>
          <w:tcPr>
            <w:tcW w:w="632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60" w:type="dxa"/>
            <w:vAlign w:val="bottom"/>
          </w:tcPr>
          <w:p>
            <w:pPr>
              <w:jc w:val="right"/>
              <w:ind w:right="672"/>
              <w:spacing w:after="0"/>
              <w:rPr>
                <w:sz w:val="20"/>
                <w:szCs w:val="20"/>
                <w:color w:val="auto"/>
              </w:rPr>
            </w:pPr>
            <w:r>
              <w:rPr>
                <w:rFonts w:ascii="Arial" w:cs="Arial" w:eastAsia="Arial" w:hAnsi="Arial"/>
                <w:sz w:val="18"/>
                <w:szCs w:val="18"/>
                <w:color w:val="auto"/>
                <w:w w:val="97"/>
              </w:rPr>
              <w:t>25.1**</w:t>
            </w:r>
          </w:p>
        </w:tc>
        <w:tc>
          <w:tcPr>
            <w:tcW w:w="9760" w:type="dxa"/>
            <w:vAlign w:val="bottom"/>
            <w:gridSpan w:val="19"/>
          </w:tcPr>
          <w:p>
            <w:pPr>
              <w:spacing w:after="0"/>
              <w:rPr>
                <w:sz w:val="20"/>
                <w:szCs w:val="20"/>
                <w:color w:val="auto"/>
              </w:rPr>
            </w:pPr>
            <w:r>
              <w:rPr>
                <w:rFonts w:ascii="Arial" w:cs="Arial" w:eastAsia="Arial" w:hAnsi="Arial"/>
                <w:sz w:val="18"/>
                <w:szCs w:val="18"/>
                <w:color w:val="auto"/>
              </w:rPr>
              <w:t>Form T-1 Statement of Eligibility of Trustee for Senior Indenture under the Trust Indenture Act of 1939.</w:t>
            </w:r>
          </w:p>
        </w:tc>
        <w:tc>
          <w:tcPr>
            <w:tcW w:w="0" w:type="dxa"/>
            <w:vAlign w:val="bottom"/>
          </w:tcPr>
          <w:p>
            <w:pPr>
              <w:spacing w:after="0"/>
              <w:rPr>
                <w:sz w:val="1"/>
                <w:szCs w:val="1"/>
                <w:color w:val="auto"/>
              </w:rPr>
            </w:pPr>
          </w:p>
        </w:tc>
      </w:tr>
      <w:tr>
        <w:trPr>
          <w:trHeight w:val="324"/>
        </w:trPr>
        <w:tc>
          <w:tcPr>
            <w:tcW w:w="1260" w:type="dxa"/>
            <w:vAlign w:val="bottom"/>
          </w:tcPr>
          <w:p>
            <w:pPr>
              <w:jc w:val="right"/>
              <w:ind w:right="672"/>
              <w:spacing w:after="0"/>
              <w:rPr>
                <w:sz w:val="20"/>
                <w:szCs w:val="20"/>
                <w:color w:val="auto"/>
              </w:rPr>
            </w:pPr>
            <w:r>
              <w:rPr>
                <w:rFonts w:ascii="Arial" w:cs="Arial" w:eastAsia="Arial" w:hAnsi="Arial"/>
                <w:sz w:val="18"/>
                <w:szCs w:val="18"/>
                <w:color w:val="auto"/>
                <w:w w:val="97"/>
              </w:rPr>
              <w:t>25.2**</w:t>
            </w:r>
          </w:p>
        </w:tc>
        <w:tc>
          <w:tcPr>
            <w:tcW w:w="9760" w:type="dxa"/>
            <w:vAlign w:val="bottom"/>
            <w:gridSpan w:val="19"/>
          </w:tcPr>
          <w:p>
            <w:pPr>
              <w:spacing w:after="0"/>
              <w:rPr>
                <w:sz w:val="20"/>
                <w:szCs w:val="20"/>
                <w:color w:val="auto"/>
              </w:rPr>
            </w:pPr>
            <w:r>
              <w:rPr>
                <w:rFonts w:ascii="Arial" w:cs="Arial" w:eastAsia="Arial" w:hAnsi="Arial"/>
                <w:sz w:val="18"/>
                <w:szCs w:val="18"/>
                <w:color w:val="auto"/>
              </w:rPr>
              <w:t>Form T-1 Statement of Eligibility of Trustee for Subordinated Indenture under the Trust Indenture Act of 1939.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380" w:hanging="1264"/>
        <w:spacing w:after="0"/>
        <w:tabs>
          <w:tab w:leader="none" w:pos="1380" w:val="left"/>
        </w:tabs>
        <w:numPr>
          <w:ilvl w:val="0"/>
          <w:numId w:val="68"/>
        </w:numPr>
        <w:rPr>
          <w:rFonts w:ascii="Arial" w:cs="Arial" w:eastAsia="Arial" w:hAnsi="Arial"/>
          <w:sz w:val="18"/>
          <w:szCs w:val="18"/>
          <w:u w:val="single" w:color="auto"/>
          <w:color w:val="0000EE"/>
        </w:rPr>
      </w:pPr>
      <w:hyperlink w:anchor="page245">
        <w:r>
          <w:rPr>
            <w:rFonts w:ascii="Arial" w:cs="Arial" w:eastAsia="Arial" w:hAnsi="Arial"/>
            <w:sz w:val="18"/>
            <w:szCs w:val="18"/>
            <w:u w:val="single" w:color="auto"/>
            <w:color w:val="0000EE"/>
          </w:rPr>
          <w:t>Filing Fee Table</w:t>
        </w:r>
      </w:hyperlink>
    </w:p>
    <w:p>
      <w:pPr>
        <w:spacing w:after="0" w:line="252" w:lineRule="exact"/>
        <w:rPr>
          <w:sz w:val="20"/>
          <w:szCs w:val="20"/>
          <w:color w:val="auto"/>
        </w:rPr>
      </w:pPr>
    </w:p>
    <w:p>
      <w:pPr>
        <w:ind w:left="540" w:right="540" w:hanging="424"/>
        <w:spacing w:after="0" w:line="258"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be filed, if necessary, as an exhibit to a post-effective amendment to this registration statement or as an exhibit to a report filed under the Securities Exchange Act of 1934, as amended, and incorporated herein by reference.</w:t>
      </w:r>
    </w:p>
    <w:p>
      <w:pPr>
        <w:spacing w:after="0" w:line="1" w:lineRule="exact"/>
        <w:rPr>
          <w:sz w:val="20"/>
          <w:szCs w:val="20"/>
          <w:color w:val="auto"/>
        </w:rPr>
      </w:pPr>
    </w:p>
    <w:p>
      <w:pPr>
        <w:ind w:left="5480" w:right="4160" w:hanging="5364"/>
        <w:spacing w:after="0" w:line="433" w:lineRule="auto"/>
        <w:tabs>
          <w:tab w:leader="none" w:pos="53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be filed pursuant to Section 305(b)(2) of the Trust Indenture Act of 1939, as amended. II-2</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360" w:hanging="244"/>
        <w:spacing w:after="0"/>
        <w:tabs>
          <w:tab w:leader="none" w:pos="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820" w:hanging="264"/>
        <w:spacing w:after="0"/>
        <w:tabs>
          <w:tab w:leader="none" w:pos="8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320" w:hanging="213"/>
        <w:spacing w:after="0"/>
        <w:tabs>
          <w:tab w:leader="none" w:pos="1320" w:val="left"/>
        </w:tabs>
        <w:numPr>
          <w:ilvl w:val="2"/>
          <w:numId w:val="7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1100" w:right="100" w:firstLine="7"/>
        <w:spacing w:after="0" w:line="272" w:lineRule="auto"/>
        <w:tabs>
          <w:tab w:leader="none" w:pos="1365" w:val="left"/>
        </w:tabs>
        <w:numPr>
          <w:ilvl w:val="2"/>
          <w:numId w:val="71"/>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69" w:lineRule="exact"/>
        <w:rPr>
          <w:rFonts w:ascii="Arial" w:cs="Arial" w:eastAsia="Arial" w:hAnsi="Arial"/>
          <w:sz w:val="17"/>
          <w:szCs w:val="17"/>
          <w:color w:val="auto"/>
        </w:rPr>
      </w:pPr>
    </w:p>
    <w:p>
      <w:pPr>
        <w:ind w:left="1100" w:right="260" w:firstLine="7"/>
        <w:spacing w:after="0" w:line="277" w:lineRule="auto"/>
        <w:tabs>
          <w:tab w:leader="none" w:pos="1415" w:val="left"/>
        </w:tabs>
        <w:numPr>
          <w:ilvl w:val="2"/>
          <w:numId w:val="7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79" w:lineRule="exact"/>
        <w:rPr>
          <w:sz w:val="20"/>
          <w:szCs w:val="20"/>
          <w:color w:val="auto"/>
        </w:rPr>
      </w:pPr>
    </w:p>
    <w:p>
      <w:pPr>
        <w:ind w:left="560" w:right="60" w:hanging="4"/>
        <w:spacing w:after="0" w:line="263" w:lineRule="auto"/>
        <w:tabs>
          <w:tab w:leader="none" w:pos="8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Arial" w:cs="Arial" w:eastAsia="Arial" w:hAnsi="Arial"/>
          <w:sz w:val="18"/>
          <w:szCs w:val="18"/>
          <w:color w:val="auto"/>
        </w:rPr>
      </w:pPr>
    </w:p>
    <w:p>
      <w:pPr>
        <w:ind w:left="560" w:right="620" w:hanging="4"/>
        <w:spacing w:after="0" w:line="277" w:lineRule="auto"/>
        <w:tabs>
          <w:tab w:leader="none" w:pos="8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(4)</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 That, for the purpose of determining liability under the Securities Act of 1933 to any purchaser:</w:t>
      </w:r>
    </w:p>
    <w:p>
      <w:pPr>
        <w:spacing w:after="0" w:line="117" w:lineRule="exact"/>
        <w:rPr>
          <w:sz w:val="20"/>
          <w:szCs w:val="20"/>
          <w:color w:val="auto"/>
        </w:rPr>
      </w:pPr>
    </w:p>
    <w:p>
      <w:pPr>
        <w:ind w:left="1100" w:right="120" w:firstLine="7"/>
        <w:spacing w:after="0" w:line="277" w:lineRule="auto"/>
        <w:tabs>
          <w:tab w:leader="none" w:pos="13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1100" w:right="40" w:firstLine="7"/>
        <w:spacing w:after="0" w:line="290" w:lineRule="auto"/>
        <w:tabs>
          <w:tab w:leader="none" w:pos="1385" w:val="left"/>
        </w:tabs>
        <w:numPr>
          <w:ilvl w:val="0"/>
          <w:numId w:val="73"/>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60"/>
        <w:spacing w:after="0" w:line="259" w:lineRule="auto"/>
        <w:rPr>
          <w:sz w:val="20"/>
          <w:szCs w:val="20"/>
          <w:color w:val="auto"/>
        </w:rPr>
      </w:pPr>
      <w:r>
        <w:rPr>
          <w:rFonts w:ascii="Arial" w:cs="Arial" w:eastAsia="Arial" w:hAnsi="Arial"/>
          <w:sz w:val="18"/>
          <w:szCs w:val="18"/>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9" w:lineRule="exact"/>
        <w:rPr>
          <w:sz w:val="20"/>
          <w:szCs w:val="20"/>
          <w:color w:val="auto"/>
        </w:rPr>
      </w:pPr>
    </w:p>
    <w:p>
      <w:pPr>
        <w:ind w:left="560" w:right="40" w:hanging="4"/>
        <w:spacing w:after="0" w:line="257" w:lineRule="auto"/>
        <w:tabs>
          <w:tab w:leader="none" w:pos="8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rFonts w:ascii="Arial" w:cs="Arial" w:eastAsia="Arial" w:hAnsi="Arial"/>
          <w:sz w:val="18"/>
          <w:szCs w:val="18"/>
          <w:color w:val="auto"/>
        </w:rPr>
      </w:pPr>
    </w:p>
    <w:p>
      <w:pPr>
        <w:ind w:left="1100" w:right="360" w:firstLine="7"/>
        <w:spacing w:after="0" w:line="277" w:lineRule="auto"/>
        <w:tabs>
          <w:tab w:leader="none" w:pos="1315"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62" w:lineRule="exact"/>
        <w:rPr>
          <w:rFonts w:ascii="Arial" w:cs="Arial" w:eastAsia="Arial" w:hAnsi="Arial"/>
          <w:sz w:val="18"/>
          <w:szCs w:val="18"/>
          <w:color w:val="auto"/>
        </w:rPr>
      </w:pPr>
    </w:p>
    <w:p>
      <w:pPr>
        <w:ind w:left="1100" w:right="100" w:firstLine="7"/>
        <w:spacing w:after="0" w:line="277" w:lineRule="auto"/>
        <w:tabs>
          <w:tab w:leader="none" w:pos="1365"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1100" w:right="600" w:firstLine="7"/>
        <w:spacing w:after="0" w:line="277" w:lineRule="auto"/>
        <w:tabs>
          <w:tab w:leader="none" w:pos="1415"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420" w:hanging="313"/>
        <w:spacing w:after="0"/>
        <w:tabs>
          <w:tab w:leader="none" w:pos="14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left="560" w:hanging="4"/>
        <w:spacing w:after="0" w:line="275" w:lineRule="auto"/>
        <w:tabs>
          <w:tab w:leader="none" w:pos="815"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68" w:lineRule="exact"/>
        <w:rPr>
          <w:rFonts w:ascii="Arial" w:cs="Arial" w:eastAsia="Arial" w:hAnsi="Arial"/>
          <w:sz w:val="17"/>
          <w:szCs w:val="17"/>
          <w:color w:val="auto"/>
        </w:rPr>
      </w:pPr>
    </w:p>
    <w:p>
      <w:pPr>
        <w:ind w:left="560" w:hanging="4"/>
        <w:spacing w:after="0" w:line="271" w:lineRule="auto"/>
        <w:tabs>
          <w:tab w:leader="none" w:pos="815"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70" w:lineRule="exact"/>
        <w:rPr>
          <w:rFonts w:ascii="Arial" w:cs="Arial" w:eastAsia="Arial" w:hAnsi="Arial"/>
          <w:sz w:val="17"/>
          <w:szCs w:val="17"/>
          <w:color w:val="auto"/>
        </w:rPr>
      </w:pPr>
    </w:p>
    <w:p>
      <w:pPr>
        <w:ind w:left="560" w:right="180" w:hanging="4"/>
        <w:spacing w:after="0" w:line="291" w:lineRule="auto"/>
        <w:tabs>
          <w:tab w:leader="none" w:pos="815"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SEC under section 305(b)</w:t>
      </w:r>
    </w:p>
    <w:p>
      <w:pPr>
        <w:ind w:left="820" w:hanging="264"/>
        <w:spacing w:after="0"/>
        <w:tabs>
          <w:tab w:leader="none" w:pos="8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of the Trust Indenture Act.</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on Form S-3 to be signed on its behalf by the undersigned, thereunto duly authorized, in the City of Boston, State of Massachusetts, on this 1</w:t>
      </w:r>
      <w:r>
        <w:rPr>
          <w:rFonts w:ascii="Arial" w:cs="Arial" w:eastAsia="Arial" w:hAnsi="Arial"/>
          <w:sz w:val="15"/>
          <w:szCs w:val="15"/>
          <w:color w:val="auto"/>
        </w:rPr>
        <w:t>st</w:t>
      </w:r>
      <w:r>
        <w:rPr>
          <w:rFonts w:ascii="Arial" w:cs="Arial" w:eastAsia="Arial" w:hAnsi="Arial"/>
          <w:sz w:val="18"/>
          <w:szCs w:val="18"/>
          <w:color w:val="auto"/>
        </w:rPr>
        <w:t xml:space="preserve"> day of July, 2022.</w:t>
      </w:r>
    </w:p>
    <w:p>
      <w:pPr>
        <w:spacing w:after="0" w:line="193"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CENTESSA PHARMACEUTICALS PLC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Saurabh Saha,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31750</wp:posOffset>
            </wp:positionV>
            <wp:extent cx="25971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Saurabh Saha, M.D., Ph.D.</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Chief Executive Officer</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940"/>
          </w:cols>
          <w:pgMar w:left="320" w:top="459" w:right="6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the undersigned officers and directors of Centessa Pharmaceuticals plc, hereby severally constitute and appoint Saurabh Saha, M.D., Ph.D. and Gregory Weinhoff, M.D., M.B.A., and each of them singly (with full power to each of them to act alone), our true and lawful attorneys-in-fact and agents, with full power of substitution and resubstitution in each of them for him and in his name, place and stead, and in any and all capacities, to sign for us and in our names in the capacities indicated below any and all amendments (including post-effective amendments) to this Registration Statement on Form S-3 (or any other registration statement for the same offering that is to be effective upon filing pursuant to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8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S-3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960" w:type="dxa"/>
            <w:vAlign w:val="bottom"/>
          </w:tcPr>
          <w:p>
            <w:pPr>
              <w:ind w:left="2180"/>
              <w:spacing w:after="0"/>
              <w:rPr>
                <w:sz w:val="20"/>
                <w:szCs w:val="20"/>
                <w:color w:val="auto"/>
              </w:rPr>
            </w:pPr>
            <w:r>
              <w:rPr>
                <w:rFonts w:ascii="Arial" w:cs="Arial" w:eastAsia="Arial" w:hAnsi="Arial"/>
                <w:sz w:val="14"/>
                <w:szCs w:val="14"/>
                <w:b w:val="1"/>
                <w:bCs w:val="1"/>
                <w:color w:val="auto"/>
              </w:rPr>
              <w:t>Signature</w:t>
            </w:r>
          </w:p>
        </w:tc>
        <w:tc>
          <w:tcPr>
            <w:tcW w:w="3920" w:type="dxa"/>
            <w:vAlign w:val="bottom"/>
          </w:tcPr>
          <w:p>
            <w:pPr>
              <w:jc w:val="center"/>
              <w:ind w:left="91"/>
              <w:spacing w:after="0"/>
              <w:rPr>
                <w:sz w:val="20"/>
                <w:szCs w:val="20"/>
                <w:color w:val="auto"/>
              </w:rPr>
            </w:pPr>
            <w:r>
              <w:rPr>
                <w:rFonts w:ascii="Arial" w:cs="Arial" w:eastAsia="Arial" w:hAnsi="Arial"/>
                <w:sz w:val="14"/>
                <w:szCs w:val="14"/>
                <w:b w:val="1"/>
                <w:bCs w:val="1"/>
                <w:color w:val="auto"/>
              </w:rPr>
              <w:t>Title</w:t>
            </w:r>
          </w:p>
        </w:tc>
        <w:tc>
          <w:tcPr>
            <w:tcW w:w="1640" w:type="dxa"/>
            <w:vAlign w:val="bottom"/>
          </w:tcPr>
          <w:p>
            <w:pPr>
              <w:jc w:val="center"/>
              <w:ind w:left="672"/>
              <w:spacing w:after="0"/>
              <w:rPr>
                <w:sz w:val="20"/>
                <w:szCs w:val="20"/>
                <w:color w:val="auto"/>
              </w:rPr>
            </w:pPr>
            <w:r>
              <w:rPr>
                <w:rFonts w:ascii="Arial" w:cs="Arial" w:eastAsia="Arial" w:hAnsi="Arial"/>
                <w:sz w:val="14"/>
                <w:szCs w:val="14"/>
                <w:b w:val="1"/>
                <w:bCs w:val="1"/>
                <w:color w:val="auto"/>
                <w:w w:val="92"/>
              </w:rPr>
              <w:t>Date</w:t>
            </w:r>
          </w:p>
        </w:tc>
      </w:tr>
      <w:tr>
        <w:trPr>
          <w:trHeight w:val="417"/>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Saurabh Saha, M.D., Ph.D.</w:t>
            </w:r>
          </w:p>
        </w:tc>
        <w:tc>
          <w:tcPr>
            <w:tcW w:w="3920" w:type="dxa"/>
            <w:vAlign w:val="bottom"/>
          </w:tcPr>
          <w:p>
            <w:pPr>
              <w:jc w:val="center"/>
              <w:ind w:left="91"/>
              <w:spacing w:after="0"/>
              <w:rPr>
                <w:sz w:val="20"/>
                <w:szCs w:val="20"/>
                <w:color w:val="auto"/>
              </w:rPr>
            </w:pPr>
            <w:r>
              <w:rPr>
                <w:rFonts w:ascii="Arial" w:cs="Arial" w:eastAsia="Arial" w:hAnsi="Arial"/>
                <w:sz w:val="18"/>
                <w:szCs w:val="18"/>
                <w:color w:val="auto"/>
                <w:w w:val="95"/>
              </w:rPr>
              <w:t>Chief Executive Officer</w:t>
            </w:r>
          </w:p>
        </w:tc>
        <w:tc>
          <w:tcPr>
            <w:tcW w:w="1640" w:type="dxa"/>
            <w:vAlign w:val="bottom"/>
          </w:tcPr>
          <w:p>
            <w:pPr>
              <w:jc w:val="center"/>
              <w:ind w:left="672"/>
              <w:spacing w:after="0"/>
              <w:rPr>
                <w:sz w:val="20"/>
                <w:szCs w:val="20"/>
                <w:color w:val="auto"/>
              </w:rPr>
            </w:pPr>
            <w:r>
              <w:rPr>
                <w:rFonts w:ascii="Arial" w:cs="Arial" w:eastAsia="Arial" w:hAnsi="Arial"/>
                <w:sz w:val="18"/>
                <w:szCs w:val="18"/>
                <w:color w:val="auto"/>
                <w:w w:val="90"/>
              </w:rPr>
              <w:t>July 1, 2022</w:t>
            </w:r>
          </w:p>
        </w:tc>
      </w:tr>
      <w:tr>
        <w:trPr>
          <w:trHeight w:val="224"/>
        </w:trPr>
        <w:tc>
          <w:tcPr>
            <w:tcW w:w="4960" w:type="dxa"/>
            <w:vAlign w:val="bottom"/>
          </w:tcPr>
          <w:p>
            <w:pPr>
              <w:spacing w:after="0"/>
              <w:rPr>
                <w:sz w:val="20"/>
                <w:szCs w:val="20"/>
                <w:color w:val="auto"/>
              </w:rPr>
            </w:pPr>
            <w:r>
              <w:rPr>
                <w:rFonts w:ascii="Arial" w:cs="Arial" w:eastAsia="Arial" w:hAnsi="Arial"/>
                <w:sz w:val="18"/>
                <w:szCs w:val="18"/>
                <w:color w:val="auto"/>
              </w:rPr>
              <w:t>Name: Saurabh Saha, M.D., Ph.D.</w:t>
            </w:r>
          </w:p>
        </w:tc>
        <w:tc>
          <w:tcPr>
            <w:tcW w:w="3920" w:type="dxa"/>
            <w:vAlign w:val="bottom"/>
          </w:tcPr>
          <w:p>
            <w:pPr>
              <w:jc w:val="center"/>
              <w:ind w:left="91"/>
              <w:spacing w:after="0"/>
              <w:rPr>
                <w:sz w:val="20"/>
                <w:szCs w:val="20"/>
                <w:color w:val="auto"/>
              </w:rPr>
            </w:pPr>
            <w:r>
              <w:rPr>
                <w:rFonts w:ascii="Arial" w:cs="Arial" w:eastAsia="Arial" w:hAnsi="Arial"/>
                <w:sz w:val="18"/>
                <w:szCs w:val="18"/>
                <w:color w:val="auto"/>
                <w:w w:val="94"/>
              </w:rPr>
              <w:t>(Principal Executive Officer)</w:t>
            </w:r>
          </w:p>
        </w:tc>
        <w:tc>
          <w:tcPr>
            <w:tcW w:w="164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Weinhoff, M.D., M.B.A.</w:t>
            </w:r>
          </w:p>
        </w:tc>
        <w:tc>
          <w:tcPr>
            <w:tcW w:w="3920" w:type="dxa"/>
            <w:vAlign w:val="bottom"/>
          </w:tcPr>
          <w:p>
            <w:pPr>
              <w:jc w:val="center"/>
              <w:ind w:left="91"/>
              <w:spacing w:after="0"/>
              <w:rPr>
                <w:sz w:val="20"/>
                <w:szCs w:val="20"/>
                <w:color w:val="auto"/>
              </w:rPr>
            </w:pPr>
            <w:r>
              <w:rPr>
                <w:rFonts w:ascii="Arial" w:cs="Arial" w:eastAsia="Arial" w:hAnsi="Arial"/>
                <w:sz w:val="18"/>
                <w:szCs w:val="18"/>
                <w:color w:val="auto"/>
                <w:w w:val="93"/>
              </w:rPr>
              <w:t>Chief Financial Officer</w:t>
            </w:r>
          </w:p>
        </w:tc>
        <w:tc>
          <w:tcPr>
            <w:tcW w:w="1640" w:type="dxa"/>
            <w:vAlign w:val="bottom"/>
          </w:tcPr>
          <w:p>
            <w:pPr>
              <w:jc w:val="center"/>
              <w:ind w:left="672"/>
              <w:spacing w:after="0"/>
              <w:rPr>
                <w:sz w:val="20"/>
                <w:szCs w:val="20"/>
                <w:color w:val="auto"/>
              </w:rPr>
            </w:pPr>
            <w:r>
              <w:rPr>
                <w:rFonts w:ascii="Arial" w:cs="Arial" w:eastAsia="Arial" w:hAnsi="Arial"/>
                <w:sz w:val="18"/>
                <w:szCs w:val="18"/>
                <w:color w:val="auto"/>
                <w:w w:val="90"/>
              </w:rPr>
              <w:t>July 1, 2022</w:t>
            </w:r>
          </w:p>
        </w:tc>
      </w:tr>
      <w:tr>
        <w:trPr>
          <w:trHeight w:val="224"/>
        </w:trPr>
        <w:tc>
          <w:tcPr>
            <w:tcW w:w="4960" w:type="dxa"/>
            <w:vAlign w:val="bottom"/>
          </w:tcPr>
          <w:p>
            <w:pPr>
              <w:spacing w:after="0"/>
              <w:rPr>
                <w:sz w:val="20"/>
                <w:szCs w:val="20"/>
                <w:color w:val="auto"/>
              </w:rPr>
            </w:pPr>
            <w:r>
              <w:rPr>
                <w:rFonts w:ascii="Arial" w:cs="Arial" w:eastAsia="Arial" w:hAnsi="Arial"/>
                <w:sz w:val="18"/>
                <w:szCs w:val="18"/>
                <w:color w:val="auto"/>
              </w:rPr>
              <w:t>Name: Gregory Weinhoff, M.D., M.B.A.</w:t>
            </w:r>
          </w:p>
        </w:tc>
        <w:tc>
          <w:tcPr>
            <w:tcW w:w="3920" w:type="dxa"/>
            <w:vAlign w:val="bottom"/>
          </w:tcPr>
          <w:p>
            <w:pPr>
              <w:jc w:val="center"/>
              <w:ind w:left="91"/>
              <w:spacing w:after="0"/>
              <w:rPr>
                <w:sz w:val="20"/>
                <w:szCs w:val="20"/>
                <w:color w:val="auto"/>
              </w:rPr>
            </w:pPr>
            <w:r>
              <w:rPr>
                <w:rFonts w:ascii="Arial" w:cs="Arial" w:eastAsia="Arial" w:hAnsi="Arial"/>
                <w:sz w:val="18"/>
                <w:szCs w:val="18"/>
                <w:color w:val="auto"/>
                <w:w w:val="95"/>
              </w:rPr>
              <w:t>(Principal Financial Officer)</w:t>
            </w:r>
          </w:p>
        </w:tc>
        <w:tc>
          <w:tcPr>
            <w:tcW w:w="164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Marella Thorell</w:t>
            </w:r>
          </w:p>
        </w:tc>
        <w:tc>
          <w:tcPr>
            <w:tcW w:w="3920" w:type="dxa"/>
            <w:vAlign w:val="bottom"/>
          </w:tcPr>
          <w:p>
            <w:pPr>
              <w:jc w:val="center"/>
              <w:ind w:left="91"/>
              <w:spacing w:after="0"/>
              <w:rPr>
                <w:sz w:val="20"/>
                <w:szCs w:val="20"/>
                <w:color w:val="auto"/>
              </w:rPr>
            </w:pPr>
            <w:r>
              <w:rPr>
                <w:rFonts w:ascii="Arial" w:cs="Arial" w:eastAsia="Arial" w:hAnsi="Arial"/>
                <w:sz w:val="18"/>
                <w:szCs w:val="18"/>
                <w:color w:val="auto"/>
                <w:w w:val="95"/>
              </w:rPr>
              <w:t>Chief Accounting Officer</w:t>
            </w:r>
          </w:p>
        </w:tc>
        <w:tc>
          <w:tcPr>
            <w:tcW w:w="1640" w:type="dxa"/>
            <w:vAlign w:val="bottom"/>
          </w:tcPr>
          <w:p>
            <w:pPr>
              <w:jc w:val="center"/>
              <w:ind w:left="672"/>
              <w:spacing w:after="0"/>
              <w:rPr>
                <w:sz w:val="20"/>
                <w:szCs w:val="20"/>
                <w:color w:val="auto"/>
              </w:rPr>
            </w:pPr>
            <w:r>
              <w:rPr>
                <w:rFonts w:ascii="Arial" w:cs="Arial" w:eastAsia="Arial" w:hAnsi="Arial"/>
                <w:sz w:val="18"/>
                <w:szCs w:val="18"/>
                <w:color w:val="auto"/>
                <w:w w:val="90"/>
              </w:rPr>
              <w:t>July 1, 2022</w:t>
            </w:r>
          </w:p>
        </w:tc>
      </w:tr>
      <w:tr>
        <w:trPr>
          <w:trHeight w:val="224"/>
        </w:trPr>
        <w:tc>
          <w:tcPr>
            <w:tcW w:w="4960" w:type="dxa"/>
            <w:vAlign w:val="bottom"/>
          </w:tcPr>
          <w:p>
            <w:pPr>
              <w:spacing w:after="0"/>
              <w:rPr>
                <w:sz w:val="20"/>
                <w:szCs w:val="20"/>
                <w:color w:val="auto"/>
              </w:rPr>
            </w:pPr>
            <w:r>
              <w:rPr>
                <w:rFonts w:ascii="Arial" w:cs="Arial" w:eastAsia="Arial" w:hAnsi="Arial"/>
                <w:sz w:val="18"/>
                <w:szCs w:val="18"/>
                <w:color w:val="auto"/>
              </w:rPr>
              <w:t>Name: Marella Thorell</w:t>
            </w:r>
          </w:p>
        </w:tc>
        <w:tc>
          <w:tcPr>
            <w:tcW w:w="3920" w:type="dxa"/>
            <w:vAlign w:val="bottom"/>
          </w:tcPr>
          <w:p>
            <w:pPr>
              <w:jc w:val="center"/>
              <w:ind w:left="91"/>
              <w:spacing w:after="0"/>
              <w:rPr>
                <w:sz w:val="20"/>
                <w:szCs w:val="20"/>
                <w:color w:val="auto"/>
              </w:rPr>
            </w:pPr>
            <w:r>
              <w:rPr>
                <w:rFonts w:ascii="Arial" w:cs="Arial" w:eastAsia="Arial" w:hAnsi="Arial"/>
                <w:sz w:val="18"/>
                <w:szCs w:val="18"/>
                <w:color w:val="auto"/>
                <w:w w:val="95"/>
              </w:rPr>
              <w:t>(Principal Accounting Officer)</w:t>
            </w:r>
          </w:p>
        </w:tc>
        <w:tc>
          <w:tcPr>
            <w:tcW w:w="164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Francesco De Rubertis, Ph.D.</w:t>
            </w:r>
          </w:p>
        </w:tc>
        <w:tc>
          <w:tcPr>
            <w:tcW w:w="3920" w:type="dxa"/>
            <w:vAlign w:val="bottom"/>
          </w:tcPr>
          <w:p>
            <w:pPr>
              <w:jc w:val="center"/>
              <w:ind w:left="71"/>
              <w:spacing w:after="0"/>
              <w:rPr>
                <w:sz w:val="20"/>
                <w:szCs w:val="20"/>
                <w:color w:val="auto"/>
              </w:rPr>
            </w:pPr>
            <w:r>
              <w:rPr>
                <w:rFonts w:ascii="Arial" w:cs="Arial" w:eastAsia="Arial" w:hAnsi="Arial"/>
                <w:sz w:val="18"/>
                <w:szCs w:val="18"/>
                <w:color w:val="auto"/>
                <w:w w:val="95"/>
              </w:rPr>
              <w:t>Director</w:t>
            </w:r>
          </w:p>
        </w:tc>
        <w:tc>
          <w:tcPr>
            <w:tcW w:w="1640" w:type="dxa"/>
            <w:vAlign w:val="bottom"/>
          </w:tcPr>
          <w:p>
            <w:pPr>
              <w:jc w:val="center"/>
              <w:ind w:left="672"/>
              <w:spacing w:after="0"/>
              <w:rPr>
                <w:sz w:val="20"/>
                <w:szCs w:val="20"/>
                <w:color w:val="auto"/>
              </w:rPr>
            </w:pPr>
            <w:r>
              <w:rPr>
                <w:rFonts w:ascii="Arial" w:cs="Arial" w:eastAsia="Arial" w:hAnsi="Arial"/>
                <w:sz w:val="18"/>
                <w:szCs w:val="18"/>
                <w:color w:val="auto"/>
                <w:w w:val="90"/>
              </w:rPr>
              <w:t>July 1, 2022</w:t>
            </w:r>
          </w:p>
        </w:tc>
      </w:tr>
      <w:tr>
        <w:trPr>
          <w:trHeight w:val="224"/>
        </w:trPr>
        <w:tc>
          <w:tcPr>
            <w:tcW w:w="4960" w:type="dxa"/>
            <w:vAlign w:val="bottom"/>
          </w:tcPr>
          <w:p>
            <w:pPr>
              <w:spacing w:after="0"/>
              <w:rPr>
                <w:sz w:val="20"/>
                <w:szCs w:val="20"/>
                <w:color w:val="auto"/>
              </w:rPr>
            </w:pPr>
            <w:r>
              <w:rPr>
                <w:rFonts w:ascii="Arial" w:cs="Arial" w:eastAsia="Arial" w:hAnsi="Arial"/>
                <w:sz w:val="18"/>
                <w:szCs w:val="18"/>
                <w:color w:val="auto"/>
              </w:rPr>
              <w:t>Name: Francesco De Rubertis, Ph.D.</w:t>
            </w:r>
          </w:p>
        </w:tc>
        <w:tc>
          <w:tcPr>
            <w:tcW w:w="39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Arjun Goyal, M.D., M.Phil, M.B.A.</w:t>
            </w:r>
          </w:p>
        </w:tc>
        <w:tc>
          <w:tcPr>
            <w:tcW w:w="3920" w:type="dxa"/>
            <w:vAlign w:val="bottom"/>
          </w:tcPr>
          <w:p>
            <w:pPr>
              <w:jc w:val="center"/>
              <w:ind w:left="71"/>
              <w:spacing w:after="0"/>
              <w:rPr>
                <w:sz w:val="20"/>
                <w:szCs w:val="20"/>
                <w:color w:val="auto"/>
              </w:rPr>
            </w:pPr>
            <w:r>
              <w:rPr>
                <w:rFonts w:ascii="Arial" w:cs="Arial" w:eastAsia="Arial" w:hAnsi="Arial"/>
                <w:sz w:val="18"/>
                <w:szCs w:val="18"/>
                <w:color w:val="auto"/>
                <w:w w:val="95"/>
              </w:rPr>
              <w:t>Director</w:t>
            </w:r>
          </w:p>
        </w:tc>
        <w:tc>
          <w:tcPr>
            <w:tcW w:w="1640" w:type="dxa"/>
            <w:vAlign w:val="bottom"/>
          </w:tcPr>
          <w:p>
            <w:pPr>
              <w:jc w:val="center"/>
              <w:ind w:left="672"/>
              <w:spacing w:after="0"/>
              <w:rPr>
                <w:sz w:val="20"/>
                <w:szCs w:val="20"/>
                <w:color w:val="auto"/>
              </w:rPr>
            </w:pPr>
            <w:r>
              <w:rPr>
                <w:rFonts w:ascii="Arial" w:cs="Arial" w:eastAsia="Arial" w:hAnsi="Arial"/>
                <w:sz w:val="18"/>
                <w:szCs w:val="18"/>
                <w:color w:val="auto"/>
                <w:w w:val="90"/>
              </w:rPr>
              <w:t>July 1, 2022</w:t>
            </w:r>
          </w:p>
        </w:tc>
      </w:tr>
      <w:tr>
        <w:trPr>
          <w:trHeight w:val="224"/>
        </w:trPr>
        <w:tc>
          <w:tcPr>
            <w:tcW w:w="4960" w:type="dxa"/>
            <w:vAlign w:val="bottom"/>
          </w:tcPr>
          <w:p>
            <w:pPr>
              <w:spacing w:after="0"/>
              <w:rPr>
                <w:sz w:val="20"/>
                <w:szCs w:val="20"/>
                <w:color w:val="auto"/>
              </w:rPr>
            </w:pPr>
            <w:r>
              <w:rPr>
                <w:rFonts w:ascii="Arial" w:cs="Arial" w:eastAsia="Arial" w:hAnsi="Arial"/>
                <w:sz w:val="18"/>
                <w:szCs w:val="18"/>
                <w:color w:val="auto"/>
              </w:rPr>
              <w:t>Name: Arjun Goyal, M.D., M.Phil, M.B.A.</w:t>
            </w:r>
          </w:p>
        </w:tc>
        <w:tc>
          <w:tcPr>
            <w:tcW w:w="39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Mathias Hukkelhoven</w:t>
            </w:r>
          </w:p>
        </w:tc>
        <w:tc>
          <w:tcPr>
            <w:tcW w:w="3920" w:type="dxa"/>
            <w:vAlign w:val="bottom"/>
          </w:tcPr>
          <w:p>
            <w:pPr>
              <w:jc w:val="center"/>
              <w:ind w:left="71"/>
              <w:spacing w:after="0"/>
              <w:rPr>
                <w:sz w:val="20"/>
                <w:szCs w:val="20"/>
                <w:color w:val="auto"/>
              </w:rPr>
            </w:pPr>
            <w:r>
              <w:rPr>
                <w:rFonts w:ascii="Arial" w:cs="Arial" w:eastAsia="Arial" w:hAnsi="Arial"/>
                <w:sz w:val="18"/>
                <w:szCs w:val="18"/>
                <w:color w:val="auto"/>
                <w:w w:val="95"/>
              </w:rPr>
              <w:t>Director</w:t>
            </w:r>
          </w:p>
        </w:tc>
        <w:tc>
          <w:tcPr>
            <w:tcW w:w="1640" w:type="dxa"/>
            <w:vAlign w:val="bottom"/>
          </w:tcPr>
          <w:p>
            <w:pPr>
              <w:jc w:val="center"/>
              <w:ind w:left="672"/>
              <w:spacing w:after="0"/>
              <w:rPr>
                <w:sz w:val="20"/>
                <w:szCs w:val="20"/>
                <w:color w:val="auto"/>
              </w:rPr>
            </w:pPr>
            <w:r>
              <w:rPr>
                <w:rFonts w:ascii="Arial" w:cs="Arial" w:eastAsia="Arial" w:hAnsi="Arial"/>
                <w:sz w:val="18"/>
                <w:szCs w:val="18"/>
                <w:color w:val="auto"/>
                <w:w w:val="90"/>
              </w:rPr>
              <w:t>July 1, 2022</w:t>
            </w:r>
          </w:p>
        </w:tc>
      </w:tr>
      <w:tr>
        <w:trPr>
          <w:trHeight w:val="224"/>
        </w:trPr>
        <w:tc>
          <w:tcPr>
            <w:tcW w:w="4960" w:type="dxa"/>
            <w:vAlign w:val="bottom"/>
          </w:tcPr>
          <w:p>
            <w:pPr>
              <w:spacing w:after="0"/>
              <w:rPr>
                <w:sz w:val="20"/>
                <w:szCs w:val="20"/>
                <w:color w:val="auto"/>
              </w:rPr>
            </w:pPr>
            <w:r>
              <w:rPr>
                <w:rFonts w:ascii="Arial" w:cs="Arial" w:eastAsia="Arial" w:hAnsi="Arial"/>
                <w:sz w:val="18"/>
                <w:szCs w:val="18"/>
                <w:color w:val="auto"/>
              </w:rPr>
              <w:t>Name: Mathias Hukkelhoven</w:t>
            </w:r>
          </w:p>
        </w:tc>
        <w:tc>
          <w:tcPr>
            <w:tcW w:w="39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Brett Zbar, M.D</w:t>
            </w:r>
          </w:p>
        </w:tc>
        <w:tc>
          <w:tcPr>
            <w:tcW w:w="3920" w:type="dxa"/>
            <w:vAlign w:val="bottom"/>
          </w:tcPr>
          <w:p>
            <w:pPr>
              <w:jc w:val="center"/>
              <w:ind w:left="71"/>
              <w:spacing w:after="0"/>
              <w:rPr>
                <w:sz w:val="20"/>
                <w:szCs w:val="20"/>
                <w:color w:val="auto"/>
              </w:rPr>
            </w:pPr>
            <w:r>
              <w:rPr>
                <w:rFonts w:ascii="Arial" w:cs="Arial" w:eastAsia="Arial" w:hAnsi="Arial"/>
                <w:sz w:val="18"/>
                <w:szCs w:val="18"/>
                <w:color w:val="auto"/>
                <w:w w:val="95"/>
              </w:rPr>
              <w:t>Director</w:t>
            </w:r>
          </w:p>
        </w:tc>
        <w:tc>
          <w:tcPr>
            <w:tcW w:w="1640" w:type="dxa"/>
            <w:vAlign w:val="bottom"/>
          </w:tcPr>
          <w:p>
            <w:pPr>
              <w:jc w:val="center"/>
              <w:ind w:left="672"/>
              <w:spacing w:after="0"/>
              <w:rPr>
                <w:sz w:val="20"/>
                <w:szCs w:val="20"/>
                <w:color w:val="auto"/>
              </w:rPr>
            </w:pPr>
            <w:r>
              <w:rPr>
                <w:rFonts w:ascii="Arial" w:cs="Arial" w:eastAsia="Arial" w:hAnsi="Arial"/>
                <w:sz w:val="18"/>
                <w:szCs w:val="18"/>
                <w:color w:val="auto"/>
                <w:w w:val="90"/>
              </w:rPr>
              <w:t>July 1, 2022</w:t>
            </w:r>
          </w:p>
        </w:tc>
      </w:tr>
      <w:tr>
        <w:trPr>
          <w:trHeight w:val="224"/>
        </w:trPr>
        <w:tc>
          <w:tcPr>
            <w:tcW w:w="4960" w:type="dxa"/>
            <w:vAlign w:val="bottom"/>
          </w:tcPr>
          <w:p>
            <w:pPr>
              <w:spacing w:after="0"/>
              <w:rPr>
                <w:sz w:val="20"/>
                <w:szCs w:val="20"/>
                <w:color w:val="auto"/>
              </w:rPr>
            </w:pPr>
            <w:r>
              <w:rPr>
                <w:rFonts w:ascii="Arial" w:cs="Arial" w:eastAsia="Arial" w:hAnsi="Arial"/>
                <w:sz w:val="18"/>
                <w:szCs w:val="18"/>
                <w:color w:val="auto"/>
              </w:rPr>
              <w:t>Name: Brett Zbar, M.D.</w:t>
            </w:r>
          </w:p>
        </w:tc>
        <w:tc>
          <w:tcPr>
            <w:tcW w:w="39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Lynne Hedley, Ph.D.</w:t>
            </w:r>
          </w:p>
        </w:tc>
        <w:tc>
          <w:tcPr>
            <w:tcW w:w="3920" w:type="dxa"/>
            <w:vAlign w:val="bottom"/>
          </w:tcPr>
          <w:p>
            <w:pPr>
              <w:jc w:val="center"/>
              <w:ind w:left="71"/>
              <w:spacing w:after="0"/>
              <w:rPr>
                <w:sz w:val="20"/>
                <w:szCs w:val="20"/>
                <w:color w:val="auto"/>
              </w:rPr>
            </w:pPr>
            <w:r>
              <w:rPr>
                <w:rFonts w:ascii="Arial" w:cs="Arial" w:eastAsia="Arial" w:hAnsi="Arial"/>
                <w:sz w:val="18"/>
                <w:szCs w:val="18"/>
                <w:color w:val="auto"/>
                <w:w w:val="95"/>
              </w:rPr>
              <w:t>Director</w:t>
            </w:r>
          </w:p>
        </w:tc>
        <w:tc>
          <w:tcPr>
            <w:tcW w:w="1640" w:type="dxa"/>
            <w:vAlign w:val="bottom"/>
          </w:tcPr>
          <w:p>
            <w:pPr>
              <w:jc w:val="center"/>
              <w:ind w:left="672"/>
              <w:spacing w:after="0"/>
              <w:rPr>
                <w:sz w:val="20"/>
                <w:szCs w:val="20"/>
                <w:color w:val="auto"/>
              </w:rPr>
            </w:pPr>
            <w:r>
              <w:rPr>
                <w:rFonts w:ascii="Arial" w:cs="Arial" w:eastAsia="Arial" w:hAnsi="Arial"/>
                <w:sz w:val="18"/>
                <w:szCs w:val="18"/>
                <w:color w:val="auto"/>
                <w:w w:val="90"/>
              </w:rPr>
              <w:t>July 1, 2022</w:t>
            </w:r>
          </w:p>
        </w:tc>
      </w:tr>
      <w:tr>
        <w:trPr>
          <w:trHeight w:val="224"/>
        </w:trPr>
        <w:tc>
          <w:tcPr>
            <w:tcW w:w="4960" w:type="dxa"/>
            <w:vAlign w:val="bottom"/>
          </w:tcPr>
          <w:p>
            <w:pPr>
              <w:spacing w:after="0"/>
              <w:rPr>
                <w:sz w:val="20"/>
                <w:szCs w:val="20"/>
                <w:color w:val="auto"/>
              </w:rPr>
            </w:pPr>
            <w:r>
              <w:rPr>
                <w:rFonts w:ascii="Arial" w:cs="Arial" w:eastAsia="Arial" w:hAnsi="Arial"/>
                <w:sz w:val="18"/>
                <w:szCs w:val="18"/>
                <w:color w:val="auto"/>
              </w:rPr>
              <w:t>Name: Mary Lynne Hedley, Ph.D.</w:t>
            </w:r>
          </w:p>
        </w:tc>
        <w:tc>
          <w:tcPr>
            <w:tcW w:w="39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Samarth Kulkarni, Ph.D.</w:t>
            </w:r>
          </w:p>
        </w:tc>
        <w:tc>
          <w:tcPr>
            <w:tcW w:w="3920" w:type="dxa"/>
            <w:vAlign w:val="bottom"/>
          </w:tcPr>
          <w:p>
            <w:pPr>
              <w:jc w:val="center"/>
              <w:ind w:left="71"/>
              <w:spacing w:after="0"/>
              <w:rPr>
                <w:sz w:val="20"/>
                <w:szCs w:val="20"/>
                <w:color w:val="auto"/>
              </w:rPr>
            </w:pPr>
            <w:r>
              <w:rPr>
                <w:rFonts w:ascii="Arial" w:cs="Arial" w:eastAsia="Arial" w:hAnsi="Arial"/>
                <w:sz w:val="18"/>
                <w:szCs w:val="18"/>
                <w:color w:val="auto"/>
                <w:w w:val="95"/>
              </w:rPr>
              <w:t>Director</w:t>
            </w:r>
          </w:p>
        </w:tc>
        <w:tc>
          <w:tcPr>
            <w:tcW w:w="1640" w:type="dxa"/>
            <w:vAlign w:val="bottom"/>
          </w:tcPr>
          <w:p>
            <w:pPr>
              <w:jc w:val="center"/>
              <w:ind w:left="672"/>
              <w:spacing w:after="0"/>
              <w:rPr>
                <w:sz w:val="20"/>
                <w:szCs w:val="20"/>
                <w:color w:val="auto"/>
              </w:rPr>
            </w:pPr>
            <w:r>
              <w:rPr>
                <w:rFonts w:ascii="Arial" w:cs="Arial" w:eastAsia="Arial" w:hAnsi="Arial"/>
                <w:sz w:val="18"/>
                <w:szCs w:val="18"/>
                <w:color w:val="auto"/>
                <w:w w:val="90"/>
              </w:rPr>
              <w:t>July 1, 2022</w:t>
            </w:r>
          </w:p>
        </w:tc>
      </w:tr>
      <w:tr>
        <w:trPr>
          <w:trHeight w:val="224"/>
        </w:trPr>
        <w:tc>
          <w:tcPr>
            <w:tcW w:w="4960" w:type="dxa"/>
            <w:vAlign w:val="bottom"/>
          </w:tcPr>
          <w:p>
            <w:pPr>
              <w:spacing w:after="0"/>
              <w:rPr>
                <w:sz w:val="20"/>
                <w:szCs w:val="20"/>
                <w:color w:val="auto"/>
              </w:rPr>
            </w:pPr>
            <w:r>
              <w:rPr>
                <w:rFonts w:ascii="Arial" w:cs="Arial" w:eastAsia="Arial" w:hAnsi="Arial"/>
                <w:sz w:val="18"/>
                <w:szCs w:val="18"/>
                <w:color w:val="auto"/>
              </w:rPr>
              <w:t>Name: Samarth Kulkarni, Ph.D.</w:t>
            </w:r>
          </w:p>
        </w:tc>
        <w:tc>
          <w:tcPr>
            <w:tcW w:w="39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 Stuckley, M.B.A.</w:t>
            </w:r>
          </w:p>
        </w:tc>
        <w:tc>
          <w:tcPr>
            <w:tcW w:w="3920" w:type="dxa"/>
            <w:vAlign w:val="bottom"/>
          </w:tcPr>
          <w:p>
            <w:pPr>
              <w:jc w:val="center"/>
              <w:ind w:left="71"/>
              <w:spacing w:after="0"/>
              <w:rPr>
                <w:sz w:val="20"/>
                <w:szCs w:val="20"/>
                <w:color w:val="auto"/>
              </w:rPr>
            </w:pPr>
            <w:r>
              <w:rPr>
                <w:rFonts w:ascii="Arial" w:cs="Arial" w:eastAsia="Arial" w:hAnsi="Arial"/>
                <w:sz w:val="18"/>
                <w:szCs w:val="18"/>
                <w:color w:val="auto"/>
                <w:w w:val="95"/>
              </w:rPr>
              <w:t>Director</w:t>
            </w:r>
          </w:p>
        </w:tc>
        <w:tc>
          <w:tcPr>
            <w:tcW w:w="1640" w:type="dxa"/>
            <w:vAlign w:val="bottom"/>
          </w:tcPr>
          <w:p>
            <w:pPr>
              <w:jc w:val="center"/>
              <w:ind w:left="672"/>
              <w:spacing w:after="0"/>
              <w:rPr>
                <w:sz w:val="20"/>
                <w:szCs w:val="20"/>
                <w:color w:val="auto"/>
              </w:rPr>
            </w:pPr>
            <w:r>
              <w:rPr>
                <w:rFonts w:ascii="Arial" w:cs="Arial" w:eastAsia="Arial" w:hAnsi="Arial"/>
                <w:sz w:val="18"/>
                <w:szCs w:val="18"/>
                <w:color w:val="auto"/>
                <w:w w:val="90"/>
              </w:rPr>
              <w:t>July 1, 2022</w:t>
            </w:r>
          </w:p>
        </w:tc>
      </w:tr>
      <w:tr>
        <w:trPr>
          <w:trHeight w:val="224"/>
        </w:trPr>
        <w:tc>
          <w:tcPr>
            <w:tcW w:w="4960" w:type="dxa"/>
            <w:vAlign w:val="bottom"/>
          </w:tcPr>
          <w:p>
            <w:pPr>
              <w:spacing w:after="0"/>
              <w:rPr>
                <w:sz w:val="20"/>
                <w:szCs w:val="20"/>
                <w:color w:val="auto"/>
              </w:rPr>
            </w:pPr>
            <w:r>
              <w:rPr>
                <w:rFonts w:ascii="Arial" w:cs="Arial" w:eastAsia="Arial" w:hAnsi="Arial"/>
                <w:sz w:val="18"/>
                <w:szCs w:val="18"/>
                <w:color w:val="auto"/>
              </w:rPr>
              <w:t>Name: Carol Stuckley, M.B.A.</w:t>
            </w:r>
          </w:p>
        </w:tc>
        <w:tc>
          <w:tcPr>
            <w:tcW w:w="39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364"/>
        </w:trPr>
        <w:tc>
          <w:tcPr>
            <w:tcW w:w="4960" w:type="dxa"/>
            <w:vAlign w:val="bottom"/>
          </w:tcPr>
          <w:p>
            <w:pPr>
              <w:spacing w:after="0"/>
              <w:rPr>
                <w:sz w:val="24"/>
                <w:szCs w:val="24"/>
                <w:color w:val="auto"/>
              </w:rPr>
            </w:pPr>
          </w:p>
        </w:tc>
        <w:tc>
          <w:tcPr>
            <w:tcW w:w="3920" w:type="dxa"/>
            <w:vAlign w:val="bottom"/>
          </w:tcPr>
          <w:p>
            <w:pPr>
              <w:ind w:left="400"/>
              <w:spacing w:after="0"/>
              <w:rPr>
                <w:sz w:val="20"/>
                <w:szCs w:val="20"/>
                <w:color w:val="auto"/>
              </w:rPr>
            </w:pPr>
            <w:r>
              <w:rPr>
                <w:rFonts w:ascii="Arial" w:cs="Arial" w:eastAsia="Arial" w:hAnsi="Arial"/>
                <w:sz w:val="18"/>
                <w:szCs w:val="18"/>
                <w:color w:val="auto"/>
              </w:rPr>
              <w:t>II-6</w:t>
            </w:r>
          </w:p>
        </w:tc>
        <w:tc>
          <w:tcPr>
            <w:tcW w:w="164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SIGNATURE OF AUTHORIZED REPRESENTATIVE OF THE REGISTRANT</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Securities Act, the undersigned, the duly authorized representative in the United States of the registrant has signed this Registration Statement on Form S-3 on this 1</w:t>
      </w:r>
      <w:r>
        <w:rPr>
          <w:rFonts w:ascii="Arial" w:cs="Arial" w:eastAsia="Arial" w:hAnsi="Arial"/>
          <w:sz w:val="15"/>
          <w:szCs w:val="15"/>
          <w:color w:val="auto"/>
        </w:rPr>
        <w:t>st</w:t>
      </w:r>
      <w:r>
        <w:rPr>
          <w:rFonts w:ascii="Arial" w:cs="Arial" w:eastAsia="Arial" w:hAnsi="Arial"/>
          <w:sz w:val="18"/>
          <w:szCs w:val="18"/>
          <w:color w:val="auto"/>
        </w:rPr>
        <w:t xml:space="preserve"> day of July, 2022.</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Gregory Weinhoff, 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31750</wp:posOffset>
            </wp:positionV>
            <wp:extent cx="25971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Gregory Weinhoff, M.D., M.B.A.</w:t>
      </w:r>
    </w:p>
    <w:p>
      <w:pPr>
        <w:spacing w:after="0" w:line="157"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0700"/>
          </w:cols>
          <w:pgMar w:left="320" w:top="459" w:right="87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4.4</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CENTESSA PHARMACEUTICALS PLC</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Trustee</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Indenture</w:t>
      </w:r>
    </w:p>
    <w:p>
      <w:pPr>
        <w:spacing w:after="0" w:line="208" w:lineRule="exact"/>
        <w:rPr>
          <w:sz w:val="20"/>
          <w:szCs w:val="20"/>
          <w:color w:val="auto"/>
        </w:rPr>
      </w:pPr>
    </w:p>
    <w:tbl>
      <w:tblPr>
        <w:tblLayout w:type="fixed"/>
        <w:tblInd w:w="340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w w:val="91"/>
              </w:rPr>
              <w:t>Dated as of</w:t>
            </w:r>
          </w:p>
        </w:tc>
        <w:tc>
          <w:tcPr>
            <w:tcW w:w="900" w:type="dxa"/>
            <w:vAlign w:val="bottom"/>
            <w:tcBorders>
              <w:bottom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 20</w:t>
            </w:r>
          </w:p>
        </w:tc>
        <w:tc>
          <w:tcPr>
            <w:tcW w:w="180" w:type="dxa"/>
            <w:vAlign w:val="bottom"/>
            <w:tcBorders>
              <w:bottom w:val="single" w:sz="8" w:color="auto"/>
            </w:tcBorders>
          </w:tcPr>
          <w:p>
            <w:pPr>
              <w:spacing w:after="0"/>
              <w:rPr>
                <w:sz w:val="17"/>
                <w:szCs w:val="17"/>
                <w:color w:val="auto"/>
              </w:rPr>
            </w:pPr>
          </w:p>
        </w:tc>
      </w:tr>
    </w:tbl>
    <w:p>
      <w:pPr>
        <w:spacing w:after="0" w:line="22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Debt Securities</w:t>
      </w:r>
    </w:p>
    <w:p>
      <w:pPr>
        <w:sectPr>
          <w:pgSz w:w="11900" w:h="16838" w:orient="portrait"/>
          <w:cols w:equalWidth="0" w:num="1">
            <w:col w:w="10020"/>
          </w:cols>
          <w:pgMar w:left="1440" w:top="121" w:right="43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660" w:type="dxa"/>
            <w:vAlign w:val="bottom"/>
            <w:gridSpan w:val="2"/>
            <w:vMerge w:val="restart"/>
          </w:tcPr>
          <w:p>
            <w:pPr>
              <w:spacing w:after="0"/>
              <w:rPr>
                <w:sz w:val="20"/>
                <w:szCs w:val="20"/>
                <w:color w:val="auto"/>
              </w:rPr>
            </w:pPr>
            <w:r>
              <w:rPr>
                <w:rFonts w:ascii="Arial" w:cs="Arial" w:eastAsia="Arial" w:hAnsi="Arial"/>
                <w:sz w:val="18"/>
                <w:szCs w:val="18"/>
                <w:color w:val="auto"/>
              </w:rPr>
              <w:t>ARTICLE ONE—DEFINITIONS AND OTHER PROVISIONS OF GENERAL APPLICATION</w:t>
            </w:r>
          </w:p>
        </w:tc>
        <w:tc>
          <w:tcPr>
            <w:tcW w:w="1320" w:type="dxa"/>
            <w:vAlign w:val="bottom"/>
            <w:gridSpan w:val="3"/>
          </w:tcPr>
          <w:p>
            <w:pPr>
              <w:ind w:left="102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224"/>
        </w:trPr>
        <w:tc>
          <w:tcPr>
            <w:tcW w:w="9660" w:type="dxa"/>
            <w:vAlign w:val="bottom"/>
            <w:gridSpan w:val="2"/>
            <w:vMerge w:val="continue"/>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70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796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7960" w:type="dxa"/>
            <w:vAlign w:val="bottom"/>
          </w:tcPr>
          <w:p>
            <w:pPr>
              <w:ind w:left="240"/>
              <w:spacing w:after="0"/>
              <w:rPr>
                <w:sz w:val="20"/>
                <w:szCs w:val="20"/>
                <w:color w:val="auto"/>
              </w:rPr>
            </w:pPr>
            <w:r>
              <w:rPr>
                <w:rFonts w:ascii="Arial" w:cs="Arial" w:eastAsia="Arial" w:hAnsi="Arial"/>
                <w:sz w:val="18"/>
                <w:szCs w:val="18"/>
                <w:color w:val="auto"/>
              </w:rPr>
              <w:t>Compliance Certificates and Opinions</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7960" w:type="dxa"/>
            <w:vAlign w:val="bottom"/>
          </w:tcPr>
          <w:p>
            <w:pPr>
              <w:ind w:left="240"/>
              <w:spacing w:after="0"/>
              <w:rPr>
                <w:sz w:val="20"/>
                <w:szCs w:val="20"/>
                <w:color w:val="auto"/>
              </w:rPr>
            </w:pPr>
            <w:r>
              <w:rPr>
                <w:rFonts w:ascii="Arial" w:cs="Arial" w:eastAsia="Arial" w:hAnsi="Arial"/>
                <w:sz w:val="18"/>
                <w:szCs w:val="18"/>
                <w:color w:val="auto"/>
              </w:rPr>
              <w:t>Form of Documents Delivered to Trustee</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7960" w:type="dxa"/>
            <w:vAlign w:val="bottom"/>
          </w:tcPr>
          <w:p>
            <w:pPr>
              <w:ind w:left="240"/>
              <w:spacing w:after="0"/>
              <w:rPr>
                <w:sz w:val="20"/>
                <w:szCs w:val="20"/>
                <w:color w:val="auto"/>
              </w:rPr>
            </w:pPr>
            <w:r>
              <w:rPr>
                <w:rFonts w:ascii="Arial" w:cs="Arial" w:eastAsia="Arial" w:hAnsi="Arial"/>
                <w:sz w:val="18"/>
                <w:szCs w:val="18"/>
                <w:color w:val="auto"/>
              </w:rPr>
              <w:t>Acts of Holders</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7960" w:type="dxa"/>
            <w:vAlign w:val="bottom"/>
          </w:tcPr>
          <w:p>
            <w:pPr>
              <w:ind w:left="240"/>
              <w:spacing w:after="0"/>
              <w:rPr>
                <w:sz w:val="20"/>
                <w:szCs w:val="20"/>
                <w:color w:val="auto"/>
              </w:rPr>
            </w:pPr>
            <w:r>
              <w:rPr>
                <w:rFonts w:ascii="Arial" w:cs="Arial" w:eastAsia="Arial" w:hAnsi="Arial"/>
                <w:sz w:val="18"/>
                <w:szCs w:val="18"/>
                <w:color w:val="auto"/>
              </w:rPr>
              <w:t>Notices, etc., to Trustee and Company</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7960" w:type="dxa"/>
            <w:vAlign w:val="bottom"/>
          </w:tcPr>
          <w:p>
            <w:pPr>
              <w:ind w:left="240"/>
              <w:spacing w:after="0"/>
              <w:rPr>
                <w:sz w:val="20"/>
                <w:szCs w:val="20"/>
                <w:color w:val="auto"/>
              </w:rPr>
            </w:pPr>
            <w:r>
              <w:rPr>
                <w:rFonts w:ascii="Arial" w:cs="Arial" w:eastAsia="Arial" w:hAnsi="Arial"/>
                <w:sz w:val="18"/>
                <w:szCs w:val="18"/>
                <w:color w:val="auto"/>
              </w:rPr>
              <w:t>Notice to Holders; Waiver</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7960" w:type="dxa"/>
            <w:vAlign w:val="bottom"/>
          </w:tcPr>
          <w:p>
            <w:pPr>
              <w:ind w:left="240"/>
              <w:spacing w:after="0"/>
              <w:rPr>
                <w:sz w:val="20"/>
                <w:szCs w:val="20"/>
                <w:color w:val="auto"/>
              </w:rPr>
            </w:pPr>
            <w:r>
              <w:rPr>
                <w:rFonts w:ascii="Arial" w:cs="Arial" w:eastAsia="Arial" w:hAnsi="Arial"/>
                <w:sz w:val="18"/>
                <w:szCs w:val="18"/>
                <w:color w:val="auto"/>
              </w:rPr>
              <w:t>Counterparts; Effect of Headings and Table of Contents</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108.</w:t>
            </w:r>
          </w:p>
        </w:tc>
        <w:tc>
          <w:tcPr>
            <w:tcW w:w="7960" w:type="dxa"/>
            <w:vAlign w:val="bottom"/>
          </w:tcPr>
          <w:p>
            <w:pPr>
              <w:ind w:left="240"/>
              <w:spacing w:after="0"/>
              <w:rPr>
                <w:sz w:val="20"/>
                <w:szCs w:val="20"/>
                <w:color w:val="auto"/>
              </w:rPr>
            </w:pPr>
            <w:r>
              <w:rPr>
                <w:rFonts w:ascii="Arial" w:cs="Arial" w:eastAsia="Arial" w:hAnsi="Arial"/>
                <w:sz w:val="18"/>
                <w:szCs w:val="18"/>
                <w:color w:val="auto"/>
              </w:rPr>
              <w:t>Successors and Assigns</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109.</w:t>
            </w:r>
          </w:p>
        </w:tc>
        <w:tc>
          <w:tcPr>
            <w:tcW w:w="7960" w:type="dxa"/>
            <w:vAlign w:val="bottom"/>
          </w:tcPr>
          <w:p>
            <w:pPr>
              <w:ind w:left="240"/>
              <w:spacing w:after="0"/>
              <w:rPr>
                <w:sz w:val="20"/>
                <w:szCs w:val="20"/>
                <w:color w:val="auto"/>
              </w:rPr>
            </w:pPr>
            <w:r>
              <w:rPr>
                <w:rFonts w:ascii="Arial" w:cs="Arial" w:eastAsia="Arial" w:hAnsi="Arial"/>
                <w:sz w:val="18"/>
                <w:szCs w:val="18"/>
                <w:color w:val="auto"/>
              </w:rPr>
              <w:t>Severability Clause</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110.</w:t>
            </w:r>
          </w:p>
        </w:tc>
        <w:tc>
          <w:tcPr>
            <w:tcW w:w="7960" w:type="dxa"/>
            <w:vAlign w:val="bottom"/>
          </w:tcPr>
          <w:p>
            <w:pPr>
              <w:ind w:left="240"/>
              <w:spacing w:after="0"/>
              <w:rPr>
                <w:sz w:val="20"/>
                <w:szCs w:val="20"/>
                <w:color w:val="auto"/>
              </w:rPr>
            </w:pPr>
            <w:r>
              <w:rPr>
                <w:rFonts w:ascii="Arial" w:cs="Arial" w:eastAsia="Arial" w:hAnsi="Arial"/>
                <w:sz w:val="18"/>
                <w:szCs w:val="18"/>
                <w:color w:val="auto"/>
              </w:rPr>
              <w:t>Benefits of Indenture</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7960" w:type="dxa"/>
            <w:vAlign w:val="bottom"/>
          </w:tcPr>
          <w:p>
            <w:pPr>
              <w:ind w:left="240"/>
              <w:spacing w:after="0"/>
              <w:rPr>
                <w:sz w:val="20"/>
                <w:szCs w:val="20"/>
                <w:color w:val="auto"/>
              </w:rPr>
            </w:pPr>
            <w:r>
              <w:rPr>
                <w:rFonts w:ascii="Arial" w:cs="Arial" w:eastAsia="Arial" w:hAnsi="Arial"/>
                <w:sz w:val="18"/>
                <w:szCs w:val="18"/>
                <w:color w:val="auto"/>
              </w:rPr>
              <w:t>Governing Law</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7960" w:type="dxa"/>
            <w:vAlign w:val="bottom"/>
          </w:tcPr>
          <w:p>
            <w:pPr>
              <w:ind w:left="240"/>
              <w:spacing w:after="0"/>
              <w:rPr>
                <w:sz w:val="20"/>
                <w:szCs w:val="20"/>
                <w:color w:val="auto"/>
              </w:rPr>
            </w:pPr>
            <w:r>
              <w:rPr>
                <w:rFonts w:ascii="Arial" w:cs="Arial" w:eastAsia="Arial" w:hAnsi="Arial"/>
                <w:sz w:val="18"/>
                <w:szCs w:val="18"/>
                <w:color w:val="auto"/>
              </w:rPr>
              <w:t>Legal Holidays</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7960" w:type="dxa"/>
            <w:vAlign w:val="bottom"/>
          </w:tcPr>
          <w:p>
            <w:pPr>
              <w:ind w:left="240"/>
              <w:spacing w:after="0"/>
              <w:rPr>
                <w:sz w:val="20"/>
                <w:szCs w:val="20"/>
                <w:color w:val="auto"/>
              </w:rPr>
            </w:pPr>
            <w:r>
              <w:rPr>
                <w:rFonts w:ascii="Arial" w:cs="Arial" w:eastAsia="Arial" w:hAnsi="Arial"/>
                <w:sz w:val="18"/>
                <w:szCs w:val="18"/>
                <w:color w:val="auto"/>
              </w:rPr>
              <w:t>Limited Liability; Immunity of Shareholders, Directors, Officers and Agents of the Company</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114.</w:t>
            </w:r>
          </w:p>
        </w:tc>
        <w:tc>
          <w:tcPr>
            <w:tcW w:w="7960" w:type="dxa"/>
            <w:vAlign w:val="bottom"/>
          </w:tcPr>
          <w:p>
            <w:pPr>
              <w:ind w:left="240"/>
              <w:spacing w:after="0"/>
              <w:rPr>
                <w:sz w:val="20"/>
                <w:szCs w:val="20"/>
                <w:color w:val="auto"/>
              </w:rPr>
            </w:pPr>
            <w:r>
              <w:rPr>
                <w:rFonts w:ascii="Arial" w:cs="Arial" w:eastAsia="Arial" w:hAnsi="Arial"/>
                <w:sz w:val="18"/>
                <w:szCs w:val="18"/>
                <w:color w:val="auto"/>
              </w:rPr>
              <w:t>Conflict with Trust Indenture Act</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9660" w:type="dxa"/>
            <w:vAlign w:val="bottom"/>
            <w:gridSpan w:val="2"/>
          </w:tcPr>
          <w:p>
            <w:pPr>
              <w:spacing w:after="0"/>
              <w:rPr>
                <w:sz w:val="20"/>
                <w:szCs w:val="20"/>
                <w:color w:val="auto"/>
              </w:rPr>
            </w:pPr>
            <w:r>
              <w:rPr>
                <w:rFonts w:ascii="Arial" w:cs="Arial" w:eastAsia="Arial" w:hAnsi="Arial"/>
                <w:sz w:val="18"/>
                <w:szCs w:val="18"/>
                <w:color w:val="auto"/>
              </w:rPr>
              <w:t>ARTICLE TWO—SECURITIES FORMS</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10"/>
        </w:trPr>
        <w:tc>
          <w:tcPr>
            <w:tcW w:w="170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7960" w:type="dxa"/>
            <w:vAlign w:val="bottom"/>
          </w:tcPr>
          <w:p>
            <w:pPr>
              <w:ind w:left="240"/>
              <w:spacing w:after="0"/>
              <w:rPr>
                <w:sz w:val="20"/>
                <w:szCs w:val="20"/>
                <w:color w:val="auto"/>
              </w:rPr>
            </w:pPr>
            <w:r>
              <w:rPr>
                <w:rFonts w:ascii="Arial" w:cs="Arial" w:eastAsia="Arial" w:hAnsi="Arial"/>
                <w:sz w:val="18"/>
                <w:szCs w:val="18"/>
                <w:color w:val="auto"/>
              </w:rPr>
              <w:t>Forms of Securities</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7960" w:type="dxa"/>
            <w:vAlign w:val="bottom"/>
          </w:tcPr>
          <w:p>
            <w:pPr>
              <w:ind w:left="240"/>
              <w:spacing w:after="0"/>
              <w:rPr>
                <w:sz w:val="20"/>
                <w:szCs w:val="20"/>
                <w:color w:val="auto"/>
              </w:rPr>
            </w:pPr>
            <w:r>
              <w:rPr>
                <w:rFonts w:ascii="Arial" w:cs="Arial" w:eastAsia="Arial" w:hAnsi="Arial"/>
                <w:sz w:val="18"/>
                <w:szCs w:val="18"/>
                <w:color w:val="auto"/>
              </w:rPr>
              <w:t>Form of Trustee’s Certificate of Authentication</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7960" w:type="dxa"/>
            <w:vAlign w:val="bottom"/>
          </w:tcPr>
          <w:p>
            <w:pPr>
              <w:ind w:left="240"/>
              <w:spacing w:after="0"/>
              <w:rPr>
                <w:sz w:val="20"/>
                <w:szCs w:val="20"/>
                <w:color w:val="auto"/>
              </w:rPr>
            </w:pPr>
            <w:r>
              <w:rPr>
                <w:rFonts w:ascii="Arial" w:cs="Arial" w:eastAsia="Arial" w:hAnsi="Arial"/>
                <w:sz w:val="18"/>
                <w:szCs w:val="18"/>
                <w:color w:val="auto"/>
              </w:rPr>
              <w:t>Securities Issuable in Global Form</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ectPr>
          <w:pgSz w:w="11900" w:h="16838" w:orient="portrait"/>
          <w:cols w:equalWidth="0" w:num="1">
            <w:col w:w="10960"/>
          </w:cols>
          <w:pgMar w:left="440" w:top="274" w:right="499" w:bottom="1440" w:gutter="0" w:footer="0" w:header="0"/>
        </w:sectPr>
      </w:pPr>
    </w:p>
    <w:bookmarkStart w:id="79" w:name="page80"/>
    <w:bookmarkEnd w:id="7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0260" w:type="dxa"/>
            <w:vAlign w:val="bottom"/>
            <w:gridSpan w:val="2"/>
          </w:tcPr>
          <w:p>
            <w:pPr>
              <w:spacing w:after="0"/>
              <w:rPr>
                <w:sz w:val="20"/>
                <w:szCs w:val="20"/>
                <w:color w:val="auto"/>
              </w:rPr>
            </w:pPr>
            <w:r>
              <w:rPr>
                <w:rFonts w:ascii="Arial" w:cs="Arial" w:eastAsia="Arial" w:hAnsi="Arial"/>
                <w:sz w:val="18"/>
                <w:szCs w:val="18"/>
                <w:color w:val="auto"/>
              </w:rPr>
              <w:t>ARTICLE THREE—THE SECURITIES</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170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8560" w:type="dxa"/>
            <w:vAlign w:val="bottom"/>
          </w:tcPr>
          <w:p>
            <w:pPr>
              <w:ind w:left="240"/>
              <w:spacing w:after="0"/>
              <w:rPr>
                <w:sz w:val="20"/>
                <w:szCs w:val="20"/>
                <w:color w:val="auto"/>
              </w:rPr>
            </w:pPr>
            <w:r>
              <w:rPr>
                <w:rFonts w:ascii="Arial" w:cs="Arial" w:eastAsia="Arial" w:hAnsi="Arial"/>
                <w:sz w:val="18"/>
                <w:szCs w:val="18"/>
                <w:color w:val="auto"/>
              </w:rPr>
              <w:t>Amount Unlimited; Issuable in Series</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8560" w:type="dxa"/>
            <w:vAlign w:val="bottom"/>
          </w:tcPr>
          <w:p>
            <w:pPr>
              <w:ind w:left="240"/>
              <w:spacing w:after="0"/>
              <w:rPr>
                <w:sz w:val="20"/>
                <w:szCs w:val="20"/>
                <w:color w:val="auto"/>
              </w:rPr>
            </w:pPr>
            <w:r>
              <w:rPr>
                <w:rFonts w:ascii="Arial" w:cs="Arial" w:eastAsia="Arial" w:hAnsi="Arial"/>
                <w:sz w:val="18"/>
                <w:szCs w:val="18"/>
                <w:color w:val="auto"/>
              </w:rPr>
              <w:t>Denominations</w:t>
            </w: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8560" w:type="dxa"/>
            <w:vAlign w:val="bottom"/>
          </w:tcPr>
          <w:p>
            <w:pPr>
              <w:ind w:left="240"/>
              <w:spacing w:after="0"/>
              <w:rPr>
                <w:sz w:val="20"/>
                <w:szCs w:val="20"/>
                <w:color w:val="auto"/>
              </w:rPr>
            </w:pPr>
            <w:r>
              <w:rPr>
                <w:rFonts w:ascii="Arial" w:cs="Arial" w:eastAsia="Arial" w:hAnsi="Arial"/>
                <w:sz w:val="18"/>
                <w:szCs w:val="18"/>
                <w:color w:val="auto"/>
              </w:rPr>
              <w:t>Execution, Authentication, Delivery and Dating</w:t>
            </w: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8560" w:type="dxa"/>
            <w:vAlign w:val="bottom"/>
          </w:tcPr>
          <w:p>
            <w:pPr>
              <w:ind w:left="240"/>
              <w:spacing w:after="0"/>
              <w:rPr>
                <w:sz w:val="20"/>
                <w:szCs w:val="20"/>
                <w:color w:val="auto"/>
              </w:rPr>
            </w:pPr>
            <w:r>
              <w:rPr>
                <w:rFonts w:ascii="Arial" w:cs="Arial" w:eastAsia="Arial" w:hAnsi="Arial"/>
                <w:sz w:val="18"/>
                <w:szCs w:val="18"/>
                <w:color w:val="auto"/>
              </w:rPr>
              <w:t>Temporary Securities</w:t>
            </w: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305.</w:t>
            </w:r>
          </w:p>
        </w:tc>
        <w:tc>
          <w:tcPr>
            <w:tcW w:w="8560" w:type="dxa"/>
            <w:vAlign w:val="bottom"/>
          </w:tcPr>
          <w:p>
            <w:pPr>
              <w:ind w:left="240"/>
              <w:spacing w:after="0"/>
              <w:rPr>
                <w:sz w:val="20"/>
                <w:szCs w:val="20"/>
                <w:color w:val="auto"/>
              </w:rPr>
            </w:pPr>
            <w:r>
              <w:rPr>
                <w:rFonts w:ascii="Arial" w:cs="Arial" w:eastAsia="Arial" w:hAnsi="Arial"/>
                <w:sz w:val="18"/>
                <w:szCs w:val="18"/>
                <w:color w:val="auto"/>
              </w:rPr>
              <w:t>Registration, Registration of Transfer, Conversion and Exchange</w:t>
            </w: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306.</w:t>
            </w:r>
          </w:p>
        </w:tc>
        <w:tc>
          <w:tcPr>
            <w:tcW w:w="8560" w:type="dxa"/>
            <w:vAlign w:val="bottom"/>
          </w:tcPr>
          <w:p>
            <w:pPr>
              <w:ind w:left="240"/>
              <w:spacing w:after="0"/>
              <w:rPr>
                <w:sz w:val="20"/>
                <w:szCs w:val="20"/>
                <w:color w:val="auto"/>
              </w:rPr>
            </w:pPr>
            <w:r>
              <w:rPr>
                <w:rFonts w:ascii="Arial" w:cs="Arial" w:eastAsia="Arial" w:hAnsi="Arial"/>
                <w:sz w:val="18"/>
                <w:szCs w:val="18"/>
                <w:color w:val="auto"/>
              </w:rPr>
              <w:t>Mutilated, Destroyed, Lost and Stolen Securities</w:t>
            </w: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307.</w:t>
            </w:r>
          </w:p>
        </w:tc>
        <w:tc>
          <w:tcPr>
            <w:tcW w:w="8560" w:type="dxa"/>
            <w:vAlign w:val="bottom"/>
          </w:tcPr>
          <w:p>
            <w:pPr>
              <w:ind w:left="240"/>
              <w:spacing w:after="0"/>
              <w:rPr>
                <w:sz w:val="20"/>
                <w:szCs w:val="20"/>
                <w:color w:val="auto"/>
              </w:rPr>
            </w:pPr>
            <w:r>
              <w:rPr>
                <w:rFonts w:ascii="Arial" w:cs="Arial" w:eastAsia="Arial" w:hAnsi="Arial"/>
                <w:sz w:val="18"/>
                <w:szCs w:val="18"/>
                <w:color w:val="auto"/>
              </w:rPr>
              <w:t>Payment of Interest; Interest Rights Preserved</w:t>
            </w: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308.</w:t>
            </w:r>
          </w:p>
        </w:tc>
        <w:tc>
          <w:tcPr>
            <w:tcW w:w="8560" w:type="dxa"/>
            <w:vAlign w:val="bottom"/>
          </w:tcPr>
          <w:p>
            <w:pPr>
              <w:ind w:left="240"/>
              <w:spacing w:after="0"/>
              <w:rPr>
                <w:sz w:val="20"/>
                <w:szCs w:val="20"/>
                <w:color w:val="auto"/>
              </w:rPr>
            </w:pPr>
            <w:r>
              <w:rPr>
                <w:rFonts w:ascii="Arial" w:cs="Arial" w:eastAsia="Arial" w:hAnsi="Arial"/>
                <w:sz w:val="18"/>
                <w:szCs w:val="18"/>
                <w:color w:val="auto"/>
              </w:rPr>
              <w:t>Persons Deemed Owners</w:t>
            </w: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309.</w:t>
            </w:r>
          </w:p>
        </w:tc>
        <w:tc>
          <w:tcPr>
            <w:tcW w:w="8560" w:type="dxa"/>
            <w:vAlign w:val="bottom"/>
          </w:tcPr>
          <w:p>
            <w:pPr>
              <w:ind w:left="240"/>
              <w:spacing w:after="0"/>
              <w:rPr>
                <w:sz w:val="20"/>
                <w:szCs w:val="20"/>
                <w:color w:val="auto"/>
              </w:rPr>
            </w:pPr>
            <w:r>
              <w:rPr>
                <w:rFonts w:ascii="Arial" w:cs="Arial" w:eastAsia="Arial" w:hAnsi="Arial"/>
                <w:sz w:val="18"/>
                <w:szCs w:val="18"/>
                <w:color w:val="auto"/>
              </w:rPr>
              <w:t>Cancellation</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8560" w:type="dxa"/>
            <w:vAlign w:val="bottom"/>
          </w:tcPr>
          <w:p>
            <w:pPr>
              <w:ind w:left="240"/>
              <w:spacing w:after="0"/>
              <w:rPr>
                <w:sz w:val="20"/>
                <w:szCs w:val="20"/>
                <w:color w:val="auto"/>
              </w:rPr>
            </w:pPr>
            <w:r>
              <w:rPr>
                <w:rFonts w:ascii="Arial" w:cs="Arial" w:eastAsia="Arial" w:hAnsi="Arial"/>
                <w:sz w:val="18"/>
                <w:szCs w:val="18"/>
                <w:color w:val="auto"/>
              </w:rPr>
              <w:t>Computation of Interest</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311.</w:t>
            </w:r>
          </w:p>
        </w:tc>
        <w:tc>
          <w:tcPr>
            <w:tcW w:w="8560" w:type="dxa"/>
            <w:vAlign w:val="bottom"/>
          </w:tcPr>
          <w:p>
            <w:pPr>
              <w:ind w:left="240"/>
              <w:spacing w:after="0"/>
              <w:rPr>
                <w:sz w:val="20"/>
                <w:szCs w:val="20"/>
                <w:color w:val="auto"/>
              </w:rPr>
            </w:pPr>
            <w:r>
              <w:rPr>
                <w:rFonts w:ascii="Arial" w:cs="Arial" w:eastAsia="Arial" w:hAnsi="Arial"/>
                <w:sz w:val="18"/>
                <w:szCs w:val="18"/>
                <w:color w:val="auto"/>
              </w:rPr>
              <w:t>CUSIP Numbers</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260" w:type="dxa"/>
            <w:vAlign w:val="bottom"/>
            <w:gridSpan w:val="2"/>
          </w:tcPr>
          <w:p>
            <w:pPr>
              <w:spacing w:after="0"/>
              <w:rPr>
                <w:sz w:val="20"/>
                <w:szCs w:val="20"/>
                <w:color w:val="auto"/>
              </w:rPr>
            </w:pPr>
            <w:r>
              <w:rPr>
                <w:rFonts w:ascii="Arial" w:cs="Arial" w:eastAsia="Arial" w:hAnsi="Arial"/>
                <w:sz w:val="18"/>
                <w:szCs w:val="18"/>
                <w:color w:val="auto"/>
              </w:rPr>
              <w:t>ARTICLE FOUR—SATISFACTION AND DISCHARGE</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0"/>
        </w:trPr>
        <w:tc>
          <w:tcPr>
            <w:tcW w:w="170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8560" w:type="dxa"/>
            <w:vAlign w:val="bottom"/>
          </w:tcPr>
          <w:p>
            <w:pPr>
              <w:ind w:left="240"/>
              <w:spacing w:after="0"/>
              <w:rPr>
                <w:sz w:val="20"/>
                <w:szCs w:val="20"/>
                <w:color w:val="auto"/>
              </w:rPr>
            </w:pPr>
            <w:r>
              <w:rPr>
                <w:rFonts w:ascii="Arial" w:cs="Arial" w:eastAsia="Arial" w:hAnsi="Arial"/>
                <w:sz w:val="18"/>
                <w:szCs w:val="18"/>
                <w:color w:val="auto"/>
              </w:rPr>
              <w:t>Satisfaction and Discharge of Indenture</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8560" w:type="dxa"/>
            <w:vAlign w:val="bottom"/>
          </w:tcPr>
          <w:p>
            <w:pPr>
              <w:ind w:left="240"/>
              <w:spacing w:after="0"/>
              <w:rPr>
                <w:sz w:val="20"/>
                <w:szCs w:val="20"/>
                <w:color w:val="auto"/>
              </w:rPr>
            </w:pPr>
            <w:r>
              <w:rPr>
                <w:rFonts w:ascii="Arial" w:cs="Arial" w:eastAsia="Arial" w:hAnsi="Arial"/>
                <w:sz w:val="18"/>
                <w:szCs w:val="18"/>
                <w:color w:val="auto"/>
              </w:rPr>
              <w:t>Application of Trust Funds</w:t>
            </w: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260" w:type="dxa"/>
            <w:vAlign w:val="bottom"/>
            <w:gridSpan w:val="2"/>
          </w:tcPr>
          <w:p>
            <w:pPr>
              <w:spacing w:after="0"/>
              <w:rPr>
                <w:sz w:val="20"/>
                <w:szCs w:val="20"/>
                <w:color w:val="auto"/>
              </w:rPr>
            </w:pPr>
            <w:r>
              <w:rPr>
                <w:rFonts w:ascii="Arial" w:cs="Arial" w:eastAsia="Arial" w:hAnsi="Arial"/>
                <w:sz w:val="18"/>
                <w:szCs w:val="18"/>
                <w:color w:val="auto"/>
              </w:rPr>
              <w:t>ARTICLE FIVE—REMEDIES</w:t>
            </w: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0"/>
        </w:trPr>
        <w:tc>
          <w:tcPr>
            <w:tcW w:w="170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8560" w:type="dxa"/>
            <w:vAlign w:val="bottom"/>
          </w:tcPr>
          <w:p>
            <w:pPr>
              <w:ind w:left="240"/>
              <w:spacing w:after="0"/>
              <w:rPr>
                <w:sz w:val="20"/>
                <w:szCs w:val="20"/>
                <w:color w:val="auto"/>
              </w:rPr>
            </w:pPr>
            <w:r>
              <w:rPr>
                <w:rFonts w:ascii="Arial" w:cs="Arial" w:eastAsia="Arial" w:hAnsi="Arial"/>
                <w:sz w:val="18"/>
                <w:szCs w:val="18"/>
                <w:color w:val="auto"/>
              </w:rPr>
              <w:t>Events of Default</w:t>
            </w: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8560" w:type="dxa"/>
            <w:vAlign w:val="bottom"/>
          </w:tcPr>
          <w:p>
            <w:pPr>
              <w:ind w:left="240"/>
              <w:spacing w:after="0"/>
              <w:rPr>
                <w:sz w:val="20"/>
                <w:szCs w:val="20"/>
                <w:color w:val="auto"/>
              </w:rPr>
            </w:pPr>
            <w:r>
              <w:rPr>
                <w:rFonts w:ascii="Arial" w:cs="Arial" w:eastAsia="Arial" w:hAnsi="Arial"/>
                <w:sz w:val="18"/>
                <w:szCs w:val="18"/>
                <w:color w:val="auto"/>
              </w:rPr>
              <w:t>Acceleration of Maturity; Rescission and Annulment</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8560" w:type="dxa"/>
            <w:vAlign w:val="bottom"/>
          </w:tcPr>
          <w:p>
            <w:pPr>
              <w:ind w:left="240"/>
              <w:spacing w:after="0"/>
              <w:rPr>
                <w:sz w:val="20"/>
                <w:szCs w:val="20"/>
                <w:color w:val="auto"/>
              </w:rPr>
            </w:pPr>
            <w:r>
              <w:rPr>
                <w:rFonts w:ascii="Arial" w:cs="Arial" w:eastAsia="Arial" w:hAnsi="Arial"/>
                <w:sz w:val="18"/>
                <w:szCs w:val="18"/>
                <w:color w:val="auto"/>
              </w:rPr>
              <w:t>Collection of Indebtedness and Suits for Enforcement by Trustee</w:t>
            </w: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8560" w:type="dxa"/>
            <w:vAlign w:val="bottom"/>
          </w:tcPr>
          <w:p>
            <w:pPr>
              <w:ind w:left="240"/>
              <w:spacing w:after="0"/>
              <w:rPr>
                <w:sz w:val="20"/>
                <w:szCs w:val="20"/>
                <w:color w:val="auto"/>
              </w:rPr>
            </w:pPr>
            <w:r>
              <w:rPr>
                <w:rFonts w:ascii="Arial" w:cs="Arial" w:eastAsia="Arial" w:hAnsi="Arial"/>
                <w:sz w:val="18"/>
                <w:szCs w:val="18"/>
                <w:color w:val="auto"/>
              </w:rPr>
              <w:t>Trustee May File Proofs of Claim</w:t>
            </w: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505.</w:t>
            </w:r>
          </w:p>
        </w:tc>
        <w:tc>
          <w:tcPr>
            <w:tcW w:w="8560" w:type="dxa"/>
            <w:vAlign w:val="bottom"/>
          </w:tcPr>
          <w:p>
            <w:pPr>
              <w:ind w:left="240"/>
              <w:spacing w:after="0"/>
              <w:rPr>
                <w:sz w:val="20"/>
                <w:szCs w:val="20"/>
                <w:color w:val="auto"/>
              </w:rPr>
            </w:pPr>
            <w:r>
              <w:rPr>
                <w:rFonts w:ascii="Arial" w:cs="Arial" w:eastAsia="Arial" w:hAnsi="Arial"/>
                <w:sz w:val="18"/>
                <w:szCs w:val="18"/>
                <w:color w:val="auto"/>
              </w:rPr>
              <w:t>Trustee May Enforce Claims Without Possession of Securities or Coupons</w:t>
            </w: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506.</w:t>
            </w:r>
          </w:p>
        </w:tc>
        <w:tc>
          <w:tcPr>
            <w:tcW w:w="8560" w:type="dxa"/>
            <w:vAlign w:val="bottom"/>
          </w:tcPr>
          <w:p>
            <w:pPr>
              <w:ind w:left="240"/>
              <w:spacing w:after="0"/>
              <w:rPr>
                <w:sz w:val="20"/>
                <w:szCs w:val="20"/>
                <w:color w:val="auto"/>
              </w:rPr>
            </w:pPr>
            <w:r>
              <w:rPr>
                <w:rFonts w:ascii="Arial" w:cs="Arial" w:eastAsia="Arial" w:hAnsi="Arial"/>
                <w:sz w:val="18"/>
                <w:szCs w:val="18"/>
                <w:color w:val="auto"/>
              </w:rPr>
              <w:t>Application of Money Collected</w:t>
            </w: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507.</w:t>
            </w:r>
          </w:p>
        </w:tc>
        <w:tc>
          <w:tcPr>
            <w:tcW w:w="8560" w:type="dxa"/>
            <w:vAlign w:val="bottom"/>
          </w:tcPr>
          <w:p>
            <w:pPr>
              <w:ind w:left="240"/>
              <w:spacing w:after="0"/>
              <w:rPr>
                <w:sz w:val="20"/>
                <w:szCs w:val="20"/>
                <w:color w:val="auto"/>
              </w:rPr>
            </w:pPr>
            <w:r>
              <w:rPr>
                <w:rFonts w:ascii="Arial" w:cs="Arial" w:eastAsia="Arial" w:hAnsi="Arial"/>
                <w:sz w:val="18"/>
                <w:szCs w:val="18"/>
                <w:color w:val="auto"/>
              </w:rPr>
              <w:t>Limitation on Suits</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508.</w:t>
            </w:r>
          </w:p>
        </w:tc>
        <w:tc>
          <w:tcPr>
            <w:tcW w:w="8560" w:type="dxa"/>
            <w:vAlign w:val="bottom"/>
          </w:tcPr>
          <w:p>
            <w:pPr>
              <w:ind w:left="240"/>
              <w:spacing w:after="0"/>
              <w:rPr>
                <w:sz w:val="20"/>
                <w:szCs w:val="20"/>
                <w:color w:val="auto"/>
              </w:rPr>
            </w:pPr>
            <w:r>
              <w:rPr>
                <w:rFonts w:ascii="Arial" w:cs="Arial" w:eastAsia="Arial" w:hAnsi="Arial"/>
                <w:sz w:val="18"/>
                <w:szCs w:val="18"/>
                <w:color w:val="auto"/>
                <w:w w:val="98"/>
              </w:rPr>
              <w:t>Unconditional Right of Holders to Receive Principal, Premium or Make-Whole Amount, if any, and Interest</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509.</w:t>
            </w:r>
          </w:p>
        </w:tc>
        <w:tc>
          <w:tcPr>
            <w:tcW w:w="8560" w:type="dxa"/>
            <w:vAlign w:val="bottom"/>
          </w:tcPr>
          <w:p>
            <w:pPr>
              <w:ind w:left="240"/>
              <w:spacing w:after="0"/>
              <w:rPr>
                <w:sz w:val="20"/>
                <w:szCs w:val="20"/>
                <w:color w:val="auto"/>
              </w:rPr>
            </w:pPr>
            <w:r>
              <w:rPr>
                <w:rFonts w:ascii="Arial" w:cs="Arial" w:eastAsia="Arial" w:hAnsi="Arial"/>
                <w:sz w:val="18"/>
                <w:szCs w:val="18"/>
                <w:color w:val="auto"/>
              </w:rPr>
              <w:t>Restoration of Rights and Remedies</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8560" w:type="dxa"/>
            <w:vAlign w:val="bottom"/>
          </w:tcPr>
          <w:p>
            <w:pPr>
              <w:ind w:left="240"/>
              <w:spacing w:after="0"/>
              <w:rPr>
                <w:sz w:val="20"/>
                <w:szCs w:val="20"/>
                <w:color w:val="auto"/>
              </w:rPr>
            </w:pPr>
            <w:r>
              <w:rPr>
                <w:rFonts w:ascii="Arial" w:cs="Arial" w:eastAsia="Arial" w:hAnsi="Arial"/>
                <w:sz w:val="18"/>
                <w:szCs w:val="18"/>
                <w:color w:val="auto"/>
              </w:rPr>
              <w:t>Rights and Remedies Cumulative</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8560" w:type="dxa"/>
            <w:vAlign w:val="bottom"/>
          </w:tcPr>
          <w:p>
            <w:pPr>
              <w:ind w:left="240"/>
              <w:spacing w:after="0"/>
              <w:rPr>
                <w:sz w:val="20"/>
                <w:szCs w:val="20"/>
                <w:color w:val="auto"/>
              </w:rPr>
            </w:pPr>
            <w:r>
              <w:rPr>
                <w:rFonts w:ascii="Arial" w:cs="Arial" w:eastAsia="Arial" w:hAnsi="Arial"/>
                <w:sz w:val="18"/>
                <w:szCs w:val="18"/>
                <w:color w:val="auto"/>
              </w:rPr>
              <w:t>Delay or Omission Not Waiver</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8560" w:type="dxa"/>
            <w:vAlign w:val="bottom"/>
          </w:tcPr>
          <w:p>
            <w:pPr>
              <w:ind w:left="240"/>
              <w:spacing w:after="0"/>
              <w:rPr>
                <w:sz w:val="20"/>
                <w:szCs w:val="20"/>
                <w:color w:val="auto"/>
              </w:rPr>
            </w:pPr>
            <w:r>
              <w:rPr>
                <w:rFonts w:ascii="Arial" w:cs="Arial" w:eastAsia="Arial" w:hAnsi="Arial"/>
                <w:sz w:val="18"/>
                <w:szCs w:val="18"/>
                <w:color w:val="auto"/>
              </w:rPr>
              <w:t>Control by Holders of Securities</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0960"/>
          </w:cols>
          <w:pgMar w:left="440" w:top="382" w:right="499" w:bottom="1440" w:gutter="0" w:footer="0" w:header="0"/>
        </w:sectPr>
      </w:pPr>
    </w:p>
    <w:bookmarkStart w:id="80" w:name="page81"/>
    <w:bookmarkEnd w:id="8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8900" w:type="dxa"/>
            <w:vAlign w:val="bottom"/>
          </w:tcPr>
          <w:p>
            <w:pPr>
              <w:ind w:left="220"/>
              <w:spacing w:after="0"/>
              <w:rPr>
                <w:sz w:val="20"/>
                <w:szCs w:val="20"/>
                <w:color w:val="auto"/>
              </w:rPr>
            </w:pPr>
            <w:r>
              <w:rPr>
                <w:rFonts w:ascii="Arial" w:cs="Arial" w:eastAsia="Arial" w:hAnsi="Arial"/>
                <w:sz w:val="18"/>
                <w:szCs w:val="18"/>
                <w:color w:val="auto"/>
              </w:rPr>
              <w:t>Waiver of Past Defaults</w:t>
            </w: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8900" w:type="dxa"/>
            <w:vAlign w:val="bottom"/>
          </w:tcPr>
          <w:p>
            <w:pPr>
              <w:ind w:left="220"/>
              <w:spacing w:after="0"/>
              <w:rPr>
                <w:sz w:val="20"/>
                <w:szCs w:val="20"/>
                <w:color w:val="auto"/>
              </w:rPr>
            </w:pPr>
            <w:r>
              <w:rPr>
                <w:rFonts w:ascii="Arial" w:cs="Arial" w:eastAsia="Arial" w:hAnsi="Arial"/>
                <w:sz w:val="18"/>
                <w:szCs w:val="18"/>
                <w:color w:val="auto"/>
              </w:rPr>
              <w:t>Waiver of Usury, Stay or Extension Laws</w:t>
            </w: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515.</w:t>
            </w:r>
          </w:p>
        </w:tc>
        <w:tc>
          <w:tcPr>
            <w:tcW w:w="8900" w:type="dxa"/>
            <w:vAlign w:val="bottom"/>
          </w:tcPr>
          <w:p>
            <w:pPr>
              <w:ind w:left="220"/>
              <w:spacing w:after="0"/>
              <w:rPr>
                <w:sz w:val="20"/>
                <w:szCs w:val="20"/>
                <w:color w:val="auto"/>
              </w:rPr>
            </w:pPr>
            <w:r>
              <w:rPr>
                <w:rFonts w:ascii="Arial" w:cs="Arial" w:eastAsia="Arial" w:hAnsi="Arial"/>
                <w:sz w:val="18"/>
                <w:szCs w:val="18"/>
                <w:color w:val="auto"/>
              </w:rPr>
              <w:t>Undertaking for Costs</w:t>
            </w: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0600" w:type="dxa"/>
            <w:vAlign w:val="bottom"/>
            <w:gridSpan w:val="2"/>
          </w:tcPr>
          <w:p>
            <w:pPr>
              <w:spacing w:after="0"/>
              <w:rPr>
                <w:sz w:val="20"/>
                <w:szCs w:val="20"/>
                <w:color w:val="auto"/>
              </w:rPr>
            </w:pPr>
            <w:r>
              <w:rPr>
                <w:rFonts w:ascii="Arial" w:cs="Arial" w:eastAsia="Arial" w:hAnsi="Arial"/>
                <w:sz w:val="18"/>
                <w:szCs w:val="18"/>
                <w:color w:val="auto"/>
              </w:rPr>
              <w:t>ARTICLE SIX—THE TRUSTEE</w:t>
            </w: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0"/>
        </w:trPr>
        <w:tc>
          <w:tcPr>
            <w:tcW w:w="170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8900" w:type="dxa"/>
            <w:vAlign w:val="bottom"/>
          </w:tcPr>
          <w:p>
            <w:pPr>
              <w:ind w:left="220"/>
              <w:spacing w:after="0"/>
              <w:rPr>
                <w:sz w:val="20"/>
                <w:szCs w:val="20"/>
                <w:color w:val="auto"/>
              </w:rPr>
            </w:pPr>
            <w:r>
              <w:rPr>
                <w:rFonts w:ascii="Arial" w:cs="Arial" w:eastAsia="Arial" w:hAnsi="Arial"/>
                <w:sz w:val="18"/>
                <w:szCs w:val="18"/>
                <w:color w:val="auto"/>
              </w:rPr>
              <w:t>Notice of Defaults</w:t>
            </w: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8900" w:type="dxa"/>
            <w:vAlign w:val="bottom"/>
          </w:tcPr>
          <w:p>
            <w:pPr>
              <w:ind w:left="220"/>
              <w:spacing w:after="0"/>
              <w:rPr>
                <w:sz w:val="20"/>
                <w:szCs w:val="20"/>
                <w:color w:val="auto"/>
              </w:rPr>
            </w:pPr>
            <w:r>
              <w:rPr>
                <w:rFonts w:ascii="Arial" w:cs="Arial" w:eastAsia="Arial" w:hAnsi="Arial"/>
                <w:sz w:val="18"/>
                <w:szCs w:val="18"/>
                <w:color w:val="auto"/>
              </w:rPr>
              <w:t>Certain Rights of Trustee</w:t>
            </w: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8900" w:type="dxa"/>
            <w:vAlign w:val="bottom"/>
          </w:tcPr>
          <w:p>
            <w:pPr>
              <w:ind w:left="220"/>
              <w:spacing w:after="0"/>
              <w:rPr>
                <w:sz w:val="20"/>
                <w:szCs w:val="20"/>
                <w:color w:val="auto"/>
              </w:rPr>
            </w:pPr>
            <w:r>
              <w:rPr>
                <w:rFonts w:ascii="Arial" w:cs="Arial" w:eastAsia="Arial" w:hAnsi="Arial"/>
                <w:sz w:val="18"/>
                <w:szCs w:val="18"/>
                <w:color w:val="auto"/>
              </w:rPr>
              <w:t>Not Responsible for Recitals or Issuance of Securities</w:t>
            </w: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8900" w:type="dxa"/>
            <w:vAlign w:val="bottom"/>
          </w:tcPr>
          <w:p>
            <w:pPr>
              <w:ind w:left="220"/>
              <w:spacing w:after="0"/>
              <w:rPr>
                <w:sz w:val="20"/>
                <w:szCs w:val="20"/>
                <w:color w:val="auto"/>
              </w:rPr>
            </w:pPr>
            <w:r>
              <w:rPr>
                <w:rFonts w:ascii="Arial" w:cs="Arial" w:eastAsia="Arial" w:hAnsi="Arial"/>
                <w:sz w:val="18"/>
                <w:szCs w:val="18"/>
                <w:color w:val="auto"/>
              </w:rPr>
              <w:t>May Hold Securities</w:t>
            </w: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8900" w:type="dxa"/>
            <w:vAlign w:val="bottom"/>
          </w:tcPr>
          <w:p>
            <w:pPr>
              <w:ind w:left="220"/>
              <w:spacing w:after="0"/>
              <w:rPr>
                <w:sz w:val="20"/>
                <w:szCs w:val="20"/>
                <w:color w:val="auto"/>
              </w:rPr>
            </w:pPr>
            <w:r>
              <w:rPr>
                <w:rFonts w:ascii="Arial" w:cs="Arial" w:eastAsia="Arial" w:hAnsi="Arial"/>
                <w:sz w:val="18"/>
                <w:szCs w:val="18"/>
                <w:color w:val="auto"/>
              </w:rPr>
              <w:t>Money Held in Trust</w:t>
            </w: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8900" w:type="dxa"/>
            <w:vAlign w:val="bottom"/>
          </w:tcPr>
          <w:p>
            <w:pPr>
              <w:ind w:left="220"/>
              <w:spacing w:after="0"/>
              <w:rPr>
                <w:sz w:val="20"/>
                <w:szCs w:val="20"/>
                <w:color w:val="auto"/>
              </w:rPr>
            </w:pPr>
            <w:r>
              <w:rPr>
                <w:rFonts w:ascii="Arial" w:cs="Arial" w:eastAsia="Arial" w:hAnsi="Arial"/>
                <w:sz w:val="18"/>
                <w:szCs w:val="18"/>
                <w:color w:val="auto"/>
              </w:rPr>
              <w:t>Compensation and Reimbursement</w:t>
            </w: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8900" w:type="dxa"/>
            <w:vAlign w:val="bottom"/>
          </w:tcPr>
          <w:p>
            <w:pPr>
              <w:ind w:left="220"/>
              <w:spacing w:after="0"/>
              <w:rPr>
                <w:sz w:val="20"/>
                <w:szCs w:val="20"/>
                <w:color w:val="auto"/>
              </w:rPr>
            </w:pPr>
            <w:r>
              <w:rPr>
                <w:rFonts w:ascii="Arial" w:cs="Arial" w:eastAsia="Arial" w:hAnsi="Arial"/>
                <w:sz w:val="18"/>
                <w:szCs w:val="18"/>
                <w:color w:val="auto"/>
              </w:rPr>
              <w:t>Corporate Trustee Required; Eligibility; Conflicting Interests</w:t>
            </w: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608.</w:t>
            </w:r>
          </w:p>
        </w:tc>
        <w:tc>
          <w:tcPr>
            <w:tcW w:w="8900" w:type="dxa"/>
            <w:vAlign w:val="bottom"/>
          </w:tcPr>
          <w:p>
            <w:pPr>
              <w:ind w:left="220"/>
              <w:spacing w:after="0"/>
              <w:rPr>
                <w:sz w:val="20"/>
                <w:szCs w:val="20"/>
                <w:color w:val="auto"/>
              </w:rPr>
            </w:pPr>
            <w:r>
              <w:rPr>
                <w:rFonts w:ascii="Arial" w:cs="Arial" w:eastAsia="Arial" w:hAnsi="Arial"/>
                <w:sz w:val="18"/>
                <w:szCs w:val="18"/>
                <w:color w:val="auto"/>
              </w:rPr>
              <w:t>Resignation and Removal; Appointment of Successor</w:t>
            </w: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609.</w:t>
            </w:r>
          </w:p>
        </w:tc>
        <w:tc>
          <w:tcPr>
            <w:tcW w:w="8900" w:type="dxa"/>
            <w:vAlign w:val="bottom"/>
          </w:tcPr>
          <w:p>
            <w:pPr>
              <w:ind w:left="220"/>
              <w:spacing w:after="0"/>
              <w:rPr>
                <w:sz w:val="20"/>
                <w:szCs w:val="20"/>
                <w:color w:val="auto"/>
              </w:rPr>
            </w:pPr>
            <w:r>
              <w:rPr>
                <w:rFonts w:ascii="Arial" w:cs="Arial" w:eastAsia="Arial" w:hAnsi="Arial"/>
                <w:sz w:val="18"/>
                <w:szCs w:val="18"/>
                <w:color w:val="auto"/>
              </w:rPr>
              <w:t>Acceptance of Appointment by Successor</w:t>
            </w: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8900" w:type="dxa"/>
            <w:vAlign w:val="bottom"/>
          </w:tcPr>
          <w:p>
            <w:pPr>
              <w:ind w:left="220"/>
              <w:spacing w:after="0"/>
              <w:rPr>
                <w:sz w:val="20"/>
                <w:szCs w:val="20"/>
                <w:color w:val="auto"/>
              </w:rPr>
            </w:pPr>
            <w:r>
              <w:rPr>
                <w:rFonts w:ascii="Arial" w:cs="Arial" w:eastAsia="Arial" w:hAnsi="Arial"/>
                <w:sz w:val="18"/>
                <w:szCs w:val="18"/>
                <w:color w:val="auto"/>
              </w:rPr>
              <w:t>Merger, Conversion, Consolidation or Succession to Business</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8900" w:type="dxa"/>
            <w:vAlign w:val="bottom"/>
          </w:tcPr>
          <w:p>
            <w:pPr>
              <w:ind w:left="220"/>
              <w:spacing w:after="0"/>
              <w:rPr>
                <w:sz w:val="20"/>
                <w:szCs w:val="20"/>
                <w:color w:val="auto"/>
              </w:rPr>
            </w:pPr>
            <w:r>
              <w:rPr>
                <w:rFonts w:ascii="Arial" w:cs="Arial" w:eastAsia="Arial" w:hAnsi="Arial"/>
                <w:sz w:val="18"/>
                <w:szCs w:val="18"/>
                <w:color w:val="auto"/>
              </w:rPr>
              <w:t>Appointment of Authenticating Agent</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8900" w:type="dxa"/>
            <w:vAlign w:val="bottom"/>
          </w:tcPr>
          <w:p>
            <w:pPr>
              <w:ind w:left="220"/>
              <w:spacing w:after="0"/>
              <w:rPr>
                <w:sz w:val="20"/>
                <w:szCs w:val="20"/>
                <w:color w:val="auto"/>
              </w:rPr>
            </w:pPr>
            <w:r>
              <w:rPr>
                <w:rFonts w:ascii="Arial" w:cs="Arial" w:eastAsia="Arial" w:hAnsi="Arial"/>
                <w:sz w:val="18"/>
                <w:szCs w:val="18"/>
                <w:color w:val="auto"/>
              </w:rPr>
              <w:t>Certain Duties and Responsibilities of the Trustee</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0600" w:type="dxa"/>
            <w:vAlign w:val="bottom"/>
            <w:gridSpan w:val="2"/>
          </w:tcPr>
          <w:p>
            <w:pPr>
              <w:spacing w:after="0"/>
              <w:rPr>
                <w:sz w:val="20"/>
                <w:szCs w:val="20"/>
                <w:color w:val="auto"/>
              </w:rPr>
            </w:pPr>
            <w:r>
              <w:rPr>
                <w:rFonts w:ascii="Arial" w:cs="Arial" w:eastAsia="Arial" w:hAnsi="Arial"/>
                <w:sz w:val="18"/>
                <w:szCs w:val="18"/>
                <w:color w:val="auto"/>
              </w:rPr>
              <w:t>ARTICLE SEVEN—HOLDERS’ LISTS AND REPORTS BY TRUSTEE AND COMPANY</w:t>
            </w: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0"/>
        </w:trPr>
        <w:tc>
          <w:tcPr>
            <w:tcW w:w="170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8900" w:type="dxa"/>
            <w:vAlign w:val="bottom"/>
          </w:tcPr>
          <w:p>
            <w:pPr>
              <w:ind w:left="220"/>
              <w:spacing w:after="0"/>
              <w:rPr>
                <w:sz w:val="20"/>
                <w:szCs w:val="20"/>
                <w:color w:val="auto"/>
              </w:rPr>
            </w:pPr>
            <w:r>
              <w:rPr>
                <w:rFonts w:ascii="Arial" w:cs="Arial" w:eastAsia="Arial" w:hAnsi="Arial"/>
                <w:sz w:val="18"/>
                <w:szCs w:val="18"/>
                <w:color w:val="auto"/>
              </w:rPr>
              <w:t>Disclosure of Names and Addresses of Holders</w:t>
            </w: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8900" w:type="dxa"/>
            <w:vAlign w:val="bottom"/>
          </w:tcPr>
          <w:p>
            <w:pPr>
              <w:ind w:left="220"/>
              <w:spacing w:after="0"/>
              <w:rPr>
                <w:sz w:val="20"/>
                <w:szCs w:val="20"/>
                <w:color w:val="auto"/>
              </w:rPr>
            </w:pPr>
            <w:r>
              <w:rPr>
                <w:rFonts w:ascii="Arial" w:cs="Arial" w:eastAsia="Arial" w:hAnsi="Arial"/>
                <w:sz w:val="18"/>
                <w:szCs w:val="18"/>
                <w:color w:val="auto"/>
              </w:rPr>
              <w:t>Reports by Trustee</w:t>
            </w: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8900" w:type="dxa"/>
            <w:vAlign w:val="bottom"/>
          </w:tcPr>
          <w:p>
            <w:pPr>
              <w:ind w:left="220"/>
              <w:spacing w:after="0"/>
              <w:rPr>
                <w:sz w:val="20"/>
                <w:szCs w:val="20"/>
                <w:color w:val="auto"/>
              </w:rPr>
            </w:pPr>
            <w:r>
              <w:rPr>
                <w:rFonts w:ascii="Arial" w:cs="Arial" w:eastAsia="Arial" w:hAnsi="Arial"/>
                <w:sz w:val="18"/>
                <w:szCs w:val="18"/>
                <w:color w:val="auto"/>
              </w:rPr>
              <w:t>Reports by Company</w:t>
            </w: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8900" w:type="dxa"/>
            <w:vAlign w:val="bottom"/>
          </w:tcPr>
          <w:p>
            <w:pPr>
              <w:ind w:left="220"/>
              <w:spacing w:after="0"/>
              <w:rPr>
                <w:sz w:val="20"/>
                <w:szCs w:val="20"/>
                <w:color w:val="auto"/>
              </w:rPr>
            </w:pPr>
            <w:r>
              <w:rPr>
                <w:rFonts w:ascii="Arial" w:cs="Arial" w:eastAsia="Arial" w:hAnsi="Arial"/>
                <w:sz w:val="18"/>
                <w:szCs w:val="18"/>
                <w:color w:val="auto"/>
              </w:rPr>
              <w:t>Company to Furnish Trustee Names and Addresses of Holders</w:t>
            </w: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0600" w:type="dxa"/>
            <w:vAlign w:val="bottom"/>
            <w:gridSpan w:val="2"/>
          </w:tcPr>
          <w:p>
            <w:pPr>
              <w:spacing w:after="0"/>
              <w:rPr>
                <w:sz w:val="20"/>
                <w:szCs w:val="20"/>
                <w:color w:val="auto"/>
              </w:rPr>
            </w:pPr>
            <w:r>
              <w:rPr>
                <w:rFonts w:ascii="Arial" w:cs="Arial" w:eastAsia="Arial" w:hAnsi="Arial"/>
                <w:sz w:val="18"/>
                <w:szCs w:val="18"/>
                <w:color w:val="auto"/>
              </w:rPr>
              <w:t>ARTICLE EIGHT—CONSOLIDATION, MERGER, SALE, LEASE OR CONVEYANCE</w:t>
            </w: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0"/>
        </w:trPr>
        <w:tc>
          <w:tcPr>
            <w:tcW w:w="170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8900" w:type="dxa"/>
            <w:vAlign w:val="bottom"/>
          </w:tcPr>
          <w:p>
            <w:pPr>
              <w:ind w:left="220"/>
              <w:spacing w:after="0"/>
              <w:rPr>
                <w:sz w:val="20"/>
                <w:szCs w:val="20"/>
                <w:color w:val="auto"/>
              </w:rPr>
            </w:pPr>
            <w:r>
              <w:rPr>
                <w:rFonts w:ascii="Arial" w:cs="Arial" w:eastAsia="Arial" w:hAnsi="Arial"/>
                <w:sz w:val="18"/>
                <w:szCs w:val="18"/>
                <w:color w:val="auto"/>
                <w:w w:val="91"/>
              </w:rPr>
              <w:t>Consolidations and Mergers of Company and Sales, Leases and Conveyances Permitted Subject to Certain Conditions</w:t>
            </w: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8900" w:type="dxa"/>
            <w:vAlign w:val="bottom"/>
          </w:tcPr>
          <w:p>
            <w:pPr>
              <w:ind w:left="220"/>
              <w:spacing w:after="0"/>
              <w:rPr>
                <w:sz w:val="20"/>
                <w:szCs w:val="20"/>
                <w:color w:val="auto"/>
              </w:rPr>
            </w:pPr>
            <w:r>
              <w:rPr>
                <w:rFonts w:ascii="Arial" w:cs="Arial" w:eastAsia="Arial" w:hAnsi="Arial"/>
                <w:sz w:val="18"/>
                <w:szCs w:val="18"/>
                <w:color w:val="auto"/>
              </w:rPr>
              <w:t>Rights and Duties of Successor Corporation</w:t>
            </w: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8900" w:type="dxa"/>
            <w:vAlign w:val="bottom"/>
          </w:tcPr>
          <w:p>
            <w:pPr>
              <w:ind w:left="220"/>
              <w:spacing w:after="0"/>
              <w:rPr>
                <w:sz w:val="20"/>
                <w:szCs w:val="20"/>
                <w:color w:val="auto"/>
              </w:rPr>
            </w:pPr>
            <w:r>
              <w:rPr>
                <w:rFonts w:ascii="Arial" w:cs="Arial" w:eastAsia="Arial" w:hAnsi="Arial"/>
                <w:sz w:val="18"/>
                <w:szCs w:val="18"/>
                <w:color w:val="auto"/>
              </w:rPr>
              <w:t>Officers’ Certificate and Opinion of Counsel</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0960"/>
          </w:cols>
          <w:pgMar w:left="440" w:top="274" w:right="499" w:bottom="1440" w:gutter="0" w:footer="0" w:header="0"/>
        </w:sectPr>
      </w:pPr>
    </w:p>
    <w:bookmarkStart w:id="81" w:name="page82"/>
    <w:bookmarkEnd w:id="8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9140" w:type="dxa"/>
            <w:vAlign w:val="bottom"/>
            <w:gridSpan w:val="2"/>
          </w:tcPr>
          <w:p>
            <w:pPr>
              <w:spacing w:after="0"/>
              <w:rPr>
                <w:sz w:val="20"/>
                <w:szCs w:val="20"/>
                <w:color w:val="auto"/>
              </w:rPr>
            </w:pPr>
            <w:r>
              <w:rPr>
                <w:rFonts w:ascii="Arial" w:cs="Arial" w:eastAsia="Arial" w:hAnsi="Arial"/>
                <w:sz w:val="18"/>
                <w:szCs w:val="18"/>
                <w:color w:val="auto"/>
              </w:rPr>
              <w:t>ARTICLE NINE—SUPPLEMENTAL INDENTURES</w:t>
            </w:r>
          </w:p>
        </w:tc>
        <w:tc>
          <w:tcPr>
            <w:tcW w:w="1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0"/>
        </w:trPr>
        <w:tc>
          <w:tcPr>
            <w:tcW w:w="176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7380" w:type="dxa"/>
            <w:vAlign w:val="bottom"/>
          </w:tcPr>
          <w:p>
            <w:pPr>
              <w:ind w:left="200"/>
              <w:spacing w:after="0"/>
              <w:rPr>
                <w:sz w:val="20"/>
                <w:szCs w:val="20"/>
                <w:color w:val="auto"/>
              </w:rPr>
            </w:pPr>
            <w:r>
              <w:rPr>
                <w:rFonts w:ascii="Arial" w:cs="Arial" w:eastAsia="Arial" w:hAnsi="Arial"/>
                <w:sz w:val="18"/>
                <w:szCs w:val="18"/>
                <w:color w:val="auto"/>
              </w:rPr>
              <w:t>Supplemental Indentures Without Consent of Holders</w:t>
            </w:r>
          </w:p>
        </w:tc>
        <w:tc>
          <w:tcPr>
            <w:tcW w:w="1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7380" w:type="dxa"/>
            <w:vAlign w:val="bottom"/>
          </w:tcPr>
          <w:p>
            <w:pPr>
              <w:ind w:left="200"/>
              <w:spacing w:after="0"/>
              <w:rPr>
                <w:sz w:val="20"/>
                <w:szCs w:val="20"/>
                <w:color w:val="auto"/>
              </w:rPr>
            </w:pPr>
            <w:r>
              <w:rPr>
                <w:rFonts w:ascii="Arial" w:cs="Arial" w:eastAsia="Arial" w:hAnsi="Arial"/>
                <w:sz w:val="18"/>
                <w:szCs w:val="18"/>
                <w:color w:val="auto"/>
              </w:rPr>
              <w:t>Supplemental Indentures with Consent of Holders</w:t>
            </w:r>
          </w:p>
        </w:tc>
        <w:tc>
          <w:tcPr>
            <w:tcW w:w="1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7380" w:type="dxa"/>
            <w:vAlign w:val="bottom"/>
          </w:tcPr>
          <w:p>
            <w:pPr>
              <w:ind w:left="200"/>
              <w:spacing w:after="0"/>
              <w:rPr>
                <w:sz w:val="20"/>
                <w:szCs w:val="20"/>
                <w:color w:val="auto"/>
              </w:rPr>
            </w:pPr>
            <w:r>
              <w:rPr>
                <w:rFonts w:ascii="Arial" w:cs="Arial" w:eastAsia="Arial" w:hAnsi="Arial"/>
                <w:sz w:val="18"/>
                <w:szCs w:val="18"/>
                <w:color w:val="auto"/>
              </w:rPr>
              <w:t>Execution of Supplemental Indentures</w:t>
            </w:r>
          </w:p>
        </w:tc>
        <w:tc>
          <w:tcPr>
            <w:tcW w:w="1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7380" w:type="dxa"/>
            <w:vAlign w:val="bottom"/>
          </w:tcPr>
          <w:p>
            <w:pPr>
              <w:ind w:left="200"/>
              <w:spacing w:after="0"/>
              <w:rPr>
                <w:sz w:val="20"/>
                <w:szCs w:val="20"/>
                <w:color w:val="auto"/>
              </w:rPr>
            </w:pPr>
            <w:r>
              <w:rPr>
                <w:rFonts w:ascii="Arial" w:cs="Arial" w:eastAsia="Arial" w:hAnsi="Arial"/>
                <w:sz w:val="18"/>
                <w:szCs w:val="18"/>
                <w:color w:val="auto"/>
              </w:rPr>
              <w:t>Effect of Supplemental Indentures</w:t>
            </w:r>
          </w:p>
        </w:tc>
        <w:tc>
          <w:tcPr>
            <w:tcW w:w="1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7380" w:type="dxa"/>
            <w:vAlign w:val="bottom"/>
          </w:tcPr>
          <w:p>
            <w:pPr>
              <w:ind w:left="200"/>
              <w:spacing w:after="0"/>
              <w:rPr>
                <w:sz w:val="20"/>
                <w:szCs w:val="20"/>
                <w:color w:val="auto"/>
              </w:rPr>
            </w:pPr>
            <w:r>
              <w:rPr>
                <w:rFonts w:ascii="Arial" w:cs="Arial" w:eastAsia="Arial" w:hAnsi="Arial"/>
                <w:sz w:val="18"/>
                <w:szCs w:val="18"/>
                <w:color w:val="auto"/>
              </w:rPr>
              <w:t>Conformity with Trust Indenture Act</w:t>
            </w:r>
          </w:p>
        </w:tc>
        <w:tc>
          <w:tcPr>
            <w:tcW w:w="1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906.</w:t>
            </w:r>
          </w:p>
        </w:tc>
        <w:tc>
          <w:tcPr>
            <w:tcW w:w="7380" w:type="dxa"/>
            <w:vAlign w:val="bottom"/>
          </w:tcPr>
          <w:p>
            <w:pPr>
              <w:ind w:left="200"/>
              <w:spacing w:after="0"/>
              <w:rPr>
                <w:sz w:val="20"/>
                <w:szCs w:val="20"/>
                <w:color w:val="auto"/>
              </w:rPr>
            </w:pPr>
            <w:r>
              <w:rPr>
                <w:rFonts w:ascii="Arial" w:cs="Arial" w:eastAsia="Arial" w:hAnsi="Arial"/>
                <w:sz w:val="18"/>
                <w:szCs w:val="18"/>
                <w:color w:val="auto"/>
              </w:rPr>
              <w:t>Reference in Securities to Supplemental Indentures</w:t>
            </w:r>
          </w:p>
        </w:tc>
        <w:tc>
          <w:tcPr>
            <w:tcW w:w="1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140" w:type="dxa"/>
            <w:vAlign w:val="bottom"/>
            <w:gridSpan w:val="2"/>
          </w:tcPr>
          <w:p>
            <w:pPr>
              <w:spacing w:after="0"/>
              <w:rPr>
                <w:sz w:val="20"/>
                <w:szCs w:val="20"/>
                <w:color w:val="auto"/>
              </w:rPr>
            </w:pPr>
            <w:r>
              <w:rPr>
                <w:rFonts w:ascii="Arial" w:cs="Arial" w:eastAsia="Arial" w:hAnsi="Arial"/>
                <w:sz w:val="18"/>
                <w:szCs w:val="18"/>
                <w:color w:val="auto"/>
              </w:rPr>
              <w:t>ARTICLE TEN—COVENANTS</w:t>
            </w:r>
          </w:p>
        </w:tc>
        <w:tc>
          <w:tcPr>
            <w:tcW w:w="18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0"/>
        </w:trPr>
        <w:tc>
          <w:tcPr>
            <w:tcW w:w="176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7380" w:type="dxa"/>
            <w:vAlign w:val="bottom"/>
          </w:tcPr>
          <w:p>
            <w:pPr>
              <w:ind w:left="200"/>
              <w:spacing w:after="0"/>
              <w:rPr>
                <w:sz w:val="20"/>
                <w:szCs w:val="20"/>
                <w:color w:val="auto"/>
              </w:rPr>
            </w:pPr>
            <w:r>
              <w:rPr>
                <w:rFonts w:ascii="Arial" w:cs="Arial" w:eastAsia="Arial" w:hAnsi="Arial"/>
                <w:sz w:val="18"/>
                <w:szCs w:val="18"/>
                <w:color w:val="auto"/>
              </w:rPr>
              <w:t>Payment of Principal, Premium or Make-Whole Amount, if any; and Interest</w:t>
            </w:r>
          </w:p>
        </w:tc>
        <w:tc>
          <w:tcPr>
            <w:tcW w:w="18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7380" w:type="dxa"/>
            <w:vAlign w:val="bottom"/>
          </w:tcPr>
          <w:p>
            <w:pPr>
              <w:ind w:left="200"/>
              <w:spacing w:after="0"/>
              <w:rPr>
                <w:sz w:val="20"/>
                <w:szCs w:val="20"/>
                <w:color w:val="auto"/>
              </w:rPr>
            </w:pPr>
            <w:r>
              <w:rPr>
                <w:rFonts w:ascii="Arial" w:cs="Arial" w:eastAsia="Arial" w:hAnsi="Arial"/>
                <w:sz w:val="18"/>
                <w:szCs w:val="18"/>
                <w:color w:val="auto"/>
              </w:rPr>
              <w:t>Maintenance of Office or Agency</w:t>
            </w:r>
          </w:p>
        </w:tc>
        <w:tc>
          <w:tcPr>
            <w:tcW w:w="18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1003.</w:t>
            </w:r>
          </w:p>
        </w:tc>
        <w:tc>
          <w:tcPr>
            <w:tcW w:w="7380" w:type="dxa"/>
            <w:vAlign w:val="bottom"/>
          </w:tcPr>
          <w:p>
            <w:pPr>
              <w:ind w:left="200"/>
              <w:spacing w:after="0"/>
              <w:rPr>
                <w:sz w:val="20"/>
                <w:szCs w:val="20"/>
                <w:color w:val="auto"/>
              </w:rPr>
            </w:pPr>
            <w:r>
              <w:rPr>
                <w:rFonts w:ascii="Arial" w:cs="Arial" w:eastAsia="Arial" w:hAnsi="Arial"/>
                <w:sz w:val="18"/>
                <w:szCs w:val="18"/>
                <w:color w:val="auto"/>
              </w:rPr>
              <w:t>Money for Securities Payments to Be Held in Trust</w:t>
            </w:r>
          </w:p>
        </w:tc>
        <w:tc>
          <w:tcPr>
            <w:tcW w:w="18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1004.</w:t>
            </w:r>
          </w:p>
        </w:tc>
        <w:tc>
          <w:tcPr>
            <w:tcW w:w="7380" w:type="dxa"/>
            <w:vAlign w:val="bottom"/>
          </w:tcPr>
          <w:p>
            <w:pPr>
              <w:ind w:left="200"/>
              <w:spacing w:after="0"/>
              <w:rPr>
                <w:sz w:val="20"/>
                <w:szCs w:val="20"/>
                <w:color w:val="auto"/>
              </w:rPr>
            </w:pPr>
            <w:r>
              <w:rPr>
                <w:rFonts w:ascii="Arial" w:cs="Arial" w:eastAsia="Arial" w:hAnsi="Arial"/>
                <w:sz w:val="18"/>
                <w:szCs w:val="18"/>
                <w:color w:val="auto"/>
              </w:rPr>
              <w:t>Existence</w:t>
            </w: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1005.</w:t>
            </w:r>
          </w:p>
        </w:tc>
        <w:tc>
          <w:tcPr>
            <w:tcW w:w="7380" w:type="dxa"/>
            <w:vAlign w:val="bottom"/>
          </w:tcPr>
          <w:p>
            <w:pPr>
              <w:ind w:left="200"/>
              <w:spacing w:after="0"/>
              <w:rPr>
                <w:sz w:val="20"/>
                <w:szCs w:val="20"/>
                <w:color w:val="auto"/>
              </w:rPr>
            </w:pPr>
            <w:r>
              <w:rPr>
                <w:rFonts w:ascii="Arial" w:cs="Arial" w:eastAsia="Arial" w:hAnsi="Arial"/>
                <w:sz w:val="18"/>
                <w:szCs w:val="18"/>
                <w:color w:val="auto"/>
              </w:rPr>
              <w:t>Statement as to Compliance</w:t>
            </w: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1006.</w:t>
            </w:r>
          </w:p>
        </w:tc>
        <w:tc>
          <w:tcPr>
            <w:tcW w:w="7380" w:type="dxa"/>
            <w:vAlign w:val="bottom"/>
          </w:tcPr>
          <w:p>
            <w:pPr>
              <w:ind w:left="200"/>
              <w:spacing w:after="0"/>
              <w:rPr>
                <w:sz w:val="20"/>
                <w:szCs w:val="20"/>
                <w:color w:val="auto"/>
              </w:rPr>
            </w:pPr>
            <w:r>
              <w:rPr>
                <w:rFonts w:ascii="Arial" w:cs="Arial" w:eastAsia="Arial" w:hAnsi="Arial"/>
                <w:sz w:val="18"/>
                <w:szCs w:val="18"/>
                <w:color w:val="auto"/>
              </w:rPr>
              <w:t>Waiver of Certain Covenants</w:t>
            </w: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9140" w:type="dxa"/>
            <w:vAlign w:val="bottom"/>
            <w:gridSpan w:val="2"/>
          </w:tcPr>
          <w:p>
            <w:pPr>
              <w:spacing w:after="0"/>
              <w:rPr>
                <w:sz w:val="20"/>
                <w:szCs w:val="20"/>
                <w:color w:val="auto"/>
              </w:rPr>
            </w:pPr>
            <w:r>
              <w:rPr>
                <w:rFonts w:ascii="Arial" w:cs="Arial" w:eastAsia="Arial" w:hAnsi="Arial"/>
                <w:sz w:val="18"/>
                <w:szCs w:val="18"/>
                <w:color w:val="auto"/>
              </w:rPr>
              <w:t>ARTICLE ELEVEN—REDEMPTION OF SECURITIES</w:t>
            </w: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1760" w:type="dxa"/>
            <w:vAlign w:val="bottom"/>
          </w:tcPr>
          <w:p>
            <w:pPr>
              <w:ind w:left="360"/>
              <w:spacing w:after="0"/>
              <w:rPr>
                <w:sz w:val="20"/>
                <w:szCs w:val="20"/>
                <w:color w:val="auto"/>
              </w:rPr>
            </w:pPr>
            <w:r>
              <w:rPr>
                <w:rFonts w:ascii="Arial" w:cs="Arial" w:eastAsia="Arial" w:hAnsi="Arial"/>
                <w:sz w:val="18"/>
                <w:szCs w:val="18"/>
                <w:color w:val="auto"/>
              </w:rPr>
              <w:t>SECTION 1101.</w:t>
            </w:r>
          </w:p>
        </w:tc>
        <w:tc>
          <w:tcPr>
            <w:tcW w:w="7380" w:type="dxa"/>
            <w:vAlign w:val="bottom"/>
          </w:tcPr>
          <w:p>
            <w:pPr>
              <w:ind w:left="200"/>
              <w:spacing w:after="0"/>
              <w:rPr>
                <w:sz w:val="20"/>
                <w:szCs w:val="20"/>
                <w:color w:val="auto"/>
              </w:rPr>
            </w:pPr>
            <w:r>
              <w:rPr>
                <w:rFonts w:ascii="Arial" w:cs="Arial" w:eastAsia="Arial" w:hAnsi="Arial"/>
                <w:sz w:val="18"/>
                <w:szCs w:val="18"/>
                <w:color w:val="auto"/>
              </w:rPr>
              <w:t>Applicability of Article</w:t>
            </w: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1102.</w:t>
            </w:r>
          </w:p>
        </w:tc>
        <w:tc>
          <w:tcPr>
            <w:tcW w:w="7380" w:type="dxa"/>
            <w:vAlign w:val="bottom"/>
          </w:tcPr>
          <w:p>
            <w:pPr>
              <w:ind w:left="200"/>
              <w:spacing w:after="0"/>
              <w:rPr>
                <w:sz w:val="20"/>
                <w:szCs w:val="20"/>
                <w:color w:val="auto"/>
              </w:rPr>
            </w:pPr>
            <w:r>
              <w:rPr>
                <w:rFonts w:ascii="Arial" w:cs="Arial" w:eastAsia="Arial" w:hAnsi="Arial"/>
                <w:sz w:val="18"/>
                <w:szCs w:val="18"/>
                <w:color w:val="auto"/>
              </w:rPr>
              <w:t>Election to Redeem; Notice to Trustee</w:t>
            </w: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1103.</w:t>
            </w:r>
          </w:p>
        </w:tc>
        <w:tc>
          <w:tcPr>
            <w:tcW w:w="7380" w:type="dxa"/>
            <w:vAlign w:val="bottom"/>
          </w:tcPr>
          <w:p>
            <w:pPr>
              <w:ind w:left="200"/>
              <w:spacing w:after="0"/>
              <w:rPr>
                <w:sz w:val="20"/>
                <w:szCs w:val="20"/>
                <w:color w:val="auto"/>
              </w:rPr>
            </w:pPr>
            <w:r>
              <w:rPr>
                <w:rFonts w:ascii="Arial" w:cs="Arial" w:eastAsia="Arial" w:hAnsi="Arial"/>
                <w:sz w:val="18"/>
                <w:szCs w:val="18"/>
                <w:color w:val="auto"/>
              </w:rPr>
              <w:t>Selection by Trustee of Securities to Be Redeemed</w:t>
            </w: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1104.</w:t>
            </w:r>
          </w:p>
        </w:tc>
        <w:tc>
          <w:tcPr>
            <w:tcW w:w="7380" w:type="dxa"/>
            <w:vAlign w:val="bottom"/>
          </w:tcPr>
          <w:p>
            <w:pPr>
              <w:ind w:left="200"/>
              <w:spacing w:after="0"/>
              <w:rPr>
                <w:sz w:val="20"/>
                <w:szCs w:val="20"/>
                <w:color w:val="auto"/>
              </w:rPr>
            </w:pPr>
            <w:r>
              <w:rPr>
                <w:rFonts w:ascii="Arial" w:cs="Arial" w:eastAsia="Arial" w:hAnsi="Arial"/>
                <w:sz w:val="18"/>
                <w:szCs w:val="18"/>
                <w:color w:val="auto"/>
              </w:rPr>
              <w:t>Notice of Redemption</w:t>
            </w:r>
          </w:p>
        </w:tc>
        <w:tc>
          <w:tcPr>
            <w:tcW w:w="18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1105.</w:t>
            </w:r>
          </w:p>
        </w:tc>
        <w:tc>
          <w:tcPr>
            <w:tcW w:w="7380" w:type="dxa"/>
            <w:vAlign w:val="bottom"/>
          </w:tcPr>
          <w:p>
            <w:pPr>
              <w:ind w:left="200"/>
              <w:spacing w:after="0"/>
              <w:rPr>
                <w:sz w:val="20"/>
                <w:szCs w:val="20"/>
                <w:color w:val="auto"/>
              </w:rPr>
            </w:pPr>
            <w:r>
              <w:rPr>
                <w:rFonts w:ascii="Arial" w:cs="Arial" w:eastAsia="Arial" w:hAnsi="Arial"/>
                <w:sz w:val="18"/>
                <w:szCs w:val="18"/>
                <w:color w:val="auto"/>
              </w:rPr>
              <w:t>Deposit of Redemption Price</w:t>
            </w:r>
          </w:p>
        </w:tc>
        <w:tc>
          <w:tcPr>
            <w:tcW w:w="18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1106.</w:t>
            </w:r>
          </w:p>
        </w:tc>
        <w:tc>
          <w:tcPr>
            <w:tcW w:w="7380" w:type="dxa"/>
            <w:vAlign w:val="bottom"/>
          </w:tcPr>
          <w:p>
            <w:pPr>
              <w:ind w:left="200"/>
              <w:spacing w:after="0"/>
              <w:rPr>
                <w:sz w:val="20"/>
                <w:szCs w:val="20"/>
                <w:color w:val="auto"/>
              </w:rPr>
            </w:pPr>
            <w:r>
              <w:rPr>
                <w:rFonts w:ascii="Arial" w:cs="Arial" w:eastAsia="Arial" w:hAnsi="Arial"/>
                <w:sz w:val="18"/>
                <w:szCs w:val="18"/>
                <w:color w:val="auto"/>
              </w:rPr>
              <w:t>Securities Payable on Redemption Date</w:t>
            </w:r>
          </w:p>
        </w:tc>
        <w:tc>
          <w:tcPr>
            <w:tcW w:w="18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1107.</w:t>
            </w:r>
          </w:p>
        </w:tc>
        <w:tc>
          <w:tcPr>
            <w:tcW w:w="7380" w:type="dxa"/>
            <w:vAlign w:val="bottom"/>
          </w:tcPr>
          <w:p>
            <w:pPr>
              <w:ind w:left="200"/>
              <w:spacing w:after="0"/>
              <w:rPr>
                <w:sz w:val="20"/>
                <w:szCs w:val="20"/>
                <w:color w:val="auto"/>
              </w:rPr>
            </w:pPr>
            <w:r>
              <w:rPr>
                <w:rFonts w:ascii="Arial" w:cs="Arial" w:eastAsia="Arial" w:hAnsi="Arial"/>
                <w:sz w:val="18"/>
                <w:szCs w:val="18"/>
                <w:color w:val="auto"/>
              </w:rPr>
              <w:t>Securities Redeemed in Part</w:t>
            </w:r>
          </w:p>
        </w:tc>
        <w:tc>
          <w:tcPr>
            <w:tcW w:w="1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9140" w:type="dxa"/>
            <w:vAlign w:val="bottom"/>
            <w:gridSpan w:val="2"/>
          </w:tcPr>
          <w:p>
            <w:pPr>
              <w:spacing w:after="0"/>
              <w:rPr>
                <w:sz w:val="20"/>
                <w:szCs w:val="20"/>
                <w:color w:val="auto"/>
              </w:rPr>
            </w:pPr>
            <w:r>
              <w:rPr>
                <w:rFonts w:ascii="Arial" w:cs="Arial" w:eastAsia="Arial" w:hAnsi="Arial"/>
                <w:sz w:val="18"/>
                <w:szCs w:val="18"/>
                <w:color w:val="auto"/>
              </w:rPr>
              <w:t>ARTICLE TWELVE—SINKING FUNDS</w:t>
            </w:r>
          </w:p>
        </w:tc>
        <w:tc>
          <w:tcPr>
            <w:tcW w:w="1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0"/>
        </w:trPr>
        <w:tc>
          <w:tcPr>
            <w:tcW w:w="1760" w:type="dxa"/>
            <w:vAlign w:val="bottom"/>
          </w:tcPr>
          <w:p>
            <w:pPr>
              <w:ind w:left="360"/>
              <w:spacing w:after="0"/>
              <w:rPr>
                <w:sz w:val="20"/>
                <w:szCs w:val="20"/>
                <w:color w:val="auto"/>
              </w:rPr>
            </w:pPr>
            <w:r>
              <w:rPr>
                <w:rFonts w:ascii="Arial" w:cs="Arial" w:eastAsia="Arial" w:hAnsi="Arial"/>
                <w:sz w:val="18"/>
                <w:szCs w:val="18"/>
                <w:color w:val="auto"/>
              </w:rPr>
              <w:t>SECTION 1201.</w:t>
            </w:r>
          </w:p>
        </w:tc>
        <w:tc>
          <w:tcPr>
            <w:tcW w:w="7380" w:type="dxa"/>
            <w:vAlign w:val="bottom"/>
          </w:tcPr>
          <w:p>
            <w:pPr>
              <w:ind w:left="200"/>
              <w:spacing w:after="0"/>
              <w:rPr>
                <w:sz w:val="20"/>
                <w:szCs w:val="20"/>
                <w:color w:val="auto"/>
              </w:rPr>
            </w:pPr>
            <w:r>
              <w:rPr>
                <w:rFonts w:ascii="Arial" w:cs="Arial" w:eastAsia="Arial" w:hAnsi="Arial"/>
                <w:sz w:val="18"/>
                <w:szCs w:val="18"/>
                <w:color w:val="auto"/>
              </w:rPr>
              <w:t>Applicability of Article</w:t>
            </w:r>
          </w:p>
        </w:tc>
        <w:tc>
          <w:tcPr>
            <w:tcW w:w="1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1202.</w:t>
            </w:r>
          </w:p>
        </w:tc>
        <w:tc>
          <w:tcPr>
            <w:tcW w:w="7380" w:type="dxa"/>
            <w:vAlign w:val="bottom"/>
          </w:tcPr>
          <w:p>
            <w:pPr>
              <w:ind w:left="200"/>
              <w:spacing w:after="0"/>
              <w:rPr>
                <w:sz w:val="20"/>
                <w:szCs w:val="20"/>
                <w:color w:val="auto"/>
              </w:rPr>
            </w:pPr>
            <w:r>
              <w:rPr>
                <w:rFonts w:ascii="Arial" w:cs="Arial" w:eastAsia="Arial" w:hAnsi="Arial"/>
                <w:sz w:val="18"/>
                <w:szCs w:val="18"/>
                <w:color w:val="auto"/>
              </w:rPr>
              <w:t>Satisfaction of Sinking Fund Payments with Securities</w:t>
            </w:r>
          </w:p>
        </w:tc>
        <w:tc>
          <w:tcPr>
            <w:tcW w:w="1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1203.</w:t>
            </w:r>
          </w:p>
        </w:tc>
        <w:tc>
          <w:tcPr>
            <w:tcW w:w="7380" w:type="dxa"/>
            <w:vAlign w:val="bottom"/>
          </w:tcPr>
          <w:p>
            <w:pPr>
              <w:ind w:left="200"/>
              <w:spacing w:after="0"/>
              <w:rPr>
                <w:sz w:val="20"/>
                <w:szCs w:val="20"/>
                <w:color w:val="auto"/>
              </w:rPr>
            </w:pPr>
            <w:r>
              <w:rPr>
                <w:rFonts w:ascii="Arial" w:cs="Arial" w:eastAsia="Arial" w:hAnsi="Arial"/>
                <w:sz w:val="18"/>
                <w:szCs w:val="18"/>
                <w:color w:val="auto"/>
              </w:rPr>
              <w:t>Redemption of Securities for Sinking Fund</w:t>
            </w:r>
          </w:p>
        </w:tc>
        <w:tc>
          <w:tcPr>
            <w:tcW w:w="1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9140" w:type="dxa"/>
            <w:vAlign w:val="bottom"/>
            <w:gridSpan w:val="2"/>
          </w:tcPr>
          <w:p>
            <w:pPr>
              <w:spacing w:after="0"/>
              <w:rPr>
                <w:sz w:val="20"/>
                <w:szCs w:val="20"/>
                <w:color w:val="auto"/>
              </w:rPr>
            </w:pPr>
            <w:r>
              <w:rPr>
                <w:rFonts w:ascii="Arial" w:cs="Arial" w:eastAsia="Arial" w:hAnsi="Arial"/>
                <w:sz w:val="18"/>
                <w:szCs w:val="18"/>
                <w:color w:val="auto"/>
              </w:rPr>
              <w:t>ARTICLE THIRTEEN—REPAYMENT AT THE OPTION OF HOLDERS</w:t>
            </w:r>
          </w:p>
        </w:tc>
        <w:tc>
          <w:tcPr>
            <w:tcW w:w="1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10"/>
        </w:trPr>
        <w:tc>
          <w:tcPr>
            <w:tcW w:w="1760" w:type="dxa"/>
            <w:vAlign w:val="bottom"/>
          </w:tcPr>
          <w:p>
            <w:pPr>
              <w:ind w:left="360"/>
              <w:spacing w:after="0"/>
              <w:rPr>
                <w:sz w:val="20"/>
                <w:szCs w:val="20"/>
                <w:color w:val="auto"/>
              </w:rPr>
            </w:pPr>
            <w:r>
              <w:rPr>
                <w:rFonts w:ascii="Arial" w:cs="Arial" w:eastAsia="Arial" w:hAnsi="Arial"/>
                <w:sz w:val="18"/>
                <w:szCs w:val="18"/>
                <w:color w:val="auto"/>
              </w:rPr>
              <w:t>SECTION 1301.</w:t>
            </w:r>
          </w:p>
        </w:tc>
        <w:tc>
          <w:tcPr>
            <w:tcW w:w="7380" w:type="dxa"/>
            <w:vAlign w:val="bottom"/>
          </w:tcPr>
          <w:p>
            <w:pPr>
              <w:ind w:left="200"/>
              <w:spacing w:after="0"/>
              <w:rPr>
                <w:sz w:val="20"/>
                <w:szCs w:val="20"/>
                <w:color w:val="auto"/>
              </w:rPr>
            </w:pPr>
            <w:r>
              <w:rPr>
                <w:rFonts w:ascii="Arial" w:cs="Arial" w:eastAsia="Arial" w:hAnsi="Arial"/>
                <w:sz w:val="18"/>
                <w:szCs w:val="18"/>
                <w:color w:val="auto"/>
              </w:rPr>
              <w:t>Applicability of Article</w:t>
            </w:r>
          </w:p>
        </w:tc>
        <w:tc>
          <w:tcPr>
            <w:tcW w:w="1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1302.</w:t>
            </w:r>
          </w:p>
        </w:tc>
        <w:tc>
          <w:tcPr>
            <w:tcW w:w="7380" w:type="dxa"/>
            <w:vAlign w:val="bottom"/>
          </w:tcPr>
          <w:p>
            <w:pPr>
              <w:ind w:left="200"/>
              <w:spacing w:after="0"/>
              <w:rPr>
                <w:sz w:val="20"/>
                <w:szCs w:val="20"/>
                <w:color w:val="auto"/>
              </w:rPr>
            </w:pPr>
            <w:r>
              <w:rPr>
                <w:rFonts w:ascii="Arial" w:cs="Arial" w:eastAsia="Arial" w:hAnsi="Arial"/>
                <w:sz w:val="18"/>
                <w:szCs w:val="18"/>
                <w:color w:val="auto"/>
              </w:rPr>
              <w:t>Repayment of Securities</w:t>
            </w:r>
          </w:p>
        </w:tc>
        <w:tc>
          <w:tcPr>
            <w:tcW w:w="1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1303.</w:t>
            </w:r>
          </w:p>
        </w:tc>
        <w:tc>
          <w:tcPr>
            <w:tcW w:w="7380" w:type="dxa"/>
            <w:vAlign w:val="bottom"/>
          </w:tcPr>
          <w:p>
            <w:pPr>
              <w:ind w:left="200"/>
              <w:spacing w:after="0"/>
              <w:rPr>
                <w:sz w:val="20"/>
                <w:szCs w:val="20"/>
                <w:color w:val="auto"/>
              </w:rPr>
            </w:pPr>
            <w:r>
              <w:rPr>
                <w:rFonts w:ascii="Arial" w:cs="Arial" w:eastAsia="Arial" w:hAnsi="Arial"/>
                <w:sz w:val="18"/>
                <w:szCs w:val="18"/>
                <w:color w:val="auto"/>
              </w:rPr>
              <w:t>Exercise of Option</w:t>
            </w:r>
          </w:p>
        </w:tc>
        <w:tc>
          <w:tcPr>
            <w:tcW w:w="1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1304.</w:t>
            </w:r>
          </w:p>
        </w:tc>
        <w:tc>
          <w:tcPr>
            <w:tcW w:w="7380" w:type="dxa"/>
            <w:vAlign w:val="bottom"/>
          </w:tcPr>
          <w:p>
            <w:pPr>
              <w:ind w:left="200"/>
              <w:spacing w:after="0"/>
              <w:rPr>
                <w:sz w:val="20"/>
                <w:szCs w:val="20"/>
                <w:color w:val="auto"/>
              </w:rPr>
            </w:pPr>
            <w:r>
              <w:rPr>
                <w:rFonts w:ascii="Arial" w:cs="Arial" w:eastAsia="Arial" w:hAnsi="Arial"/>
                <w:sz w:val="18"/>
                <w:szCs w:val="18"/>
                <w:color w:val="auto"/>
              </w:rPr>
              <w:t>When Securities Presented for Repayment Become Due and Payable</w:t>
            </w:r>
          </w:p>
        </w:tc>
        <w:tc>
          <w:tcPr>
            <w:tcW w:w="1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1305.</w:t>
            </w:r>
          </w:p>
        </w:tc>
        <w:tc>
          <w:tcPr>
            <w:tcW w:w="7380" w:type="dxa"/>
            <w:vAlign w:val="bottom"/>
          </w:tcPr>
          <w:p>
            <w:pPr>
              <w:ind w:left="200"/>
              <w:spacing w:after="0"/>
              <w:rPr>
                <w:sz w:val="20"/>
                <w:szCs w:val="20"/>
                <w:color w:val="auto"/>
              </w:rPr>
            </w:pPr>
            <w:r>
              <w:rPr>
                <w:rFonts w:ascii="Arial" w:cs="Arial" w:eastAsia="Arial" w:hAnsi="Arial"/>
                <w:sz w:val="18"/>
                <w:szCs w:val="18"/>
                <w:color w:val="auto"/>
              </w:rPr>
              <w:t>Securities Repaid in Part</w:t>
            </w:r>
          </w:p>
        </w:tc>
        <w:tc>
          <w:tcPr>
            <w:tcW w:w="1820" w:type="dxa"/>
            <w:vAlign w:val="bottom"/>
          </w:tcPr>
          <w:p>
            <w:pPr>
              <w:jc w:val="right"/>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0960"/>
          </w:cols>
          <w:pgMar w:left="440" w:top="382" w:right="499" w:bottom="1440" w:gutter="0" w:footer="0" w:header="0"/>
        </w:sectPr>
      </w:pPr>
    </w:p>
    <w:bookmarkStart w:id="82" w:name="page83"/>
    <w:bookmarkEnd w:id="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9980" w:type="dxa"/>
            <w:vAlign w:val="bottom"/>
            <w:gridSpan w:val="2"/>
          </w:tcPr>
          <w:p>
            <w:pPr>
              <w:spacing w:after="0"/>
              <w:rPr>
                <w:sz w:val="20"/>
                <w:szCs w:val="20"/>
                <w:color w:val="auto"/>
              </w:rPr>
            </w:pPr>
            <w:r>
              <w:rPr>
                <w:rFonts w:ascii="Arial" w:cs="Arial" w:eastAsia="Arial" w:hAnsi="Arial"/>
                <w:sz w:val="18"/>
                <w:szCs w:val="18"/>
                <w:color w:val="auto"/>
              </w:rPr>
              <w:t>ARTICLE FOURTEEN—DEFEASANCE AND COVENANT DEFEASANCE</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10"/>
        </w:trPr>
        <w:tc>
          <w:tcPr>
            <w:tcW w:w="1760" w:type="dxa"/>
            <w:vAlign w:val="bottom"/>
          </w:tcPr>
          <w:p>
            <w:pPr>
              <w:ind w:left="360"/>
              <w:spacing w:after="0"/>
              <w:rPr>
                <w:sz w:val="20"/>
                <w:szCs w:val="20"/>
                <w:color w:val="auto"/>
              </w:rPr>
            </w:pPr>
            <w:r>
              <w:rPr>
                <w:rFonts w:ascii="Arial" w:cs="Arial" w:eastAsia="Arial" w:hAnsi="Arial"/>
                <w:sz w:val="18"/>
                <w:szCs w:val="18"/>
                <w:color w:val="auto"/>
              </w:rPr>
              <w:t>SECTION 1401.</w:t>
            </w:r>
          </w:p>
        </w:tc>
        <w:tc>
          <w:tcPr>
            <w:tcW w:w="8220" w:type="dxa"/>
            <w:vAlign w:val="bottom"/>
          </w:tcPr>
          <w:p>
            <w:pPr>
              <w:ind w:left="200"/>
              <w:spacing w:after="0"/>
              <w:rPr>
                <w:sz w:val="20"/>
                <w:szCs w:val="20"/>
                <w:color w:val="auto"/>
              </w:rPr>
            </w:pPr>
            <w:r>
              <w:rPr>
                <w:rFonts w:ascii="Arial" w:cs="Arial" w:eastAsia="Arial" w:hAnsi="Arial"/>
                <w:sz w:val="18"/>
                <w:szCs w:val="18"/>
                <w:color w:val="auto"/>
              </w:rPr>
              <w:t>Applicability of Article; Company’s Option to Effect Defeasance or Covenant Defeasance</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1402.</w:t>
            </w:r>
          </w:p>
        </w:tc>
        <w:tc>
          <w:tcPr>
            <w:tcW w:w="8220" w:type="dxa"/>
            <w:vAlign w:val="bottom"/>
          </w:tcPr>
          <w:p>
            <w:pPr>
              <w:ind w:left="200"/>
              <w:spacing w:after="0"/>
              <w:rPr>
                <w:sz w:val="20"/>
                <w:szCs w:val="20"/>
                <w:color w:val="auto"/>
              </w:rPr>
            </w:pPr>
            <w:r>
              <w:rPr>
                <w:rFonts w:ascii="Arial" w:cs="Arial" w:eastAsia="Arial" w:hAnsi="Arial"/>
                <w:sz w:val="18"/>
                <w:szCs w:val="18"/>
                <w:color w:val="auto"/>
              </w:rPr>
              <w:t>Defeasance and Discharge</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1403.</w:t>
            </w:r>
          </w:p>
        </w:tc>
        <w:tc>
          <w:tcPr>
            <w:tcW w:w="8220" w:type="dxa"/>
            <w:vAlign w:val="bottom"/>
          </w:tcPr>
          <w:p>
            <w:pPr>
              <w:ind w:left="200"/>
              <w:spacing w:after="0"/>
              <w:rPr>
                <w:sz w:val="20"/>
                <w:szCs w:val="20"/>
                <w:color w:val="auto"/>
              </w:rPr>
            </w:pPr>
            <w:r>
              <w:rPr>
                <w:rFonts w:ascii="Arial" w:cs="Arial" w:eastAsia="Arial" w:hAnsi="Arial"/>
                <w:sz w:val="18"/>
                <w:szCs w:val="18"/>
                <w:color w:val="auto"/>
              </w:rPr>
              <w:t>Covenant Defeasance</w:t>
            </w: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1404.</w:t>
            </w:r>
          </w:p>
        </w:tc>
        <w:tc>
          <w:tcPr>
            <w:tcW w:w="8220" w:type="dxa"/>
            <w:vAlign w:val="bottom"/>
          </w:tcPr>
          <w:p>
            <w:pPr>
              <w:ind w:left="200"/>
              <w:spacing w:after="0"/>
              <w:rPr>
                <w:sz w:val="20"/>
                <w:szCs w:val="20"/>
                <w:color w:val="auto"/>
              </w:rPr>
            </w:pPr>
            <w:r>
              <w:rPr>
                <w:rFonts w:ascii="Arial" w:cs="Arial" w:eastAsia="Arial" w:hAnsi="Arial"/>
                <w:sz w:val="18"/>
                <w:szCs w:val="18"/>
                <w:color w:val="auto"/>
              </w:rPr>
              <w:t>Conditions to Defeasance or Covenant Defeasance</w:t>
            </w: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1405.</w:t>
            </w:r>
          </w:p>
        </w:tc>
        <w:tc>
          <w:tcPr>
            <w:tcW w:w="8220" w:type="dxa"/>
            <w:vAlign w:val="bottom"/>
          </w:tcPr>
          <w:p>
            <w:pPr>
              <w:ind w:left="200"/>
              <w:spacing w:after="0"/>
              <w:rPr>
                <w:sz w:val="20"/>
                <w:szCs w:val="20"/>
                <w:color w:val="auto"/>
              </w:rPr>
            </w:pPr>
            <w:r>
              <w:rPr>
                <w:rFonts w:ascii="Arial" w:cs="Arial" w:eastAsia="Arial" w:hAnsi="Arial"/>
                <w:sz w:val="18"/>
                <w:szCs w:val="18"/>
                <w:color w:val="auto"/>
              </w:rPr>
              <w:t>Deposited Money and Government Obligations to Be Held in Trust; Other Miscellaneous Provisions</w:t>
            </w: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9980" w:type="dxa"/>
            <w:vAlign w:val="bottom"/>
            <w:gridSpan w:val="2"/>
          </w:tcPr>
          <w:p>
            <w:pPr>
              <w:spacing w:after="0"/>
              <w:rPr>
                <w:sz w:val="20"/>
                <w:szCs w:val="20"/>
                <w:color w:val="auto"/>
              </w:rPr>
            </w:pPr>
            <w:r>
              <w:rPr>
                <w:rFonts w:ascii="Arial" w:cs="Arial" w:eastAsia="Arial" w:hAnsi="Arial"/>
                <w:sz w:val="18"/>
                <w:szCs w:val="18"/>
                <w:color w:val="auto"/>
              </w:rPr>
              <w:t>ARTICLE FIFTEEN—MEETINGS OF HOLDERS OF SECURITIES</w:t>
            </w: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0"/>
        </w:trPr>
        <w:tc>
          <w:tcPr>
            <w:tcW w:w="1760" w:type="dxa"/>
            <w:vAlign w:val="bottom"/>
          </w:tcPr>
          <w:p>
            <w:pPr>
              <w:ind w:left="360"/>
              <w:spacing w:after="0"/>
              <w:rPr>
                <w:sz w:val="20"/>
                <w:szCs w:val="20"/>
                <w:color w:val="auto"/>
              </w:rPr>
            </w:pPr>
            <w:r>
              <w:rPr>
                <w:rFonts w:ascii="Arial" w:cs="Arial" w:eastAsia="Arial" w:hAnsi="Arial"/>
                <w:sz w:val="18"/>
                <w:szCs w:val="18"/>
                <w:color w:val="auto"/>
              </w:rPr>
              <w:t>SECTION 1501.</w:t>
            </w:r>
          </w:p>
        </w:tc>
        <w:tc>
          <w:tcPr>
            <w:tcW w:w="8220" w:type="dxa"/>
            <w:vAlign w:val="bottom"/>
          </w:tcPr>
          <w:p>
            <w:pPr>
              <w:ind w:left="200"/>
              <w:spacing w:after="0"/>
              <w:rPr>
                <w:sz w:val="20"/>
                <w:szCs w:val="20"/>
                <w:color w:val="auto"/>
              </w:rPr>
            </w:pPr>
            <w:r>
              <w:rPr>
                <w:rFonts w:ascii="Arial" w:cs="Arial" w:eastAsia="Arial" w:hAnsi="Arial"/>
                <w:sz w:val="18"/>
                <w:szCs w:val="18"/>
                <w:color w:val="auto"/>
              </w:rPr>
              <w:t>Purposes for Which Meetings May Be Called</w:t>
            </w: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1502.</w:t>
            </w:r>
          </w:p>
        </w:tc>
        <w:tc>
          <w:tcPr>
            <w:tcW w:w="8220" w:type="dxa"/>
            <w:vAlign w:val="bottom"/>
          </w:tcPr>
          <w:p>
            <w:pPr>
              <w:ind w:left="200"/>
              <w:spacing w:after="0"/>
              <w:rPr>
                <w:sz w:val="20"/>
                <w:szCs w:val="20"/>
                <w:color w:val="auto"/>
              </w:rPr>
            </w:pPr>
            <w:r>
              <w:rPr>
                <w:rFonts w:ascii="Arial" w:cs="Arial" w:eastAsia="Arial" w:hAnsi="Arial"/>
                <w:sz w:val="18"/>
                <w:szCs w:val="18"/>
                <w:color w:val="auto"/>
              </w:rPr>
              <w:t>Call, Notice and Place of Meetings</w:t>
            </w: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1503.</w:t>
            </w:r>
          </w:p>
        </w:tc>
        <w:tc>
          <w:tcPr>
            <w:tcW w:w="8220" w:type="dxa"/>
            <w:vAlign w:val="bottom"/>
          </w:tcPr>
          <w:p>
            <w:pPr>
              <w:ind w:left="200"/>
              <w:spacing w:after="0"/>
              <w:rPr>
                <w:sz w:val="20"/>
                <w:szCs w:val="20"/>
                <w:color w:val="auto"/>
              </w:rPr>
            </w:pPr>
            <w:r>
              <w:rPr>
                <w:rFonts w:ascii="Arial" w:cs="Arial" w:eastAsia="Arial" w:hAnsi="Arial"/>
                <w:sz w:val="18"/>
                <w:szCs w:val="18"/>
                <w:color w:val="auto"/>
              </w:rPr>
              <w:t>Persons Entitled to Vote at Meetings</w:t>
            </w: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1504.</w:t>
            </w:r>
          </w:p>
        </w:tc>
        <w:tc>
          <w:tcPr>
            <w:tcW w:w="8220" w:type="dxa"/>
            <w:vAlign w:val="bottom"/>
          </w:tcPr>
          <w:p>
            <w:pPr>
              <w:ind w:left="200"/>
              <w:spacing w:after="0"/>
              <w:rPr>
                <w:sz w:val="20"/>
                <w:szCs w:val="20"/>
                <w:color w:val="auto"/>
              </w:rPr>
            </w:pPr>
            <w:r>
              <w:rPr>
                <w:rFonts w:ascii="Arial" w:cs="Arial" w:eastAsia="Arial" w:hAnsi="Arial"/>
                <w:sz w:val="18"/>
                <w:szCs w:val="18"/>
                <w:color w:val="auto"/>
              </w:rPr>
              <w:t>Quorum; Action</w:t>
            </w: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1505.</w:t>
            </w:r>
          </w:p>
        </w:tc>
        <w:tc>
          <w:tcPr>
            <w:tcW w:w="8220" w:type="dxa"/>
            <w:vAlign w:val="bottom"/>
          </w:tcPr>
          <w:p>
            <w:pPr>
              <w:ind w:left="200"/>
              <w:spacing w:after="0"/>
              <w:rPr>
                <w:sz w:val="20"/>
                <w:szCs w:val="20"/>
                <w:color w:val="auto"/>
              </w:rPr>
            </w:pPr>
            <w:r>
              <w:rPr>
                <w:rFonts w:ascii="Arial" w:cs="Arial" w:eastAsia="Arial" w:hAnsi="Arial"/>
                <w:sz w:val="18"/>
                <w:szCs w:val="18"/>
                <w:color w:val="auto"/>
              </w:rPr>
              <w:t>Determination of Voting Rights; Conduct and Adjournment of Meetings</w:t>
            </w: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1506.</w:t>
            </w:r>
          </w:p>
        </w:tc>
        <w:tc>
          <w:tcPr>
            <w:tcW w:w="8220" w:type="dxa"/>
            <w:vAlign w:val="bottom"/>
          </w:tcPr>
          <w:p>
            <w:pPr>
              <w:ind w:left="200"/>
              <w:spacing w:after="0"/>
              <w:rPr>
                <w:sz w:val="20"/>
                <w:szCs w:val="20"/>
                <w:color w:val="auto"/>
              </w:rPr>
            </w:pPr>
            <w:r>
              <w:rPr>
                <w:rFonts w:ascii="Arial" w:cs="Arial" w:eastAsia="Arial" w:hAnsi="Arial"/>
                <w:sz w:val="18"/>
                <w:szCs w:val="18"/>
                <w:color w:val="auto"/>
              </w:rPr>
              <w:t>Counting Votes and Recording Action of Meetings</w:t>
            </w: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9980" w:type="dxa"/>
            <w:vAlign w:val="bottom"/>
            <w:gridSpan w:val="2"/>
          </w:tcPr>
          <w:p>
            <w:pPr>
              <w:spacing w:after="0"/>
              <w:rPr>
                <w:sz w:val="20"/>
                <w:szCs w:val="20"/>
                <w:color w:val="auto"/>
              </w:rPr>
            </w:pPr>
            <w:r>
              <w:rPr>
                <w:rFonts w:ascii="Arial" w:cs="Arial" w:eastAsia="Arial" w:hAnsi="Arial"/>
                <w:sz w:val="18"/>
                <w:szCs w:val="18"/>
                <w:color w:val="auto"/>
              </w:rPr>
              <w:t>ARTICLE SIXTEEN—CONVERSION OF SECURITIES</w:t>
            </w: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10"/>
        </w:trPr>
        <w:tc>
          <w:tcPr>
            <w:tcW w:w="1760" w:type="dxa"/>
            <w:vAlign w:val="bottom"/>
          </w:tcPr>
          <w:p>
            <w:pPr>
              <w:ind w:left="360"/>
              <w:spacing w:after="0"/>
              <w:rPr>
                <w:sz w:val="20"/>
                <w:szCs w:val="20"/>
                <w:color w:val="auto"/>
              </w:rPr>
            </w:pPr>
            <w:r>
              <w:rPr>
                <w:rFonts w:ascii="Arial" w:cs="Arial" w:eastAsia="Arial" w:hAnsi="Arial"/>
                <w:sz w:val="18"/>
                <w:szCs w:val="18"/>
                <w:color w:val="auto"/>
              </w:rPr>
              <w:t>SECTION 1601.</w:t>
            </w:r>
          </w:p>
        </w:tc>
        <w:tc>
          <w:tcPr>
            <w:tcW w:w="8220" w:type="dxa"/>
            <w:vAlign w:val="bottom"/>
          </w:tcPr>
          <w:p>
            <w:pPr>
              <w:ind w:left="200"/>
              <w:spacing w:after="0"/>
              <w:rPr>
                <w:sz w:val="20"/>
                <w:szCs w:val="20"/>
                <w:color w:val="auto"/>
              </w:rPr>
            </w:pPr>
            <w:r>
              <w:rPr>
                <w:rFonts w:ascii="Arial" w:cs="Arial" w:eastAsia="Arial" w:hAnsi="Arial"/>
                <w:sz w:val="18"/>
                <w:szCs w:val="18"/>
                <w:color w:val="auto"/>
              </w:rPr>
              <w:t>Applicability of Article; Conversion Privilege and Conversion Price</w:t>
            </w: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1602.</w:t>
            </w:r>
          </w:p>
        </w:tc>
        <w:tc>
          <w:tcPr>
            <w:tcW w:w="8220" w:type="dxa"/>
            <w:vAlign w:val="bottom"/>
          </w:tcPr>
          <w:p>
            <w:pPr>
              <w:ind w:left="200"/>
              <w:spacing w:after="0"/>
              <w:rPr>
                <w:sz w:val="20"/>
                <w:szCs w:val="20"/>
                <w:color w:val="auto"/>
              </w:rPr>
            </w:pPr>
            <w:r>
              <w:rPr>
                <w:rFonts w:ascii="Arial" w:cs="Arial" w:eastAsia="Arial" w:hAnsi="Arial"/>
                <w:sz w:val="18"/>
                <w:szCs w:val="18"/>
                <w:color w:val="auto"/>
              </w:rPr>
              <w:t>Exercise of Conversion Privilege</w:t>
            </w: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1603.</w:t>
            </w:r>
          </w:p>
        </w:tc>
        <w:tc>
          <w:tcPr>
            <w:tcW w:w="8220" w:type="dxa"/>
            <w:vAlign w:val="bottom"/>
          </w:tcPr>
          <w:p>
            <w:pPr>
              <w:ind w:left="200"/>
              <w:spacing w:after="0"/>
              <w:rPr>
                <w:sz w:val="20"/>
                <w:szCs w:val="20"/>
                <w:color w:val="auto"/>
              </w:rPr>
            </w:pPr>
            <w:r>
              <w:rPr>
                <w:rFonts w:ascii="Arial" w:cs="Arial" w:eastAsia="Arial" w:hAnsi="Arial"/>
                <w:sz w:val="18"/>
                <w:szCs w:val="18"/>
                <w:color w:val="auto"/>
              </w:rPr>
              <w:t>Fractions of Shares</w:t>
            </w: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1604.</w:t>
            </w:r>
          </w:p>
        </w:tc>
        <w:tc>
          <w:tcPr>
            <w:tcW w:w="8220" w:type="dxa"/>
            <w:vAlign w:val="bottom"/>
          </w:tcPr>
          <w:p>
            <w:pPr>
              <w:ind w:left="200"/>
              <w:spacing w:after="0"/>
              <w:rPr>
                <w:sz w:val="20"/>
                <w:szCs w:val="20"/>
                <w:color w:val="auto"/>
              </w:rPr>
            </w:pPr>
            <w:r>
              <w:rPr>
                <w:rFonts w:ascii="Arial" w:cs="Arial" w:eastAsia="Arial" w:hAnsi="Arial"/>
                <w:sz w:val="18"/>
                <w:szCs w:val="18"/>
                <w:color w:val="auto"/>
              </w:rPr>
              <w:t>Adjustment of Conversion Price</w:t>
            </w: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1605.</w:t>
            </w:r>
          </w:p>
        </w:tc>
        <w:tc>
          <w:tcPr>
            <w:tcW w:w="8220" w:type="dxa"/>
            <w:vAlign w:val="bottom"/>
          </w:tcPr>
          <w:p>
            <w:pPr>
              <w:ind w:left="200"/>
              <w:spacing w:after="0"/>
              <w:rPr>
                <w:sz w:val="20"/>
                <w:szCs w:val="20"/>
                <w:color w:val="auto"/>
              </w:rPr>
            </w:pPr>
            <w:r>
              <w:rPr>
                <w:rFonts w:ascii="Arial" w:cs="Arial" w:eastAsia="Arial" w:hAnsi="Arial"/>
                <w:sz w:val="18"/>
                <w:szCs w:val="18"/>
                <w:color w:val="auto"/>
              </w:rPr>
              <w:t>Notice of Adjustments of Conversion Price</w:t>
            </w: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1606.</w:t>
            </w:r>
          </w:p>
        </w:tc>
        <w:tc>
          <w:tcPr>
            <w:tcW w:w="8220" w:type="dxa"/>
            <w:vAlign w:val="bottom"/>
          </w:tcPr>
          <w:p>
            <w:pPr>
              <w:ind w:left="200"/>
              <w:spacing w:after="0"/>
              <w:rPr>
                <w:sz w:val="20"/>
                <w:szCs w:val="20"/>
                <w:color w:val="auto"/>
              </w:rPr>
            </w:pPr>
            <w:r>
              <w:rPr>
                <w:rFonts w:ascii="Arial" w:cs="Arial" w:eastAsia="Arial" w:hAnsi="Arial"/>
                <w:sz w:val="18"/>
                <w:szCs w:val="18"/>
                <w:color w:val="auto"/>
              </w:rPr>
              <w:t>Notice of Certain Corporate Action</w:t>
            </w: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1607.</w:t>
            </w:r>
          </w:p>
        </w:tc>
        <w:tc>
          <w:tcPr>
            <w:tcW w:w="8220" w:type="dxa"/>
            <w:vAlign w:val="bottom"/>
          </w:tcPr>
          <w:p>
            <w:pPr>
              <w:ind w:left="200"/>
              <w:spacing w:after="0"/>
              <w:rPr>
                <w:sz w:val="20"/>
                <w:szCs w:val="20"/>
                <w:color w:val="auto"/>
              </w:rPr>
            </w:pPr>
            <w:r>
              <w:rPr>
                <w:rFonts w:ascii="Arial" w:cs="Arial" w:eastAsia="Arial" w:hAnsi="Arial"/>
                <w:sz w:val="18"/>
                <w:szCs w:val="18"/>
                <w:color w:val="auto"/>
              </w:rPr>
              <w:t>Company to Reserve Ordinary Shares</w:t>
            </w: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1608.</w:t>
            </w:r>
          </w:p>
        </w:tc>
        <w:tc>
          <w:tcPr>
            <w:tcW w:w="8220" w:type="dxa"/>
            <w:vAlign w:val="bottom"/>
          </w:tcPr>
          <w:p>
            <w:pPr>
              <w:ind w:left="200"/>
              <w:spacing w:after="0"/>
              <w:rPr>
                <w:sz w:val="20"/>
                <w:szCs w:val="20"/>
                <w:color w:val="auto"/>
              </w:rPr>
            </w:pPr>
            <w:r>
              <w:rPr>
                <w:rFonts w:ascii="Arial" w:cs="Arial" w:eastAsia="Arial" w:hAnsi="Arial"/>
                <w:sz w:val="18"/>
                <w:szCs w:val="18"/>
                <w:color w:val="auto"/>
              </w:rPr>
              <w:t>Taxes on Conversion</w:t>
            </w: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1609.</w:t>
            </w:r>
          </w:p>
        </w:tc>
        <w:tc>
          <w:tcPr>
            <w:tcW w:w="8220" w:type="dxa"/>
            <w:vAlign w:val="bottom"/>
          </w:tcPr>
          <w:p>
            <w:pPr>
              <w:ind w:left="200"/>
              <w:spacing w:after="0"/>
              <w:rPr>
                <w:sz w:val="20"/>
                <w:szCs w:val="20"/>
                <w:color w:val="auto"/>
              </w:rPr>
            </w:pPr>
            <w:r>
              <w:rPr>
                <w:rFonts w:ascii="Arial" w:cs="Arial" w:eastAsia="Arial" w:hAnsi="Arial"/>
                <w:sz w:val="18"/>
                <w:szCs w:val="18"/>
                <w:color w:val="auto"/>
              </w:rPr>
              <w:t>Covenants as to Ordinary Shares</w:t>
            </w: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1610.</w:t>
            </w:r>
          </w:p>
        </w:tc>
        <w:tc>
          <w:tcPr>
            <w:tcW w:w="8220" w:type="dxa"/>
            <w:vAlign w:val="bottom"/>
          </w:tcPr>
          <w:p>
            <w:pPr>
              <w:ind w:left="200"/>
              <w:spacing w:after="0"/>
              <w:rPr>
                <w:sz w:val="20"/>
                <w:szCs w:val="20"/>
                <w:color w:val="auto"/>
              </w:rPr>
            </w:pPr>
            <w:r>
              <w:rPr>
                <w:rFonts w:ascii="Arial" w:cs="Arial" w:eastAsia="Arial" w:hAnsi="Arial"/>
                <w:sz w:val="18"/>
                <w:szCs w:val="18"/>
                <w:color w:val="auto"/>
              </w:rPr>
              <w:t>Cancellation of Converted Securities</w:t>
            </w: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1611.</w:t>
            </w:r>
          </w:p>
        </w:tc>
        <w:tc>
          <w:tcPr>
            <w:tcW w:w="8220" w:type="dxa"/>
            <w:vAlign w:val="bottom"/>
          </w:tcPr>
          <w:p>
            <w:pPr>
              <w:ind w:left="200"/>
              <w:spacing w:after="0"/>
              <w:rPr>
                <w:sz w:val="20"/>
                <w:szCs w:val="20"/>
                <w:color w:val="auto"/>
              </w:rPr>
            </w:pPr>
            <w:r>
              <w:rPr>
                <w:rFonts w:ascii="Arial" w:cs="Arial" w:eastAsia="Arial" w:hAnsi="Arial"/>
                <w:sz w:val="18"/>
                <w:szCs w:val="18"/>
                <w:color w:val="auto"/>
              </w:rPr>
              <w:t>Provisions in Case of Consolidation, Merger or Sale of Assets; Special Distributions</w:t>
            </w: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1612.</w:t>
            </w:r>
          </w:p>
        </w:tc>
        <w:tc>
          <w:tcPr>
            <w:tcW w:w="8220" w:type="dxa"/>
            <w:vAlign w:val="bottom"/>
          </w:tcPr>
          <w:p>
            <w:pPr>
              <w:ind w:left="200"/>
              <w:spacing w:after="0"/>
              <w:rPr>
                <w:sz w:val="20"/>
                <w:szCs w:val="20"/>
                <w:color w:val="auto"/>
              </w:rPr>
            </w:pPr>
            <w:r>
              <w:rPr>
                <w:rFonts w:ascii="Arial" w:cs="Arial" w:eastAsia="Arial" w:hAnsi="Arial"/>
                <w:sz w:val="18"/>
                <w:szCs w:val="18"/>
                <w:color w:val="auto"/>
              </w:rPr>
              <w:t>Trustee Adjustment Disclaimer; Company Determination Final</w:t>
            </w: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1613.</w:t>
            </w:r>
          </w:p>
        </w:tc>
        <w:tc>
          <w:tcPr>
            <w:tcW w:w="8220" w:type="dxa"/>
            <w:vAlign w:val="bottom"/>
          </w:tcPr>
          <w:p>
            <w:pPr>
              <w:ind w:left="200"/>
              <w:spacing w:after="0"/>
              <w:rPr>
                <w:sz w:val="20"/>
                <w:szCs w:val="20"/>
                <w:color w:val="auto"/>
              </w:rPr>
            </w:pPr>
            <w:r>
              <w:rPr>
                <w:rFonts w:ascii="Arial" w:cs="Arial" w:eastAsia="Arial" w:hAnsi="Arial"/>
                <w:sz w:val="18"/>
                <w:szCs w:val="18"/>
                <w:color w:val="auto"/>
              </w:rPr>
              <w:t>When No Adjustment Required</w:t>
            </w: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1614.</w:t>
            </w:r>
          </w:p>
        </w:tc>
        <w:tc>
          <w:tcPr>
            <w:tcW w:w="8220" w:type="dxa"/>
            <w:vAlign w:val="bottom"/>
          </w:tcPr>
          <w:p>
            <w:pPr>
              <w:ind w:left="200"/>
              <w:spacing w:after="0"/>
              <w:rPr>
                <w:sz w:val="20"/>
                <w:szCs w:val="20"/>
                <w:color w:val="auto"/>
              </w:rPr>
            </w:pPr>
            <w:r>
              <w:rPr>
                <w:rFonts w:ascii="Arial" w:cs="Arial" w:eastAsia="Arial" w:hAnsi="Arial"/>
                <w:sz w:val="18"/>
                <w:szCs w:val="18"/>
                <w:color w:val="auto"/>
              </w:rPr>
              <w:t>Equivalent Adjustments</w:t>
            </w: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0960"/>
          </w:cols>
          <w:pgMar w:left="440" w:top="382" w:right="49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CENTESSA PHARMACEUTICALS PLC</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Reconciliation and tie between the Trust Indenture Act of 1939, as amended (the “Trust Indenture Act” or “TIA”) and the Indenture, dated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__________, 20__.</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gridSpan w:val="2"/>
          </w:tcPr>
          <w:p>
            <w:pPr>
              <w:spacing w:after="0"/>
              <w:rPr>
                <w:sz w:val="20"/>
                <w:szCs w:val="20"/>
                <w:color w:val="auto"/>
              </w:rPr>
            </w:pPr>
            <w:r>
              <w:rPr>
                <w:rFonts w:ascii="Arial" w:cs="Arial" w:eastAsia="Arial" w:hAnsi="Arial"/>
                <w:sz w:val="14"/>
                <w:szCs w:val="14"/>
                <w:color w:val="auto"/>
              </w:rPr>
              <w:t>Trust Indenture</w:t>
            </w:r>
          </w:p>
        </w:tc>
        <w:tc>
          <w:tcPr>
            <w:tcW w:w="1440" w:type="dxa"/>
            <w:vAlign w:val="bottom"/>
          </w:tcPr>
          <w:p>
            <w:pPr>
              <w:ind w:left="440"/>
              <w:spacing w:after="0"/>
              <w:rPr>
                <w:sz w:val="20"/>
                <w:szCs w:val="20"/>
                <w:color w:val="auto"/>
              </w:rPr>
            </w:pPr>
            <w:r>
              <w:rPr>
                <w:rFonts w:ascii="Arial" w:cs="Arial" w:eastAsia="Arial" w:hAnsi="Arial"/>
                <w:sz w:val="14"/>
                <w:szCs w:val="14"/>
                <w:color w:val="auto"/>
              </w:rPr>
              <w:t>Indenture</w:t>
            </w:r>
          </w:p>
        </w:tc>
      </w:tr>
      <w:tr>
        <w:trPr>
          <w:trHeight w:val="181"/>
        </w:trPr>
        <w:tc>
          <w:tcPr>
            <w:tcW w:w="9580" w:type="dxa"/>
            <w:vAlign w:val="bottom"/>
            <w:gridSpan w:val="2"/>
          </w:tcPr>
          <w:p>
            <w:pPr>
              <w:spacing w:after="0"/>
              <w:rPr>
                <w:sz w:val="20"/>
                <w:szCs w:val="20"/>
                <w:color w:val="auto"/>
              </w:rPr>
            </w:pPr>
            <w:r>
              <w:rPr>
                <w:rFonts w:ascii="Arial" w:cs="Arial" w:eastAsia="Arial" w:hAnsi="Arial"/>
                <w:sz w:val="14"/>
                <w:szCs w:val="14"/>
                <w:color w:val="auto"/>
              </w:rPr>
              <w:t>Act Section</w:t>
            </w:r>
          </w:p>
        </w:tc>
        <w:tc>
          <w:tcPr>
            <w:tcW w:w="1440" w:type="dxa"/>
            <w:vAlign w:val="bottom"/>
          </w:tcPr>
          <w:p>
            <w:pPr>
              <w:ind w:left="500"/>
              <w:spacing w:after="0"/>
              <w:rPr>
                <w:sz w:val="20"/>
                <w:szCs w:val="20"/>
                <w:color w:val="auto"/>
              </w:rPr>
            </w:pPr>
            <w:r>
              <w:rPr>
                <w:rFonts w:ascii="Arial" w:cs="Arial" w:eastAsia="Arial" w:hAnsi="Arial"/>
                <w:sz w:val="14"/>
                <w:szCs w:val="14"/>
                <w:color w:val="auto"/>
              </w:rPr>
              <w:t>Section</w:t>
            </w:r>
          </w:p>
        </w:tc>
      </w:tr>
      <w:tr>
        <w:trPr>
          <w:trHeight w:val="195"/>
        </w:trPr>
        <w:tc>
          <w:tcPr>
            <w:tcW w:w="9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 310(a)(1)</w:t>
            </w: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607</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(a)(2)</w:t>
            </w:r>
          </w:p>
        </w:tc>
        <w:tc>
          <w:tcPr>
            <w:tcW w:w="1440" w:type="dxa"/>
            <w:vAlign w:val="bottom"/>
          </w:tcPr>
          <w:p>
            <w:pPr>
              <w:spacing w:after="0"/>
              <w:rPr>
                <w:sz w:val="20"/>
                <w:szCs w:val="20"/>
                <w:color w:val="auto"/>
              </w:rPr>
            </w:pPr>
            <w:r>
              <w:rPr>
                <w:rFonts w:ascii="Arial" w:cs="Arial" w:eastAsia="Arial" w:hAnsi="Arial"/>
                <w:sz w:val="18"/>
                <w:szCs w:val="18"/>
                <w:color w:val="auto"/>
              </w:rPr>
              <w:t>607</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(b)</w:t>
            </w:r>
          </w:p>
        </w:tc>
        <w:tc>
          <w:tcPr>
            <w:tcW w:w="1440" w:type="dxa"/>
            <w:vAlign w:val="bottom"/>
          </w:tcPr>
          <w:p>
            <w:pPr>
              <w:spacing w:after="0"/>
              <w:rPr>
                <w:sz w:val="20"/>
                <w:szCs w:val="20"/>
                <w:color w:val="auto"/>
              </w:rPr>
            </w:pPr>
            <w:r>
              <w:rPr>
                <w:rFonts w:ascii="Arial" w:cs="Arial" w:eastAsia="Arial" w:hAnsi="Arial"/>
                <w:sz w:val="18"/>
                <w:szCs w:val="18"/>
                <w:color w:val="auto"/>
              </w:rPr>
              <w:t>607, 608</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 312(c)</w:t>
            </w:r>
          </w:p>
        </w:tc>
        <w:tc>
          <w:tcPr>
            <w:tcW w:w="1440" w:type="dxa"/>
            <w:vAlign w:val="bottom"/>
          </w:tcPr>
          <w:p>
            <w:pPr>
              <w:spacing w:after="0"/>
              <w:rPr>
                <w:sz w:val="20"/>
                <w:szCs w:val="20"/>
                <w:color w:val="auto"/>
              </w:rPr>
            </w:pPr>
            <w:r>
              <w:rPr>
                <w:rFonts w:ascii="Arial" w:cs="Arial" w:eastAsia="Arial" w:hAnsi="Arial"/>
                <w:sz w:val="18"/>
                <w:szCs w:val="18"/>
                <w:color w:val="auto"/>
              </w:rPr>
              <w:t>701</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 313(a)</w:t>
            </w:r>
          </w:p>
        </w:tc>
        <w:tc>
          <w:tcPr>
            <w:tcW w:w="1440" w:type="dxa"/>
            <w:vAlign w:val="bottom"/>
          </w:tcPr>
          <w:p>
            <w:pPr>
              <w:spacing w:after="0"/>
              <w:rPr>
                <w:sz w:val="20"/>
                <w:szCs w:val="20"/>
                <w:color w:val="auto"/>
              </w:rPr>
            </w:pPr>
            <w:r>
              <w:rPr>
                <w:rFonts w:ascii="Arial" w:cs="Arial" w:eastAsia="Arial" w:hAnsi="Arial"/>
                <w:sz w:val="18"/>
                <w:szCs w:val="18"/>
                <w:color w:val="auto"/>
              </w:rPr>
              <w:t>702</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(c)</w:t>
            </w:r>
          </w:p>
        </w:tc>
        <w:tc>
          <w:tcPr>
            <w:tcW w:w="1440" w:type="dxa"/>
            <w:vAlign w:val="bottom"/>
          </w:tcPr>
          <w:p>
            <w:pPr>
              <w:spacing w:after="0"/>
              <w:rPr>
                <w:sz w:val="20"/>
                <w:szCs w:val="20"/>
                <w:color w:val="auto"/>
              </w:rPr>
            </w:pPr>
            <w:r>
              <w:rPr>
                <w:rFonts w:ascii="Arial" w:cs="Arial" w:eastAsia="Arial" w:hAnsi="Arial"/>
                <w:sz w:val="18"/>
                <w:szCs w:val="18"/>
                <w:color w:val="auto"/>
              </w:rPr>
              <w:t>702</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 314(a)</w:t>
            </w:r>
          </w:p>
        </w:tc>
        <w:tc>
          <w:tcPr>
            <w:tcW w:w="1440" w:type="dxa"/>
            <w:vAlign w:val="bottom"/>
          </w:tcPr>
          <w:p>
            <w:pPr>
              <w:spacing w:after="0"/>
              <w:rPr>
                <w:sz w:val="20"/>
                <w:szCs w:val="20"/>
                <w:color w:val="auto"/>
              </w:rPr>
            </w:pPr>
            <w:r>
              <w:rPr>
                <w:rFonts w:ascii="Arial" w:cs="Arial" w:eastAsia="Arial" w:hAnsi="Arial"/>
                <w:sz w:val="18"/>
                <w:szCs w:val="18"/>
                <w:color w:val="auto"/>
              </w:rPr>
              <w:t>703</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(a)(4)</w:t>
            </w:r>
          </w:p>
        </w:tc>
        <w:tc>
          <w:tcPr>
            <w:tcW w:w="1440" w:type="dxa"/>
            <w:vAlign w:val="bottom"/>
          </w:tcPr>
          <w:p>
            <w:pPr>
              <w:spacing w:after="0"/>
              <w:rPr>
                <w:sz w:val="20"/>
                <w:szCs w:val="20"/>
                <w:color w:val="auto"/>
              </w:rPr>
            </w:pPr>
            <w:r>
              <w:rPr>
                <w:rFonts w:ascii="Arial" w:cs="Arial" w:eastAsia="Arial" w:hAnsi="Arial"/>
                <w:sz w:val="18"/>
                <w:szCs w:val="18"/>
                <w:color w:val="auto"/>
              </w:rPr>
              <w:t>1005</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(c)(1)</w:t>
            </w:r>
          </w:p>
        </w:tc>
        <w:tc>
          <w:tcPr>
            <w:tcW w:w="1440" w:type="dxa"/>
            <w:vAlign w:val="bottom"/>
          </w:tcPr>
          <w:p>
            <w:pPr>
              <w:spacing w:after="0"/>
              <w:rPr>
                <w:sz w:val="20"/>
                <w:szCs w:val="20"/>
                <w:color w:val="auto"/>
              </w:rPr>
            </w:pPr>
            <w:r>
              <w:rPr>
                <w:rFonts w:ascii="Arial" w:cs="Arial" w:eastAsia="Arial" w:hAnsi="Arial"/>
                <w:sz w:val="18"/>
                <w:szCs w:val="18"/>
                <w:color w:val="auto"/>
              </w:rPr>
              <w:t>102</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(c)(2)</w:t>
            </w:r>
          </w:p>
        </w:tc>
        <w:tc>
          <w:tcPr>
            <w:tcW w:w="1440" w:type="dxa"/>
            <w:vAlign w:val="bottom"/>
          </w:tcPr>
          <w:p>
            <w:pPr>
              <w:spacing w:after="0"/>
              <w:rPr>
                <w:sz w:val="20"/>
                <w:szCs w:val="20"/>
                <w:color w:val="auto"/>
              </w:rPr>
            </w:pPr>
            <w:r>
              <w:rPr>
                <w:rFonts w:ascii="Arial" w:cs="Arial" w:eastAsia="Arial" w:hAnsi="Arial"/>
                <w:sz w:val="18"/>
                <w:szCs w:val="18"/>
                <w:color w:val="auto"/>
              </w:rPr>
              <w:t>102</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(e)</w:t>
            </w:r>
          </w:p>
        </w:tc>
        <w:tc>
          <w:tcPr>
            <w:tcW w:w="1440" w:type="dxa"/>
            <w:vAlign w:val="bottom"/>
          </w:tcPr>
          <w:p>
            <w:pPr>
              <w:spacing w:after="0"/>
              <w:rPr>
                <w:sz w:val="20"/>
                <w:szCs w:val="20"/>
                <w:color w:val="auto"/>
              </w:rPr>
            </w:pPr>
            <w:r>
              <w:rPr>
                <w:rFonts w:ascii="Arial" w:cs="Arial" w:eastAsia="Arial" w:hAnsi="Arial"/>
                <w:sz w:val="18"/>
                <w:szCs w:val="18"/>
                <w:color w:val="auto"/>
              </w:rPr>
              <w:t>102</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 315(b)</w:t>
            </w:r>
          </w:p>
        </w:tc>
        <w:tc>
          <w:tcPr>
            <w:tcW w:w="1440" w:type="dxa"/>
            <w:vAlign w:val="bottom"/>
          </w:tcPr>
          <w:p>
            <w:pPr>
              <w:spacing w:after="0"/>
              <w:rPr>
                <w:sz w:val="20"/>
                <w:szCs w:val="20"/>
                <w:color w:val="auto"/>
              </w:rPr>
            </w:pPr>
            <w:r>
              <w:rPr>
                <w:rFonts w:ascii="Arial" w:cs="Arial" w:eastAsia="Arial" w:hAnsi="Arial"/>
                <w:sz w:val="18"/>
                <w:szCs w:val="18"/>
                <w:color w:val="auto"/>
              </w:rPr>
              <w:t>601</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 316(a) (last sentence) 101(“Outstanding”)</w:t>
            </w:r>
          </w:p>
        </w:tc>
        <w:tc>
          <w:tcPr>
            <w:tcW w:w="1440" w:type="dxa"/>
            <w:vAlign w:val="bottom"/>
          </w:tcPr>
          <w:p>
            <w:pPr>
              <w:spacing w:after="0"/>
              <w:rPr>
                <w:sz w:val="18"/>
                <w:szCs w:val="18"/>
                <w:color w:val="auto"/>
              </w:rPr>
            </w:pP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(a)(1)(A)</w:t>
            </w:r>
          </w:p>
        </w:tc>
        <w:tc>
          <w:tcPr>
            <w:tcW w:w="1440" w:type="dxa"/>
            <w:vAlign w:val="bottom"/>
          </w:tcPr>
          <w:p>
            <w:pPr>
              <w:spacing w:after="0"/>
              <w:rPr>
                <w:sz w:val="20"/>
                <w:szCs w:val="20"/>
                <w:color w:val="auto"/>
              </w:rPr>
            </w:pPr>
            <w:r>
              <w:rPr>
                <w:rFonts w:ascii="Arial" w:cs="Arial" w:eastAsia="Arial" w:hAnsi="Arial"/>
                <w:sz w:val="18"/>
                <w:szCs w:val="18"/>
                <w:color w:val="auto"/>
              </w:rPr>
              <w:t>502, 512</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(a)(1)(B)</w:t>
            </w:r>
          </w:p>
        </w:tc>
        <w:tc>
          <w:tcPr>
            <w:tcW w:w="1440" w:type="dxa"/>
            <w:vAlign w:val="bottom"/>
          </w:tcPr>
          <w:p>
            <w:pPr>
              <w:spacing w:after="0"/>
              <w:rPr>
                <w:sz w:val="20"/>
                <w:szCs w:val="20"/>
                <w:color w:val="auto"/>
              </w:rPr>
            </w:pPr>
            <w:r>
              <w:rPr>
                <w:rFonts w:ascii="Arial" w:cs="Arial" w:eastAsia="Arial" w:hAnsi="Arial"/>
                <w:sz w:val="18"/>
                <w:szCs w:val="18"/>
                <w:color w:val="auto"/>
              </w:rPr>
              <w:t>513</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(b)</w:t>
            </w:r>
          </w:p>
        </w:tc>
        <w:tc>
          <w:tcPr>
            <w:tcW w:w="1440" w:type="dxa"/>
            <w:vAlign w:val="bottom"/>
          </w:tcPr>
          <w:p>
            <w:pPr>
              <w:spacing w:after="0"/>
              <w:rPr>
                <w:sz w:val="20"/>
                <w:szCs w:val="20"/>
                <w:color w:val="auto"/>
              </w:rPr>
            </w:pPr>
            <w:r>
              <w:rPr>
                <w:rFonts w:ascii="Arial" w:cs="Arial" w:eastAsia="Arial" w:hAnsi="Arial"/>
                <w:sz w:val="18"/>
                <w:szCs w:val="18"/>
                <w:color w:val="auto"/>
              </w:rPr>
              <w:t>508</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 317(a)(1)</w:t>
            </w:r>
          </w:p>
        </w:tc>
        <w:tc>
          <w:tcPr>
            <w:tcW w:w="1440" w:type="dxa"/>
            <w:vAlign w:val="bottom"/>
          </w:tcPr>
          <w:p>
            <w:pPr>
              <w:spacing w:after="0"/>
              <w:rPr>
                <w:sz w:val="20"/>
                <w:szCs w:val="20"/>
                <w:color w:val="auto"/>
              </w:rPr>
            </w:pPr>
            <w:r>
              <w:rPr>
                <w:rFonts w:ascii="Arial" w:cs="Arial" w:eastAsia="Arial" w:hAnsi="Arial"/>
                <w:sz w:val="18"/>
                <w:szCs w:val="18"/>
                <w:color w:val="auto"/>
              </w:rPr>
              <w:t>503</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(a)(2)</w:t>
            </w:r>
          </w:p>
        </w:tc>
        <w:tc>
          <w:tcPr>
            <w:tcW w:w="1440" w:type="dxa"/>
            <w:vAlign w:val="bottom"/>
          </w:tcPr>
          <w:p>
            <w:pPr>
              <w:spacing w:after="0"/>
              <w:rPr>
                <w:sz w:val="20"/>
                <w:szCs w:val="20"/>
                <w:color w:val="auto"/>
              </w:rPr>
            </w:pPr>
            <w:r>
              <w:rPr>
                <w:rFonts w:ascii="Arial" w:cs="Arial" w:eastAsia="Arial" w:hAnsi="Arial"/>
                <w:sz w:val="18"/>
                <w:szCs w:val="18"/>
                <w:color w:val="auto"/>
              </w:rPr>
              <w:t>504</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 318(a)</w:t>
            </w:r>
          </w:p>
        </w:tc>
        <w:tc>
          <w:tcPr>
            <w:tcW w:w="1440" w:type="dxa"/>
            <w:vAlign w:val="bottom"/>
          </w:tcPr>
          <w:p>
            <w:pPr>
              <w:spacing w:after="0"/>
              <w:rPr>
                <w:sz w:val="20"/>
                <w:szCs w:val="20"/>
                <w:color w:val="auto"/>
              </w:rPr>
            </w:pPr>
            <w:r>
              <w:rPr>
                <w:rFonts w:ascii="Arial" w:cs="Arial" w:eastAsia="Arial" w:hAnsi="Arial"/>
                <w:sz w:val="18"/>
                <w:szCs w:val="18"/>
                <w:color w:val="auto"/>
              </w:rPr>
              <w:t>111</w:t>
            </w:r>
          </w:p>
        </w:tc>
      </w:tr>
      <w:tr>
        <w:trPr>
          <w:trHeight w:val="230"/>
        </w:trPr>
        <w:tc>
          <w:tcPr>
            <w:tcW w:w="9580" w:type="dxa"/>
            <w:vAlign w:val="bottom"/>
            <w:gridSpan w:val="2"/>
          </w:tcPr>
          <w:p>
            <w:pPr>
              <w:spacing w:after="0"/>
              <w:rPr>
                <w:sz w:val="20"/>
                <w:szCs w:val="20"/>
                <w:color w:val="auto"/>
              </w:rPr>
            </w:pPr>
            <w:r>
              <w:rPr>
                <w:rFonts w:ascii="Arial" w:cs="Arial" w:eastAsia="Arial" w:hAnsi="Arial"/>
                <w:sz w:val="18"/>
                <w:szCs w:val="18"/>
                <w:color w:val="auto"/>
              </w:rPr>
              <w:t>(c)</w:t>
            </w:r>
          </w:p>
        </w:tc>
        <w:tc>
          <w:tcPr>
            <w:tcW w:w="1440" w:type="dxa"/>
            <w:vAlign w:val="bottom"/>
          </w:tcPr>
          <w:p>
            <w:pPr>
              <w:spacing w:after="0"/>
              <w:rPr>
                <w:sz w:val="20"/>
                <w:szCs w:val="20"/>
                <w:color w:val="auto"/>
              </w:rPr>
            </w:pPr>
            <w:r>
              <w:rPr>
                <w:rFonts w:ascii="Arial" w:cs="Arial" w:eastAsia="Arial" w:hAnsi="Arial"/>
                <w:sz w:val="18"/>
                <w:szCs w:val="18"/>
                <w:color w:val="auto"/>
              </w:rPr>
              <w:t>111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Attention should also be directed to Section 318(c) of the Trust Indenture Act, which provides that the provisions of Sections 310 to and including 317 of the Trust Indenture Act are a part of and govern every qualified indenture, whether or not physically contained therein.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INDENTURE, dated as of __________, 20__, between CENTESSA PHARMACEUTICALS PLC, a company incorporated under the laws of England</w:t>
      </w:r>
    </w:p>
    <w:p>
      <w:pPr>
        <w:spacing w:after="0" w:line="46" w:lineRule="exact"/>
        <w:rPr>
          <w:sz w:val="20"/>
          <w:szCs w:val="20"/>
          <w:color w:val="auto"/>
        </w:rPr>
      </w:pPr>
    </w:p>
    <w:p>
      <w:pPr>
        <w:ind w:right="380"/>
        <w:spacing w:after="0" w:line="265" w:lineRule="auto"/>
        <w:rPr>
          <w:sz w:val="20"/>
          <w:szCs w:val="20"/>
          <w:color w:val="auto"/>
        </w:rPr>
      </w:pPr>
      <w:r>
        <w:rPr>
          <w:rFonts w:ascii="Arial" w:cs="Arial" w:eastAsia="Arial" w:hAnsi="Arial"/>
          <w:sz w:val="17"/>
          <w:szCs w:val="17"/>
          <w:color w:val="auto"/>
        </w:rPr>
        <w:t>and Wales (hereinafter called the “Company”), having its principal office at 3rd Floor, 1 Ashley Rd, Altrincham, Cheshire, United Kingdom, WA14 2DT, and _________________, as Trustee hereunder (hereinafter called the “Trustee”), having a Corporate Trust Office at</w:t>
      </w:r>
    </w:p>
    <w:p>
      <w:pPr>
        <w:spacing w:after="0"/>
        <w:rPr>
          <w:sz w:val="20"/>
          <w:szCs w:val="20"/>
          <w:color w:val="auto"/>
        </w:rPr>
      </w:pPr>
      <w:r>
        <w:rPr>
          <w:rFonts w:ascii="Arial" w:cs="Arial" w:eastAsia="Arial" w:hAnsi="Arial"/>
          <w:sz w:val="18"/>
          <w:szCs w:val="18"/>
          <w:color w:val="auto"/>
        </w:rPr>
        <w:t>__________________________.</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Company deems it necessary to issue from time to time for its lawful purposes senior debt securities (hereinafter called the “Securities”) evidencing its unsecured and senior indebtedness, and has duly authorized the execution and delivery of this Indenture to provide for the issuance from time to time of the Securities, to be issued in one or more Series as provided in this Indenture.</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Indenture is subject to the provisions of the Trust Indenture Act of 1939, as amended (the “Trust Indenture Act” or “TIA”), that are deemed to be incorporated into this Indenture and shall, to the extent applicable, be governed by such provisions.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4" w:right="439" w:bottom="1440" w:gutter="0" w:footer="0" w:header="0"/>
        </w:sectPr>
      </w:pPr>
    </w:p>
    <w:bookmarkStart w:id="84" w:name="page85"/>
    <w:bookmarkEnd w:id="84"/>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things necessary to make this Indenture a valid and legally binding agreement of the Company, in accordance with its terms, have been done.</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color w:val="auto"/>
        </w:rPr>
        <w:t>NOW, THEREFORE, THIS INDENTURE WITNESSETH:</w:t>
      </w:r>
    </w:p>
    <w:p>
      <w:pPr>
        <w:spacing w:after="0" w:line="117"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a Series thereof, as follows:</w:t>
      </w:r>
    </w:p>
    <w:p>
      <w:pPr>
        <w:spacing w:after="0" w:line="386"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ARTICLE ONE—DEFINITIONS AND OTHER PROVISIONS OF GENERAL APPLICATION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r>
        <w:rPr>
          <w:rFonts w:ascii="Arial" w:cs="Arial" w:eastAsia="Arial" w:hAnsi="Arial"/>
          <w:sz w:val="17"/>
          <w:szCs w:val="17"/>
          <w:color w:val="auto"/>
        </w:rPr>
        <w:t>. For all purposes of this Indenture, except as otherwise expressly provided or unless the context otherwise requires:</w:t>
      </w:r>
    </w:p>
    <w:p>
      <w:pPr>
        <w:spacing w:after="0" w:line="129" w:lineRule="exact"/>
        <w:rPr>
          <w:sz w:val="20"/>
          <w:szCs w:val="20"/>
          <w:color w:val="auto"/>
        </w:rPr>
      </w:pPr>
    </w:p>
    <w:p>
      <w:pPr>
        <w:ind w:left="264" w:hanging="264"/>
        <w:spacing w:after="0"/>
        <w:tabs>
          <w:tab w:leader="none" w:pos="26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terms defined in this Article have the meanings assigned to them in this Article, and include the plural as well as the singular;</w:t>
      </w:r>
    </w:p>
    <w:p>
      <w:pPr>
        <w:spacing w:after="0" w:line="117" w:lineRule="exact"/>
        <w:rPr>
          <w:rFonts w:ascii="Arial" w:cs="Arial" w:eastAsia="Arial" w:hAnsi="Arial"/>
          <w:sz w:val="18"/>
          <w:szCs w:val="18"/>
          <w:color w:val="auto"/>
        </w:rPr>
      </w:pPr>
    </w:p>
    <w:p>
      <w:pPr>
        <w:ind w:left="4" w:right="20" w:hanging="4"/>
        <w:spacing w:after="0" w:line="263" w:lineRule="auto"/>
        <w:tabs>
          <w:tab w:leader="none" w:pos="259"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TIA, either directly or by reference therein, have the meanings assigned to them therein, and the terms “cash transactions” and “self-liquidating paper,” as used in TIA Section 311, shall have the meanings assigned to them in the rules of the Commission adopted under the TIA;</w:t>
      </w:r>
    </w:p>
    <w:p>
      <w:pPr>
        <w:spacing w:after="0" w:line="75" w:lineRule="exact"/>
        <w:rPr>
          <w:rFonts w:ascii="Arial" w:cs="Arial" w:eastAsia="Arial" w:hAnsi="Arial"/>
          <w:sz w:val="18"/>
          <w:szCs w:val="18"/>
          <w:color w:val="auto"/>
        </w:rPr>
      </w:pPr>
    </w:p>
    <w:p>
      <w:pPr>
        <w:ind w:left="264" w:hanging="264"/>
        <w:spacing w:after="0"/>
        <w:tabs>
          <w:tab w:leader="none" w:pos="264"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GAAP;</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reference to an “Article” or a “Section” refers to an Article or Section, as the case may be, of this Indenture; and</w:t>
      </w:r>
    </w:p>
    <w:p>
      <w:pPr>
        <w:spacing w:after="0" w:line="23" w:lineRule="exact"/>
        <w:rPr>
          <w:rFonts w:ascii="Arial" w:cs="Arial" w:eastAsia="Arial" w:hAnsi="Arial"/>
          <w:sz w:val="18"/>
          <w:szCs w:val="18"/>
          <w:color w:val="auto"/>
        </w:rPr>
      </w:pPr>
    </w:p>
    <w:p>
      <w:pPr>
        <w:ind w:left="4" w:right="100" w:hanging="4"/>
        <w:spacing w:after="0" w:line="260" w:lineRule="auto"/>
        <w:tabs>
          <w:tab w:leader="none" w:pos="259"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when used with respect to any Holder, has the meaning specified in Section 104.</w:t>
      </w:r>
    </w:p>
    <w:p>
      <w:pPr>
        <w:spacing w:after="0" w:line="225"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ind w:left="4" w:right="4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Authenticating Agent</w:t>
      </w:r>
      <w:r>
        <w:rPr>
          <w:rFonts w:ascii="Arial" w:cs="Arial" w:eastAsia="Arial" w:hAnsi="Arial"/>
          <w:sz w:val="18"/>
          <w:szCs w:val="18"/>
          <w:color w:val="auto"/>
        </w:rPr>
        <w:t>” means any Person authorized by the Trustee pursuant to Section 611 hereof to act on behalf of the Trustee to authenticate Securities of one or more Series.</w:t>
      </w:r>
    </w:p>
    <w:p>
      <w:pPr>
        <w:spacing w:after="0" w:line="170"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Newspaper</w:t>
      </w:r>
      <w:r>
        <w:rPr>
          <w:rFonts w:ascii="Arial" w:cs="Arial" w:eastAsia="Arial" w:hAnsi="Arial"/>
          <w:sz w:val="18"/>
          <w:szCs w:val="18"/>
          <w:color w:val="auto"/>
        </w:rPr>
        <w:t>” means a newspaper, printed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Whenever successive publications are required to be made in Authorized Newspapers, the successive publications may be made in the same or in different Authorized Newspapers in the same city meeting the foregoing requirements and in each case on any Business Day.</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Bearer Security</w:t>
      </w:r>
      <w:r>
        <w:rPr>
          <w:rFonts w:ascii="Arial" w:cs="Arial" w:eastAsia="Arial" w:hAnsi="Arial"/>
          <w:sz w:val="18"/>
          <w:szCs w:val="18"/>
          <w:color w:val="auto"/>
        </w:rPr>
        <w:t>” means any Security established pursuant to Section 201 which is payable to the bearer.</w:t>
      </w:r>
    </w:p>
    <w:p>
      <w:pPr>
        <w:spacing w:after="0" w:line="225" w:lineRule="exact"/>
        <w:rPr>
          <w:sz w:val="20"/>
          <w:szCs w:val="20"/>
          <w:color w:val="auto"/>
        </w:rPr>
      </w:pPr>
    </w:p>
    <w:p>
      <w:pPr>
        <w:jc w:val="both"/>
        <w:ind w:left="4" w:right="3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when used with reference to the Company, means the board of directors of the Company, or any committee of that board duly authorized to act hereunder, or any director or directors and/or officer or officers of the Company, to whom the board or committee shall have duly delegated its authority.</w:t>
      </w:r>
    </w:p>
    <w:p>
      <w:pPr>
        <w:spacing w:after="0" w:line="116"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4"/>
          </w:cols>
          <w:pgMar w:left="436" w:top="274" w:right="539" w:bottom="1440" w:gutter="0" w:footer="0" w:header="0"/>
        </w:sectPr>
      </w:pPr>
    </w:p>
    <w:bookmarkStart w:id="85" w:name="page86"/>
    <w:bookmarkEnd w:id="85"/>
    <w:p>
      <w:pPr>
        <w:ind w:left="4"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Board Resolution</w:t>
      </w:r>
      <w:r>
        <w:rPr>
          <w:rFonts w:ascii="Arial" w:cs="Arial" w:eastAsia="Arial" w:hAnsi="Arial"/>
          <w:sz w:val="16"/>
          <w:szCs w:val="16"/>
          <w:color w:val="auto"/>
        </w:rPr>
        <w:t>” means a copy of (1) a resolution certified by the Secretary or an Assistant Secretary of the Company to have been duly adopted by the Board of Directors or a duly authorized committee of the Board of Directors and to be in full force and effect on the date of such certification, or</w:t>
      </w:r>
    </w:p>
    <w:p>
      <w:pPr>
        <w:ind w:left="4" w:right="140" w:hanging="4"/>
        <w:spacing w:after="0" w:line="302" w:lineRule="auto"/>
        <w:tabs>
          <w:tab w:leader="none" w:pos="259" w:val="left"/>
        </w:tabs>
        <w:numPr>
          <w:ilvl w:val="0"/>
          <w:numId w:val="77"/>
        </w:numPr>
        <w:rPr>
          <w:rFonts w:ascii="Arial" w:cs="Arial" w:eastAsia="Arial" w:hAnsi="Arial"/>
          <w:sz w:val="16"/>
          <w:szCs w:val="16"/>
          <w:color w:val="auto"/>
        </w:rPr>
      </w:pPr>
      <w:r>
        <w:rPr>
          <w:rFonts w:ascii="Arial" w:cs="Arial" w:eastAsia="Arial" w:hAnsi="Arial"/>
          <w:sz w:val="16"/>
          <w:szCs w:val="16"/>
          <w:color w:val="auto"/>
        </w:rPr>
        <w:t>a certificate signed by the director or directors and/or officer or officers to whom the Board of Directors shall have duly delegated its authority, together with a resolution certified by the Secretary or an Assistant Secretary of the Company to have been duly adopted by the Board of Directors and to be in full force and effect on the date of such certification authorizing such delegation, and, in each case, delivered to the Trustee.</w:t>
      </w:r>
    </w:p>
    <w:p>
      <w:pPr>
        <w:spacing w:after="0" w:line="155"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when used with respect to any Place of Payment or any other particular location referred to in this Indenture or in the Securities, means, unless otherwise specified with respect to any Securities issued pursuant to Section 301, any day, other than a Saturday or Sunday, that is neither a legal holiday nor a day on which banking institutions in that Place of Payment or particular location are authorized or required by law, regulation or executive order to close.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means Clearstream Banking Luxembourg, société anonyme, or its successor.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Price</w:t>
      </w:r>
      <w:r>
        <w:rPr>
          <w:rFonts w:ascii="Arial" w:cs="Arial" w:eastAsia="Arial" w:hAnsi="Arial"/>
          <w:sz w:val="17"/>
          <w:szCs w:val="17"/>
          <w:color w:val="auto"/>
        </w:rPr>
        <w:t>” means the closing price of an American Depositary Share of the Company as reported on the Nasdaq Global Select Market.</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the regulations thereunder.</w:t>
      </w:r>
    </w:p>
    <w:p>
      <w:pPr>
        <w:spacing w:after="0" w:line="225" w:lineRule="exact"/>
        <w:rPr>
          <w:sz w:val="20"/>
          <w:szCs w:val="20"/>
          <w:color w:val="auto"/>
        </w:rPr>
      </w:pPr>
    </w:p>
    <w:p>
      <w:pPr>
        <w:ind w:left="4" w:right="1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execution of this instrument such Commission is not existing and performing the duties now assigned to it under the Trust Indenture Act, then the body performing such duties on such date.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Depository</w:t>
      </w:r>
      <w:r>
        <w:rPr>
          <w:rFonts w:ascii="Arial" w:cs="Arial" w:eastAsia="Arial" w:hAnsi="Arial"/>
          <w:sz w:val="18"/>
          <w:szCs w:val="18"/>
          <w:color w:val="auto"/>
        </w:rPr>
        <w:t>” has the meaning specified in Section 304.</w:t>
      </w:r>
    </w:p>
    <w:p>
      <w:pPr>
        <w:spacing w:after="0" w:line="225" w:lineRule="exact"/>
        <w:rPr>
          <w:sz w:val="20"/>
          <w:szCs w:val="20"/>
          <w:color w:val="auto"/>
        </w:rPr>
      </w:pPr>
    </w:p>
    <w:p>
      <w:pPr>
        <w:ind w:left="4" w:right="3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the Person named as the “Company” in the first paragraph of this Indenture until a successor corporation shall have become such pursuant to the applicable provisions of this Indenture, and thereafter “Company” shall mean such successor corporation.</w:t>
      </w:r>
    </w:p>
    <w:p>
      <w:pPr>
        <w:spacing w:after="0" w:line="146" w:lineRule="exact"/>
        <w:rPr>
          <w:sz w:val="20"/>
          <w:szCs w:val="20"/>
          <w:color w:val="auto"/>
        </w:rPr>
      </w:pPr>
    </w:p>
    <w:p>
      <w:pPr>
        <w:ind w:left="4" w:right="3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Request</w:t>
      </w:r>
      <w:r>
        <w:rPr>
          <w:rFonts w:ascii="Arial" w:cs="Arial" w:eastAsia="Arial" w:hAnsi="Arial"/>
          <w:sz w:val="18"/>
          <w:szCs w:val="18"/>
          <w:color w:val="auto"/>
        </w:rPr>
        <w:t>” and “</w:t>
      </w:r>
      <w:r>
        <w:rPr>
          <w:rFonts w:ascii="Arial" w:cs="Arial" w:eastAsia="Arial" w:hAnsi="Arial"/>
          <w:sz w:val="18"/>
          <w:szCs w:val="18"/>
          <w:u w:val="single" w:color="auto"/>
          <w:color w:val="auto"/>
        </w:rPr>
        <w:t>Company Order</w:t>
      </w:r>
      <w:r>
        <w:rPr>
          <w:rFonts w:ascii="Arial" w:cs="Arial" w:eastAsia="Arial" w:hAnsi="Arial"/>
          <w:sz w:val="18"/>
          <w:szCs w:val="18"/>
          <w:color w:val="auto"/>
        </w:rPr>
        <w:t>” mean, respectively, a written request or order signed in the name of the Company by its Chairman of the Board, the Chief Executive Officer, the President, or a Vice President, and by its Treasurer, an Assistant Treasurer, the Secretary or an Assistant Secretary, of the Company, and delivered to the Trustee.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Constituent Person</w:t>
      </w:r>
      <w:r>
        <w:rPr>
          <w:rFonts w:ascii="Arial" w:cs="Arial" w:eastAsia="Arial" w:hAnsi="Arial"/>
          <w:sz w:val="18"/>
          <w:szCs w:val="18"/>
          <w:color w:val="auto"/>
        </w:rPr>
        <w:t>” has the meaning specified in Section 1611.</w:t>
      </w:r>
    </w:p>
    <w:p>
      <w:pPr>
        <w:spacing w:after="0" w:line="225"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Event</w:t>
      </w:r>
      <w:r>
        <w:rPr>
          <w:rFonts w:ascii="Arial" w:cs="Arial" w:eastAsia="Arial" w:hAnsi="Arial"/>
          <w:sz w:val="18"/>
          <w:szCs w:val="18"/>
          <w:color w:val="auto"/>
        </w:rPr>
        <w:t>” means the cessation of use of (i) a Foreign Currency both by the government of the country which issued such currency and for the settlement of transactions by a central bank or other public institutions of or within the international banking community, or (ii) any currency unit (or composite currency) for the purposes for which it was established.</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has the meaning specified in Section 1601.</w:t>
      </w:r>
    </w:p>
    <w:p>
      <w:pPr>
        <w:spacing w:after="0" w:line="225"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means the office of the Trustee at which, at any particular time, its corporate trust business shall be principally administered, which office at the date hereof is located at [____________________].</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includes corporations, associations, companies and business trusts.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coupon</w:t>
      </w:r>
      <w:r>
        <w:rPr>
          <w:rFonts w:ascii="Arial" w:cs="Arial" w:eastAsia="Arial" w:hAnsi="Arial"/>
          <w:sz w:val="18"/>
          <w:szCs w:val="18"/>
          <w:color w:val="auto"/>
        </w:rPr>
        <w:t>” means any interest coupon appertaining to a Bearer Security.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Defeasance</w:t>
      </w:r>
      <w:r>
        <w:rPr>
          <w:rFonts w:ascii="Arial" w:cs="Arial" w:eastAsia="Arial" w:hAnsi="Arial"/>
          <w:sz w:val="18"/>
          <w:szCs w:val="18"/>
          <w:color w:val="auto"/>
        </w:rPr>
        <w:t>” has the meaning specified in Section 1403.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Interest</w:t>
      </w:r>
      <w:r>
        <w:rPr>
          <w:rFonts w:ascii="Arial" w:cs="Arial" w:eastAsia="Arial" w:hAnsi="Arial"/>
          <w:sz w:val="18"/>
          <w:szCs w:val="18"/>
          <w:color w:val="auto"/>
        </w:rPr>
        <w:t>” has the meaning specified in Section 307.</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Defeasance</w:t>
      </w:r>
      <w:r>
        <w:rPr>
          <w:rFonts w:ascii="Arial" w:cs="Arial" w:eastAsia="Arial" w:hAnsi="Arial"/>
          <w:sz w:val="18"/>
          <w:szCs w:val="18"/>
          <w:color w:val="auto"/>
        </w:rPr>
        <w:t>” has the meaning specified in Section 1402.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Record Date</w:t>
      </w:r>
      <w:r>
        <w:rPr>
          <w:rFonts w:ascii="Arial" w:cs="Arial" w:eastAsia="Arial" w:hAnsi="Arial"/>
          <w:sz w:val="18"/>
          <w:szCs w:val="18"/>
          <w:color w:val="auto"/>
        </w:rPr>
        <w:t>” has the meaning specified in Section 1611.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or the sign “</w:t>
      </w:r>
      <w:r>
        <w:rPr>
          <w:rFonts w:ascii="Arial" w:cs="Arial" w:eastAsia="Arial" w:hAnsi="Arial"/>
          <w:sz w:val="18"/>
          <w:szCs w:val="18"/>
          <w:u w:val="single" w:color="auto"/>
          <w:color w:val="auto"/>
        </w:rPr>
        <w:t>$</w:t>
      </w:r>
      <w:r>
        <w:rPr>
          <w:rFonts w:ascii="Arial" w:cs="Arial" w:eastAsia="Arial" w:hAnsi="Arial"/>
          <w:sz w:val="18"/>
          <w:szCs w:val="18"/>
          <w:color w:val="auto"/>
        </w:rPr>
        <w:t>” means a dollar or other equivalent unit in such coin or currency of the United States of America as at the time of payment is legal tender for the payment of public and private debts.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means The Depository Trust Company and any successor to DTC in its capacity as depository for any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Euroclear</w:t>
      </w:r>
      <w:r>
        <w:rPr>
          <w:rFonts w:ascii="Arial" w:cs="Arial" w:eastAsia="Arial" w:hAnsi="Arial"/>
          <w:sz w:val="18"/>
          <w:szCs w:val="18"/>
          <w:color w:val="auto"/>
        </w:rPr>
        <w:t>” means Morgan Guaranty Trust Company of New York, Brussels office, or its successor, as operator of the Euroclear System.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Article Five.</w:t>
      </w:r>
    </w:p>
    <w:p>
      <w:pPr>
        <w:spacing w:after="0" w:line="225"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means the Securities Exchange Act of 1934, as amended, as in force at the date as of which this Indenture was executed;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Exchange Act is amended after such date, “Exchange Act” means to the extent required by any such amendment, the Exchange Act as so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has the meaning specified in Section 304.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w:t>
      </w:r>
      <w:r>
        <w:rPr>
          <w:rFonts w:ascii="Arial" w:cs="Arial" w:eastAsia="Arial" w:hAnsi="Arial"/>
          <w:sz w:val="18"/>
          <w:szCs w:val="18"/>
          <w:color w:val="auto"/>
        </w:rPr>
        <w:t>” means any currency, currency unit or composite currency, issued by the government of one or more countries other than the United States of America or by any recognized confederation or association of such governments.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except as otherwise provided herein, generally accepted accounting principles, as in effect from time to time, as used in the United States applied on a consistent basis.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Security</w:t>
      </w:r>
      <w:r>
        <w:rPr>
          <w:rFonts w:ascii="Arial" w:cs="Arial" w:eastAsia="Arial" w:hAnsi="Arial"/>
          <w:sz w:val="18"/>
          <w:szCs w:val="18"/>
          <w:color w:val="auto"/>
        </w:rPr>
        <w:t>” means a Security evidencing all or a part of a series of Securities issued to and registered in the name of the depository for such series, or its nominee, in accordance with Section 305, and bearing the legend prescribed in Section 203.</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 Obligations</w:t>
      </w:r>
      <w:r>
        <w:rPr>
          <w:rFonts w:ascii="Arial" w:cs="Arial" w:eastAsia="Arial" w:hAnsi="Arial"/>
          <w:sz w:val="17"/>
          <w:szCs w:val="17"/>
          <w:color w:val="auto"/>
        </w:rPr>
        <w:t xml:space="preserve">” means (i) securities which are (A) direct obligations of the United States of America or the government which issued the Foreign Currency in which the Securities of a particular series are payable, for the payment of which its full faith and credit is pledged or (B) obligations of a Person controlled or supervised by and acting as an agency or instrumentality of the United States of America or such government which issued the Foreign Currency in which the Securities of such series are payable, the payment of which is unconditionally guaranteed as a full faith and credit obligation by the United States of America or such other government, which, in either case, are not callable or redeemable at the option of the issuer thereof, and (iii)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8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87" w:name="page88"/>
    <w:bookmarkEnd w:id="87"/>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Indenture</w:t>
      </w:r>
      <w:r>
        <w:rPr>
          <w:rFonts w:ascii="Arial" w:cs="Arial" w:eastAsia="Arial" w:hAnsi="Arial"/>
          <w:sz w:val="16"/>
          <w:szCs w:val="16"/>
          <w:color w:val="auto"/>
        </w:rPr>
        <w:t xml:space="preserve">” means this instrument as originally executed or as it may be supplemented or amended from time to time by one or more indentures supplemental hereto entered into pursuant to the applicable provisions hereof, and shall include the terms of particular series of Securities established as contemplated by Section 301;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any time more than one Person is acting as Trustee under this instrument, “Indenture” shall mean, with respect to any one or more series of Securities for which such Person is Trustee, this instrument as originally executed or as it may be supplemented or amended from time to time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which relate solely to other series of Securities for which such Person is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Indexed Security</w:t>
      </w:r>
      <w:r>
        <w:rPr>
          <w:rFonts w:ascii="Arial" w:cs="Arial" w:eastAsia="Arial" w:hAnsi="Arial"/>
          <w:sz w:val="18"/>
          <w:szCs w:val="18"/>
          <w:color w:val="auto"/>
        </w:rPr>
        <w:t>” means a Security the terms of which provide that the principal amount thereof payable at Stated Maturity may be more or less than the principal face amount thereof at original issuance.</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when used with respect to an Original Issue Discount Security which by its terms bears interest only after Maturity, shall mean interest payable after Maturity.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when used with respect to any Security, means the Stated Maturity of an installment of interest on such Security.</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Make-Whole Amount</w:t>
      </w:r>
      <w:r>
        <w:rPr>
          <w:rFonts w:ascii="Arial" w:cs="Arial" w:eastAsia="Arial" w:hAnsi="Arial"/>
          <w:sz w:val="17"/>
          <w:szCs w:val="17"/>
          <w:color w:val="auto"/>
        </w:rPr>
        <w:t>,” when used with respect to any Security, means the amount, if any, in addition to principal (and accrued interest thereon, if any) which is required by a Security, under the terms and conditions specified therein or as otherwise specified as contemplated by Section 301, to be paid by the Company to the Holder thereof in connection with any optional redemption or accelerated payment of such Security.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sinking fund payment</w:t>
      </w:r>
      <w:r>
        <w:rPr>
          <w:rFonts w:ascii="Arial" w:cs="Arial" w:eastAsia="Arial" w:hAnsi="Arial"/>
          <w:sz w:val="18"/>
          <w:szCs w:val="18"/>
          <w:color w:val="auto"/>
        </w:rPr>
        <w:t>” has the meaning specified in Section 1201.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Value of the Distribution</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w:t>
      </w:r>
      <w:r>
        <w:rPr>
          <w:rFonts w:ascii="Arial" w:cs="Arial" w:eastAsia="Arial" w:hAnsi="Arial"/>
          <w:sz w:val="18"/>
          <w:szCs w:val="18"/>
          <w:color w:val="auto"/>
        </w:rPr>
        <w:t>,” when used with respect to any Security, means the date on which the principal (or, if the context so requires, in the case of an Original Issue Discount Security, or lesser amount or, in the case of an Indexed Security, an amount determined in accordance with the specified terms of that Security) of such Security or an installment of principal becomes due and payable as therein or herein provided, whether at the Stated Maturity or by declaration of acceleration, notice of redemption, notice of option to elect repayment or otherwise.</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signed by the Chairman of the Board of Directors, the Chief Executive Officer, the President, or a Vice President (whether or not designated by a number or word or words added before or after the title “Vice President”), and by the Treasurer, an Assistant Treasurer, the Secretary or an Assistant Secretary of the Company, and delivered to the Trustee.</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 written opinion of counsel, who may be counsel for the Company or who may be an employee of or other counsel for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sinking fund payment</w:t>
      </w:r>
      <w:r>
        <w:rPr>
          <w:rFonts w:ascii="Arial" w:cs="Arial" w:eastAsia="Arial" w:hAnsi="Arial"/>
          <w:sz w:val="18"/>
          <w:szCs w:val="18"/>
          <w:color w:val="auto"/>
        </w:rPr>
        <w:t>” has the meaning specified in Section 1201.</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Shares</w:t>
      </w:r>
      <w:r>
        <w:rPr>
          <w:rFonts w:ascii="Arial" w:cs="Arial" w:eastAsia="Arial" w:hAnsi="Arial"/>
          <w:sz w:val="18"/>
          <w:szCs w:val="18"/>
          <w:color w:val="auto"/>
        </w:rPr>
        <w:t>” means, with respect to any Person, all ordinary shares, including, as applicable, ordinary shares represented by American Depositary Shares, issued by such Person other than Preference Shares.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Original Issue Discount Security</w:t>
      </w:r>
      <w:r>
        <w:rPr>
          <w:rFonts w:ascii="Arial" w:cs="Arial" w:eastAsia="Arial" w:hAnsi="Arial"/>
          <w:sz w:val="16"/>
          <w:szCs w:val="16"/>
          <w:color w:val="auto"/>
        </w:rPr>
        <w:t>” means any Security which provides for an amount (excluding any amounts attributable to accrued but unpaid interest thereon) less than the principal amount thereof to be due and payable upon a declaration of acceleration of the Maturity thereof pursuant to Section 502.</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88" w:name="page89"/>
    <w:bookmarkEnd w:id="88"/>
    <w:p>
      <w:pPr>
        <w:ind w:left="4"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Outstanding</w:t>
      </w:r>
      <w:r>
        <w:rPr>
          <w:rFonts w:ascii="Arial" w:cs="Arial" w:eastAsia="Arial" w:hAnsi="Arial"/>
          <w:sz w:val="18"/>
          <w:szCs w:val="18"/>
          <w:color w:val="auto"/>
        </w:rPr>
        <w:t xml:space="preserve">,” when used with respect to Securities, means, as of the date of determination, all Securities theretofore authenticated and delivered under this Indenture, </w:t>
      </w:r>
      <w:r>
        <w:rPr>
          <w:rFonts w:ascii="Arial" w:cs="Arial" w:eastAsia="Arial" w:hAnsi="Arial"/>
          <w:sz w:val="18"/>
          <w:szCs w:val="18"/>
          <w:u w:val="single" w:color="auto"/>
          <w:color w:val="auto"/>
        </w:rPr>
        <w:t>except</w:t>
      </w:r>
      <w:r>
        <w:rPr>
          <w:rFonts w:ascii="Arial" w:cs="Arial" w:eastAsia="Arial" w:hAnsi="Arial"/>
          <w:sz w:val="18"/>
          <w:szCs w:val="18"/>
          <w:color w:val="auto"/>
        </w:rPr>
        <w:t>:</w:t>
      </w:r>
    </w:p>
    <w:p>
      <w:pPr>
        <w:spacing w:after="0" w:line="62" w:lineRule="exact"/>
        <w:rPr>
          <w:sz w:val="20"/>
          <w:szCs w:val="20"/>
          <w:color w:val="auto"/>
        </w:rPr>
      </w:pPr>
    </w:p>
    <w:p>
      <w:pPr>
        <w:ind w:left="224" w:hanging="224"/>
        <w:spacing w:after="0"/>
        <w:tabs>
          <w:tab w:leader="none" w:pos="2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225" w:lineRule="exact"/>
        <w:rPr>
          <w:rFonts w:ascii="Arial" w:cs="Arial" w:eastAsia="Arial" w:hAnsi="Arial"/>
          <w:sz w:val="18"/>
          <w:szCs w:val="18"/>
          <w:color w:val="auto"/>
        </w:rPr>
      </w:pPr>
    </w:p>
    <w:p>
      <w:pPr>
        <w:ind w:left="4" w:right="140" w:hanging="4"/>
        <w:spacing w:after="0" w:line="257" w:lineRule="auto"/>
        <w:tabs>
          <w:tab w:leader="none" w:pos="269"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Securities, or portions thereof, for whose payment or redemption (including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Securities are to be redeemed, notice of such redemption has been duly given pursuant to this Indenture or provision therefor satisfactory to the Trustee has been made;</w:t>
      </w:r>
    </w:p>
    <w:p>
      <w:pPr>
        <w:spacing w:after="0" w:line="187" w:lineRule="exact"/>
        <w:rPr>
          <w:rFonts w:ascii="Arial" w:cs="Arial" w:eastAsia="Arial" w:hAnsi="Arial"/>
          <w:sz w:val="18"/>
          <w:szCs w:val="18"/>
          <w:color w:val="auto"/>
        </w:rPr>
      </w:pPr>
    </w:p>
    <w:p>
      <w:pPr>
        <w:ind w:left="4" w:right="160" w:hanging="4"/>
        <w:spacing w:after="0" w:line="277" w:lineRule="auto"/>
        <w:tabs>
          <w:tab w:leader="none" w:pos="319"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Securities, except to the extent provided in Sections 1402 and 1403, with respect to which the Company has effected Defeasance and/or Covenant Defeasance as provided in Article Fourteen; and</w:t>
      </w:r>
    </w:p>
    <w:p>
      <w:pPr>
        <w:spacing w:after="0" w:line="170" w:lineRule="exact"/>
        <w:rPr>
          <w:rFonts w:ascii="Arial" w:cs="Arial" w:eastAsia="Arial" w:hAnsi="Arial"/>
          <w:sz w:val="18"/>
          <w:szCs w:val="18"/>
          <w:color w:val="auto"/>
        </w:rPr>
      </w:pPr>
    </w:p>
    <w:p>
      <w:pPr>
        <w:ind w:left="4" w:right="120" w:hanging="4"/>
        <w:spacing w:after="0" w:line="286" w:lineRule="auto"/>
        <w:tabs>
          <w:tab w:leader="none" w:pos="309" w:val="left"/>
        </w:tabs>
        <w:numPr>
          <w:ilvl w:val="0"/>
          <w:numId w:val="78"/>
        </w:numPr>
        <w:rPr>
          <w:rFonts w:ascii="Arial" w:cs="Arial" w:eastAsia="Arial" w:hAnsi="Arial"/>
          <w:sz w:val="17"/>
          <w:szCs w:val="17"/>
          <w:color w:val="auto"/>
        </w:rPr>
      </w:pPr>
      <w:r>
        <w:rPr>
          <w:rFonts w:ascii="Arial" w:cs="Arial" w:eastAsia="Arial" w:hAnsi="Arial"/>
          <w:sz w:val="17"/>
          <w:szCs w:val="17"/>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65" w:lineRule="exact"/>
        <w:rPr>
          <w:sz w:val="20"/>
          <w:szCs w:val="20"/>
          <w:color w:val="auto"/>
        </w:rPr>
      </w:pPr>
    </w:p>
    <w:p>
      <w:pPr>
        <w:ind w:left="4"/>
        <w:spacing w:after="0" w:line="267"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pursuant to Section 301 as of the date such Security is originally issued by the Company,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which a Responsible Officer of the Trustee actually knows to be so owned shall be so disregarded. Securities owned as provided in clause (iv) above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In case of a dispute as to such right, the advice of counsel shall be full protection in respect of any decision made by the Trustee in accordance with such advice.</w:t>
      </w:r>
    </w:p>
    <w:p>
      <w:pPr>
        <w:spacing w:after="0" w:line="188"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means any Person authorized by the Company to pay the principal of (and premium or Make-Whole Amount, if any) or interest on any Securities or coupons on behalf of the Company.</w:t>
      </w:r>
    </w:p>
    <w:p>
      <w:pPr>
        <w:spacing w:after="0" w:line="170"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limited liability company, partnership, joint venture, association, joint-stock company, trust, unincorporated organization or government or any agency or political subdivision thereof, or any other entity or organization.</w:t>
      </w:r>
    </w:p>
    <w:p>
      <w:pPr>
        <w:spacing w:after="0" w:line="170" w:lineRule="exact"/>
        <w:rPr>
          <w:sz w:val="20"/>
          <w:szCs w:val="20"/>
          <w:color w:val="auto"/>
        </w:rPr>
      </w:pPr>
    </w:p>
    <w:p>
      <w:pPr>
        <w:ind w:left="4" w:right="1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Place of Payment</w:t>
      </w:r>
      <w:r>
        <w:rPr>
          <w:rFonts w:ascii="Arial" w:cs="Arial" w:eastAsia="Arial" w:hAnsi="Arial"/>
          <w:sz w:val="17"/>
          <w:szCs w:val="17"/>
          <w:color w:val="auto"/>
        </w:rPr>
        <w:t>,” when used with respect to the Securities of or within any series, means the place or places where the principal of (and premium or Make-Whole Amount, if any) and interest on such Securities are payable as specified as contemplated by Sections 301 and 1002.</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89" w:name="page90"/>
    <w:bookmarkEnd w:id="89"/>
    <w:p>
      <w:pPr>
        <w:ind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Predecessor Security</w:t>
      </w:r>
      <w:r>
        <w:rPr>
          <w:rFonts w:ascii="Arial" w:cs="Arial" w:eastAsia="Arial" w:hAnsi="Arial"/>
          <w:sz w:val="16"/>
          <w:szCs w:val="16"/>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w:t>
      </w:r>
    </w:p>
    <w:p>
      <w:pPr>
        <w:spacing w:after="0" w:line="15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Preference Shares</w:t>
      </w:r>
      <w:r>
        <w:rPr>
          <w:rFonts w:ascii="Arial" w:cs="Arial" w:eastAsia="Arial" w:hAnsi="Arial"/>
          <w:sz w:val="18"/>
          <w:szCs w:val="18"/>
          <w:color w:val="auto"/>
        </w:rPr>
        <w:t>” means, with respect to any Person, all share capital issued by such Person that is entitled to a preference or priority over any other share capital issued by such Person with respect to any distribution of such Person’s assets, whether by dividend or upon any voluntary or involuntary liquidation, dissolution or winding up.</w:t>
      </w:r>
    </w:p>
    <w:p>
      <w:pPr>
        <w:spacing w:after="0" w:line="18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when used with respect to any Security to be redeemed, in whole or in part, means the date fixed for such redemption by or pursuant to this Indenture.</w:t>
      </w:r>
    </w:p>
    <w:p>
      <w:pPr>
        <w:spacing w:after="0" w:line="170" w:lineRule="exact"/>
        <w:rPr>
          <w:sz w:val="20"/>
          <w:szCs w:val="20"/>
          <w:color w:val="auto"/>
        </w:rPr>
      </w:pPr>
    </w:p>
    <w:p>
      <w:pPr>
        <w:ind w:right="88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 Price</w:t>
      </w:r>
      <w:r>
        <w:rPr>
          <w:rFonts w:ascii="Arial" w:cs="Arial" w:eastAsia="Arial" w:hAnsi="Arial"/>
          <w:sz w:val="16"/>
          <w:szCs w:val="16"/>
          <w:color w:val="auto"/>
        </w:rPr>
        <w:t>,” when used with respect to any Security to be redeemed, means the price specified in the related Officers’ Certificate or supplemental indenture contemplated by and pursuant to Section 301, at which it is to be redeemed pursuant to this Indenture.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Date</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Security</w:t>
      </w:r>
      <w:r>
        <w:rPr>
          <w:rFonts w:ascii="Arial" w:cs="Arial" w:eastAsia="Arial" w:hAnsi="Arial"/>
          <w:sz w:val="18"/>
          <w:szCs w:val="18"/>
          <w:color w:val="auto"/>
        </w:rPr>
        <w:t>” shall mean any Security which is registered in the Security Register.</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Record Date</w:t>
      </w:r>
      <w:r>
        <w:rPr>
          <w:rFonts w:ascii="Arial" w:cs="Arial" w:eastAsia="Arial" w:hAnsi="Arial"/>
          <w:sz w:val="18"/>
          <w:szCs w:val="18"/>
          <w:color w:val="auto"/>
        </w:rPr>
        <w:t>” for the interest payable on any Interest Payment Date on the Registered Securities of or within any series means the date specified for that purpose as contemplated by Section 301, whether or not a Business Day.</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Date</w:t>
      </w:r>
      <w:r>
        <w:rPr>
          <w:rFonts w:ascii="Arial" w:cs="Arial" w:eastAsia="Arial" w:hAnsi="Arial"/>
          <w:sz w:val="18"/>
          <w:szCs w:val="18"/>
          <w:color w:val="auto"/>
        </w:rPr>
        <w:t>” means, when used with respect to any Security to be repaid at the option of the Holder, the date fixed for such repayment by or pursuant to this Indenture.</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Price</w:t>
      </w:r>
      <w:r>
        <w:rPr>
          <w:rFonts w:ascii="Arial" w:cs="Arial" w:eastAsia="Arial" w:hAnsi="Arial"/>
          <w:sz w:val="18"/>
          <w:szCs w:val="18"/>
          <w:color w:val="auto"/>
        </w:rPr>
        <w:t>” means, when used with respect to any Security to be repaid at the option of the Holder, the price at which it is to be repaid by or pursuant to this Indenture.</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when used with respect to the Trustee, means any Vice President (whether or not designated by a number or a word or words added before or after the title “Vice President”), Assistant Vice President, Trust Officer or Assistant Trust Officer working in its Corporate Trust Department, or any other officer of the Trustee customarily performing functions similar to those performed by any of the above designated officers and working in its Corporate Trust Department, and also means, with respect to a particular corporate trust matter, any other officer to whom such matter is referred because of such officer’s knowledge and familiarity with the particular subject and who shall have direct responsibility for the administration of this Indenture.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 Record Date</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and “</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has the meaning stated in the first recital of this Indenture and, more particularly, means any Security or Securities authenticated and delivered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Register</w:t>
      </w:r>
      <w:r>
        <w:rPr>
          <w:rFonts w:ascii="Arial" w:cs="Arial" w:eastAsia="Arial" w:hAnsi="Arial"/>
          <w:sz w:val="18"/>
          <w:szCs w:val="18"/>
          <w:color w:val="auto"/>
        </w:rPr>
        <w:t>” and “</w:t>
      </w:r>
      <w:r>
        <w:rPr>
          <w:rFonts w:ascii="Arial" w:cs="Arial" w:eastAsia="Arial" w:hAnsi="Arial"/>
          <w:sz w:val="18"/>
          <w:szCs w:val="18"/>
          <w:u w:val="single" w:color="auto"/>
          <w:color w:val="auto"/>
        </w:rPr>
        <w:t>Security Registrar</w:t>
      </w:r>
      <w:r>
        <w:rPr>
          <w:rFonts w:ascii="Arial" w:cs="Arial" w:eastAsia="Arial" w:hAnsi="Arial"/>
          <w:sz w:val="18"/>
          <w:szCs w:val="18"/>
          <w:color w:val="auto"/>
        </w:rPr>
        <w:t>” have the respective meanings specified in Section 305.</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Series</w:t>
      </w:r>
      <w:r>
        <w:rPr>
          <w:rFonts w:ascii="Arial" w:cs="Arial" w:eastAsia="Arial" w:hAnsi="Arial"/>
          <w:sz w:val="17"/>
          <w:szCs w:val="17"/>
          <w:color w:val="auto"/>
        </w:rPr>
        <w:t>” of Securities means all securities denoted as part of the same series authorized by or pursuant to a particular Board Resolution.</w:t>
      </w:r>
    </w:p>
    <w:p>
      <w:pPr>
        <w:spacing w:after="0" w:line="16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90" w:name="page91"/>
    <w:bookmarkEnd w:id="90"/>
    <w:p>
      <w:pPr>
        <w:ind w:right="5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Share Capital</w:t>
      </w:r>
      <w:r>
        <w:rPr>
          <w:rFonts w:ascii="Arial" w:cs="Arial" w:eastAsia="Arial" w:hAnsi="Arial"/>
          <w:sz w:val="18"/>
          <w:szCs w:val="18"/>
          <w:color w:val="auto"/>
        </w:rPr>
        <w:t>” means, with respect to any Person, any shares (including preferred shares), interests, participations or other ownership interests (however designated) of such Person and any rights (other than debt securities convertible into or exchangeable for corporate shares), warrants or options to purchase any thereof.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Term Rights</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any Subsidiary which is a “significant subsidiary” (as defined in Article I, Rule 1-02 of Regulation S-X, promulgated under the Securities Act of 1933, as amended) of the Company.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Record Date</w:t>
      </w:r>
      <w:r>
        <w:rPr>
          <w:rFonts w:ascii="Arial" w:cs="Arial" w:eastAsia="Arial" w:hAnsi="Arial"/>
          <w:sz w:val="18"/>
          <w:szCs w:val="18"/>
          <w:color w:val="auto"/>
        </w:rPr>
        <w:t>” for the payment of any Defaulted Interest on the Registered Securities of or within any series means a date fixed by the Company pursuant to Section 307.</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w:t>
      </w:r>
      <w:r>
        <w:rPr>
          <w:rFonts w:ascii="Arial" w:cs="Arial" w:eastAsia="Arial" w:hAnsi="Arial"/>
          <w:sz w:val="18"/>
          <w:szCs w:val="18"/>
          <w:color w:val="auto"/>
        </w:rPr>
        <w:t>,”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limited liability company, partnership or other entity of which a majority of (i) the voting power of the voting equity securities or (ii) the outstanding equity interests are owned, directly or indirectly, by such Person. For the purposes of this definition, “voting equity securities” means equity securities having voting power for the election of directors, whether at all times or only so long as no senior class of security has such voting power by reason of any contingency.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day on which the Nasdaq Global Select Market is open for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 Events</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or “</w:t>
      </w:r>
      <w:r>
        <w:rPr>
          <w:rFonts w:ascii="Arial" w:cs="Arial" w:eastAsia="Arial" w:hAnsi="Arial"/>
          <w:sz w:val="18"/>
          <w:szCs w:val="18"/>
          <w:u w:val="single" w:color="auto"/>
          <w:color w:val="auto"/>
        </w:rPr>
        <w:t>TIA</w:t>
      </w:r>
      <w:r>
        <w:rPr>
          <w:rFonts w:ascii="Arial" w:cs="Arial" w:eastAsia="Arial" w:hAnsi="Arial"/>
          <w:sz w:val="18"/>
          <w:szCs w:val="18"/>
          <w:color w:val="auto"/>
        </w:rPr>
        <w:t>” means the Trust Indenture Act of 1939, as amended and as in force at the date as of which this Indenture was executed, except as provided in Section 905.</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there is more than one such Person, “Trustee” as used with respect to the Securities of any series shall mean only the Trustee with respect to Securities of that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Unadjusted Distribution</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 Person</w:t>
      </w:r>
      <w:r>
        <w:rPr>
          <w:rFonts w:ascii="Arial" w:cs="Arial" w:eastAsia="Arial" w:hAnsi="Arial"/>
          <w:sz w:val="18"/>
          <w:szCs w:val="18"/>
          <w:color w:val="auto"/>
        </w:rPr>
        <w:t>” means, unless otherwise specified with respect to any Securities pursuant to Section 301, an individual who is a citizen or resident of the United States, a corporation, partnership or other entity created or organized in or under the laws of the United States or an estate or trust the income of which is subject to United States Federal income taxation regardless of its source.</w:t>
      </w:r>
    </w:p>
    <w:p>
      <w:pPr>
        <w:spacing w:after="0" w:line="18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Yield to Maturity</w:t>
      </w:r>
      <w:r>
        <w:rPr>
          <w:rFonts w:ascii="Arial" w:cs="Arial" w:eastAsia="Arial" w:hAnsi="Arial"/>
          <w:sz w:val="16"/>
          <w:szCs w:val="16"/>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Compliance Certificates and Opinions</w:t>
      </w:r>
      <w:r>
        <w:rPr>
          <w:rFonts w:ascii="Arial" w:cs="Arial" w:eastAsia="Arial" w:hAnsi="Arial"/>
          <w:sz w:val="18"/>
          <w:szCs w:val="18"/>
          <w:color w:val="auto"/>
        </w:rPr>
        <w:t>. 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91" w:name="page92"/>
    <w:bookmarkEnd w:id="91"/>
    <w:p>
      <w:pPr>
        <w:ind w:left="4"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Every certificate or opinion with respect to compliance with a condition or covenant provided for in this Indenture (including certificates delivered pursuant to Section 1005) shall include:</w:t>
      </w:r>
    </w:p>
    <w:p>
      <w:pPr>
        <w:spacing w:after="0" w:line="62" w:lineRule="exact"/>
        <w:rPr>
          <w:sz w:val="20"/>
          <w:szCs w:val="20"/>
          <w:color w:val="auto"/>
        </w:rPr>
      </w:pPr>
    </w:p>
    <w:p>
      <w:pPr>
        <w:ind w:left="264" w:hanging="264"/>
        <w:spacing w:after="0"/>
        <w:tabs>
          <w:tab w:leader="none" w:pos="264" w:val="left"/>
        </w:tabs>
        <w:numPr>
          <w:ilvl w:val="0"/>
          <w:numId w:val="79"/>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condition or covenant and the definitions herein relating thereto;</w:t>
      </w:r>
    </w:p>
    <w:p>
      <w:pPr>
        <w:spacing w:after="0" w:line="248" w:lineRule="exact"/>
        <w:rPr>
          <w:rFonts w:ascii="Arial" w:cs="Arial" w:eastAsia="Arial" w:hAnsi="Arial"/>
          <w:sz w:val="16"/>
          <w:szCs w:val="16"/>
          <w:color w:val="auto"/>
        </w:rPr>
      </w:pPr>
    </w:p>
    <w:p>
      <w:pPr>
        <w:ind w:left="4" w:hanging="4"/>
        <w:spacing w:after="0" w:line="277" w:lineRule="auto"/>
        <w:tabs>
          <w:tab w:leader="none" w:pos="259"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4" w:right="240" w:hanging="4"/>
        <w:spacing w:after="0" w:line="277" w:lineRule="auto"/>
        <w:tabs>
          <w:tab w:leader="none" w:pos="259"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ind w:left="4" w:right="60"/>
        <w:spacing w:after="0" w:line="301"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Form of Documents Delivered to Trustee</w:t>
      </w:r>
      <w:r>
        <w:rPr>
          <w:rFonts w:ascii="Arial" w:cs="Arial" w:eastAsia="Arial" w:hAnsi="Arial"/>
          <w:sz w:val="16"/>
          <w:szCs w:val="16"/>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57" w:lineRule="exact"/>
        <w:rPr>
          <w:sz w:val="20"/>
          <w:szCs w:val="20"/>
          <w:color w:val="auto"/>
        </w:rPr>
      </w:pPr>
    </w:p>
    <w:p>
      <w:pPr>
        <w:ind w:left="4" w:right="120"/>
        <w:spacing w:after="0" w:line="293" w:lineRule="auto"/>
        <w:rPr>
          <w:sz w:val="20"/>
          <w:szCs w:val="20"/>
          <w:color w:val="auto"/>
        </w:rPr>
      </w:pPr>
      <w:r>
        <w:rPr>
          <w:rFonts w:ascii="Arial" w:cs="Arial" w:eastAsia="Arial" w:hAnsi="Arial"/>
          <w:sz w:val="16"/>
          <w:szCs w:val="16"/>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with respect to such matters are erroneous.</w:t>
      </w:r>
    </w:p>
    <w:p>
      <w:pPr>
        <w:spacing w:after="0" w:line="164" w:lineRule="exact"/>
        <w:rPr>
          <w:sz w:val="20"/>
          <w:szCs w:val="20"/>
          <w:color w:val="auto"/>
        </w:rPr>
      </w:pPr>
    </w:p>
    <w:p>
      <w:pPr>
        <w:ind w:left="4" w:right="800"/>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Acts of Holders</w:t>
      </w:r>
      <w:r>
        <w:rPr>
          <w:rFonts w:ascii="Arial" w:cs="Arial" w:eastAsia="Arial" w:hAnsi="Arial"/>
          <w:sz w:val="18"/>
          <w:szCs w:val="18"/>
          <w:color w:val="auto"/>
        </w:rPr>
        <w:t>.</w:t>
      </w:r>
    </w:p>
    <w:p>
      <w:pPr>
        <w:spacing w:after="0" w:line="117" w:lineRule="exact"/>
        <w:rPr>
          <w:sz w:val="20"/>
          <w:szCs w:val="20"/>
          <w:color w:val="auto"/>
        </w:rPr>
      </w:pPr>
    </w:p>
    <w:p>
      <w:pPr>
        <w:ind w:left="4" w:right="100" w:hanging="4"/>
        <w:spacing w:after="0" w:line="286" w:lineRule="auto"/>
        <w:tabs>
          <w:tab w:leader="none" w:pos="249"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If Securities of a series are issuable as Bearer Securities,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10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92" w:name="page93"/>
    <w:bookmarkEnd w:id="92"/>
    <w:p>
      <w:pPr>
        <w:ind w:left="4" w:right="120" w:hanging="4"/>
        <w:spacing w:after="0" w:line="296" w:lineRule="auto"/>
        <w:tabs>
          <w:tab w:leader="none" w:pos="259" w:val="left"/>
        </w:tabs>
        <w:numPr>
          <w:ilvl w:val="0"/>
          <w:numId w:val="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reasonable manner which the Trustee deems sufficient.</w:t>
      </w:r>
    </w:p>
    <w:p>
      <w:pPr>
        <w:spacing w:after="0" w:line="161" w:lineRule="exact"/>
        <w:rPr>
          <w:rFonts w:ascii="Arial" w:cs="Arial" w:eastAsia="Arial" w:hAnsi="Arial"/>
          <w:sz w:val="16"/>
          <w:szCs w:val="16"/>
          <w:color w:val="auto"/>
        </w:rPr>
      </w:pPr>
    </w:p>
    <w:p>
      <w:pPr>
        <w:ind w:left="4" w:right="260" w:hanging="4"/>
        <w:spacing w:after="0" w:line="277" w:lineRule="auto"/>
        <w:tabs>
          <w:tab w:leader="none" w:pos="249"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ownership of Registered Securities shall be proved by the Security Register. As to any matter relating to beneficial ownership interests in any Global Security, the appropriate depository’s records shall be dispositive for purposes of this Indenture.</w:t>
      </w:r>
    </w:p>
    <w:p>
      <w:pPr>
        <w:spacing w:after="0" w:line="170" w:lineRule="exact"/>
        <w:rPr>
          <w:rFonts w:ascii="Arial" w:cs="Arial" w:eastAsia="Arial" w:hAnsi="Arial"/>
          <w:sz w:val="18"/>
          <w:szCs w:val="18"/>
          <w:color w:val="auto"/>
        </w:rPr>
      </w:pPr>
    </w:p>
    <w:p>
      <w:pPr>
        <w:ind w:left="4" w:right="40" w:hanging="4"/>
        <w:spacing w:after="0" w:line="290" w:lineRule="auto"/>
        <w:tabs>
          <w:tab w:leader="none" w:pos="259"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ownership of Bearer Securities may be proved by the production of such Bearer Securities or by a certificate executed, as depository, by any trust company, bank, banker or other depository, wherever situated, if such certificate shall be deemed by the Trustee to be satisfactory, showing that at the date therein mentioned such Person had on deposit with such depository,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ownership of Bearer Securities may also be proved in any other manner which the Trustee deems sufficient.</w:t>
      </w:r>
    </w:p>
    <w:p>
      <w:pPr>
        <w:spacing w:after="0" w:line="165" w:lineRule="exact"/>
        <w:rPr>
          <w:rFonts w:ascii="Arial" w:cs="Arial" w:eastAsia="Arial" w:hAnsi="Arial"/>
          <w:sz w:val="16"/>
          <w:szCs w:val="16"/>
          <w:color w:val="auto"/>
        </w:rPr>
      </w:pPr>
    </w:p>
    <w:p>
      <w:pPr>
        <w:ind w:left="4" w:right="20" w:hanging="4"/>
        <w:spacing w:after="0" w:line="287" w:lineRule="auto"/>
        <w:tabs>
          <w:tab w:leader="none" w:pos="249"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calendar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71" w:lineRule="exact"/>
        <w:rPr>
          <w:rFonts w:ascii="Arial" w:cs="Arial" w:eastAsia="Arial" w:hAnsi="Arial"/>
          <w:sz w:val="16"/>
          <w:szCs w:val="16"/>
          <w:color w:val="auto"/>
        </w:rPr>
      </w:pPr>
    </w:p>
    <w:p>
      <w:pPr>
        <w:jc w:val="both"/>
        <w:ind w:left="4" w:hanging="4"/>
        <w:spacing w:after="0" w:line="279" w:lineRule="auto"/>
        <w:tabs>
          <w:tab w:leader="none" w:pos="229"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 of the Holder of any Security shall bind every future Holder of the same Security and the Holder of every Security issued upon the registration of transfer thereof or upon the conversion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171"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Notices, etc., to Trustee and Company</w:t>
      </w:r>
      <w:r>
        <w:rPr>
          <w:rFonts w:ascii="Arial" w:cs="Arial" w:eastAsia="Arial" w:hAnsi="Arial"/>
          <w:sz w:val="18"/>
          <w:szCs w:val="18"/>
          <w:color w:val="auto"/>
        </w:rPr>
        <w:t>. Any request, demand, authorization, direction, notice, consent, waiver or Act of Holders or other document provided or permitted by this Indenture to be made upon, given or furnished to, or filed with,</w:t>
      </w:r>
    </w:p>
    <w:p>
      <w:pPr>
        <w:spacing w:after="0" w:line="170" w:lineRule="exact"/>
        <w:rPr>
          <w:sz w:val="20"/>
          <w:szCs w:val="20"/>
          <w:color w:val="auto"/>
        </w:rPr>
      </w:pPr>
    </w:p>
    <w:p>
      <w:pPr>
        <w:ind w:left="4" w:right="140" w:hanging="4"/>
        <w:spacing w:after="0" w:line="263" w:lineRule="auto"/>
        <w:tabs>
          <w:tab w:leader="none" w:pos="259"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Trustee by any Holder or by the Company shall be sufficient for every purpose hereunder if made, given, furnished or filed in writing to or with the Trustee at [_________________________] or at any other address previously furnished in writing to the Company by the Trustee, Attention: [__________]; or</w:t>
      </w:r>
    </w:p>
    <w:p>
      <w:pPr>
        <w:spacing w:after="0" w:line="183" w:lineRule="exact"/>
        <w:rPr>
          <w:rFonts w:ascii="Arial" w:cs="Arial" w:eastAsia="Arial" w:hAnsi="Arial"/>
          <w:sz w:val="18"/>
          <w:szCs w:val="18"/>
          <w:color w:val="auto"/>
        </w:rPr>
      </w:pPr>
    </w:p>
    <w:p>
      <w:pPr>
        <w:ind w:left="4" w:right="20" w:hanging="4"/>
        <w:spacing w:after="0" w:line="286" w:lineRule="auto"/>
        <w:tabs>
          <w:tab w:leader="none" w:pos="259"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Indenture or at any other address previously furnished in writing to the Trustee by the Company, Attention: [__________]; or</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93" w:name="page94"/>
    <w:bookmarkEnd w:id="93"/>
    <w:p>
      <w:pPr>
        <w:ind w:left="4" w:right="460" w:hanging="4"/>
        <w:spacing w:after="0" w:line="263" w:lineRule="auto"/>
        <w:tabs>
          <w:tab w:leader="none" w:pos="259"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either the Trustee or the Company, by the other party or by any Holder, shall be sufficient for every purpose hereunder if given by facsimile transmission, receipt confirmed by telephone followed by an original copy delivered by guaranteed overnight courier; if to the Trustee at facsimile number [__________]; and if to the Company at facsimile number [__________].</w:t>
      </w:r>
    </w:p>
    <w:p>
      <w:pPr>
        <w:spacing w:after="0" w:line="184"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Notice to Holders; Waiver</w:t>
      </w:r>
      <w:r>
        <w:rPr>
          <w:rFonts w:ascii="Arial" w:cs="Arial" w:eastAsia="Arial" w:hAnsi="Arial"/>
          <w:sz w:val="18"/>
          <w:szCs w:val="18"/>
          <w:color w:val="auto"/>
        </w:rPr>
        <w:t>. Where this Indenture provides for notice of any event to Holders of Registered Securities by the Company or the Trustee, such notice shall be sufficiently given (unless otherwise herein expressly provided) if in writing and mailed, first-class postage prepaid, to each such Holder affected by such event, at his address as it appears in the Security Register, not later than the latest date, if any, and not earlier than the earliest date, if any,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herein. Any notice mailed to a Holder in the manner herein prescribed shall be conclusively deemed to have been received by such Holder, whether or not such Holder actually receives such notice.</w:t>
      </w:r>
    </w:p>
    <w:p>
      <w:pPr>
        <w:spacing w:after="0" w:line="192"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184"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Except as otherwise expressly provided herein or otherwise specified with respect to any Securities pursuant to Section 301, where this Indenture provides for notice to Holders of Bearer Securities of any event, such notice shall be sufficiently given if published in an Authorized Newspaper in The City of New York and in such other city or cities as may be specified in such Securities on a Business Day, such publication to be not later than the latest date, if any, and not earlier than the earliest date, if any, prescribed for the giving of such notice. Any such notice shall be deemed to have been given on the date of such publication or, if published more than once, on the date of the first such publication.</w:t>
      </w:r>
    </w:p>
    <w:p>
      <w:pPr>
        <w:spacing w:after="0" w:line="176" w:lineRule="exact"/>
        <w:rPr>
          <w:sz w:val="20"/>
          <w:szCs w:val="20"/>
          <w:color w:val="auto"/>
        </w:rPr>
      </w:pPr>
    </w:p>
    <w:p>
      <w:pPr>
        <w:ind w:left="4"/>
        <w:spacing w:after="0" w:line="296" w:lineRule="auto"/>
        <w:rPr>
          <w:sz w:val="20"/>
          <w:szCs w:val="20"/>
          <w:color w:val="auto"/>
        </w:rPr>
      </w:pPr>
      <w:r>
        <w:rPr>
          <w:rFonts w:ascii="Arial" w:cs="Arial" w:eastAsia="Arial" w:hAnsi="Arial"/>
          <w:sz w:val="16"/>
          <w:szCs w:val="16"/>
          <w:color w:val="auto"/>
        </w:rPr>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any particular Holder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161" w:lineRule="exact"/>
        <w:rPr>
          <w:sz w:val="20"/>
          <w:szCs w:val="20"/>
          <w:color w:val="auto"/>
        </w:rPr>
      </w:pPr>
    </w:p>
    <w:p>
      <w:pPr>
        <w:ind w:left="4" w:right="360"/>
        <w:spacing w:after="0" w:line="277" w:lineRule="auto"/>
        <w:rPr>
          <w:sz w:val="20"/>
          <w:szCs w:val="20"/>
          <w:color w:val="auto"/>
        </w:rPr>
      </w:pPr>
      <w:r>
        <w:rPr>
          <w:rFonts w:ascii="Arial" w:cs="Arial" w:eastAsia="Arial" w:hAnsi="Arial"/>
          <w:sz w:val="18"/>
          <w:szCs w:val="18"/>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70"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4" w:lineRule="exact"/>
        <w:rPr>
          <w:sz w:val="20"/>
          <w:szCs w:val="20"/>
          <w:color w:val="auto"/>
        </w:rPr>
      </w:pPr>
    </w:p>
    <w:p>
      <w:pPr>
        <w:ind w:left="4" w:right="20"/>
        <w:spacing w:after="0" w:line="286"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Counterparts; Effect of Headings and Table of Contents</w:t>
      </w:r>
      <w:r>
        <w:rPr>
          <w:rFonts w:ascii="Arial" w:cs="Arial" w:eastAsia="Arial" w:hAnsi="Arial"/>
          <w:sz w:val="17"/>
          <w:szCs w:val="17"/>
          <w:color w:val="auto"/>
        </w:rPr>
        <w:t>. This Indenture may be executed in any number of counterparts, each of which so executed shall be deemed to be an original, but all such counterparts shall together constitute but one and the same Indenture. The Article and Section headings herein and the Table of Contents are for convenience only and shall not affect the construction hereof.</w:t>
      </w:r>
    </w:p>
    <w:p>
      <w:pPr>
        <w:spacing w:after="0" w:line="165"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in this Indenture by the Company shall bind its successors and assigns, whether so expressed or not.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94" w:name="page95"/>
    <w:bookmarkEnd w:id="94"/>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109. </w:t>
      </w:r>
      <w:r>
        <w:rPr>
          <w:rFonts w:ascii="Arial" w:cs="Arial" w:eastAsia="Arial" w:hAnsi="Arial"/>
          <w:sz w:val="18"/>
          <w:szCs w:val="18"/>
          <w:u w:val="single" w:color="auto"/>
          <w:color w:val="auto"/>
        </w:rPr>
        <w:t>Severability Clause</w:t>
      </w:r>
      <w:r>
        <w:rPr>
          <w:rFonts w:ascii="Arial" w:cs="Arial" w:eastAsia="Arial" w:hAnsi="Arial"/>
          <w:sz w:val="18"/>
          <w:szCs w:val="18"/>
          <w:color w:val="auto"/>
        </w:rPr>
        <w:t>. In case any provision in this Indenture or in any Security or coupon shall be held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 Nothing in this Indenture or in the Securities or coupons, if any,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Indenture and the Securities and coupons shall be governed by and construed in accordance with the laws of the State of New York. This Indenture is subject to the provisions of the TIA that are required to be part of this Indenture and shall, to the extent applicable, be governed by such provisions.</w:t>
      </w:r>
    </w:p>
    <w:p>
      <w:pPr>
        <w:spacing w:after="0" w:line="18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Legal Holidays</w:t>
      </w:r>
      <w:r>
        <w:rPr>
          <w:rFonts w:ascii="Arial" w:cs="Arial" w:eastAsia="Arial" w:hAnsi="Arial"/>
          <w:sz w:val="16"/>
          <w:szCs w:val="16"/>
          <w:color w:val="auto"/>
        </w:rPr>
        <w:t>. In any case where any Interest Payment Date, Redemption Date, Repayment Date, sinking fund payment date, Stated Maturity or Maturity of any Security or the last date on which a Holder has the right to convert or exchange a Security shall not be a Business Day at any Place of Payment, then (notwithstanding any other provision of this Indenture or any Security or coupon other than a provision in the Securities of any series which specifically states that such provision shall apply in lieu hereof), payment of interest or principal (and premium or Make-Whole Amount, if any) or conversion or exchange of such Security need not be made at such Place of Payment on such date, but (except as otherwise provided in the supplemental indenture with respect to such Security) may be made on the next succeeding Business Day at such Place of Payment with the same force and effect as if made on the Interest Payment Date, Redemption Date, Repayment Date or sinking fund payment date, or at the Stated Maturity or Maturity, or on such last day for conversion or exchange, provided that no interest shall accrue on the amount so payable for the period from and after such Interest Payment Date, Redemption Date, Repayment Date, sinking fund payment date, Stated Maturity or Maturity, as the case may be.</w:t>
      </w:r>
    </w:p>
    <w:p>
      <w:pPr>
        <w:spacing w:after="0" w:line="16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SECTION 113. </w:t>
      </w:r>
      <w:r>
        <w:rPr>
          <w:rFonts w:ascii="Arial" w:cs="Arial" w:eastAsia="Arial" w:hAnsi="Arial"/>
          <w:sz w:val="17"/>
          <w:szCs w:val="17"/>
          <w:u w:val="single" w:color="auto"/>
          <w:color w:val="auto"/>
        </w:rPr>
        <w:t>Limited Liability; Immunity of Shareholders, Directors, Officers and Agents of the Company</w:t>
      </w:r>
      <w:r>
        <w:rPr>
          <w:rFonts w:ascii="Arial" w:cs="Arial" w:eastAsia="Arial" w:hAnsi="Arial"/>
          <w:sz w:val="17"/>
          <w:szCs w:val="17"/>
          <w:color w:val="auto"/>
        </w:rPr>
        <w:t>. Notwithstanding any other provision of this Indenture or of the Securities of any series to the contrary, no recourse under or upon any obligation, covenant or agreement contained in this Indenture or in any Security, or for the payment of any sums due on account of any indebtedness evidenced thereby, including without limitation principal, premium or interest, if any, or for any claim based on this Indenture or any Security or otherwise in respect of this Indenture or any Security, shall be had, whether by levy or execution or otherwise, against (i) the Company, the Company’s assets or against any past, present or future shareholder, employee, officer, director or agent, as such, of the Company or any successor, either directly or through the Company or any successor, under any rule of law, statute, constitutional provision or by the enforcement of any assessment or penalty, or by any legal or equitable proceeding or otherwise, nor shall any such parties be personally liable for any such amounts, obligations or claims, or liable for any deficiency judgment based thereon or with respect thereto, it being expressly understood that the sole remedies hereunder or under any other document with respect to the Securities against such parties with respect to such amounts, obligations or claims shall be against the Company and that all such liability of and recourse against such parties is expressly waived and released by the acceptance of the Securities by the Holders and as part of the consideration for the issue of the Securities.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 If any provision hereof limits, qualifies or conflicts with another provision hereof which is required or deemed to be included in this Indenture by any of the provisions of the Trust Indenture Act, such required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TWO—SECURITIES FORMS</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Forms of Securities</w:t>
      </w:r>
      <w:r>
        <w:rPr>
          <w:rFonts w:ascii="Arial" w:cs="Arial" w:eastAsia="Arial" w:hAnsi="Arial"/>
          <w:sz w:val="16"/>
          <w:szCs w:val="16"/>
          <w:color w:val="auto"/>
        </w:rPr>
        <w:t xml:space="preserve">. The Registered Securities, if any, of each series and the Bearer Securities, if any, of each series and related coupons shall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or in such other form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95" w:name="page96"/>
    <w:bookmarkEnd w:id="9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over-the-counter market or securities exchange, on which the Securities may be quoted or listed, or to conform to usage.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specified as contemplated by Section 301, Bearer Securities shall have interest coupons attached.</w:t>
      </w:r>
    </w:p>
    <w:p>
      <w:pPr>
        <w:spacing w:after="0" w:line="22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definitive Securities and coupons shall be printed, lithographed or engraved or produced by any combination of these methods on a steel engraved border or steel engraved borders or mechanically reproduced on safety paper or may be produced in any other manner, all as determined by the officers executing such Securities or coupons, as evidenced by their execution of such Securities or coupons.</w:t>
      </w:r>
    </w:p>
    <w:p>
      <w:pPr>
        <w:spacing w:after="0" w:line="184"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 Subject to Section 611, the Trustee’s certificate of authentication shall be in substantially the following form: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therein referred to in the within- mentioned Indenture.</w:t>
      </w:r>
    </w:p>
    <w:p>
      <w:pPr>
        <w:spacing w:after="0" w:line="252"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Securities Issuable in Global Form</w:t>
      </w:r>
      <w:r>
        <w:rPr>
          <w:rFonts w:ascii="Arial" w:cs="Arial" w:eastAsia="Arial" w:hAnsi="Arial"/>
          <w:sz w:val="16"/>
          <w:szCs w:val="16"/>
          <w:color w:val="auto"/>
        </w:rPr>
        <w:t>. If Securities of or within a series are issuable in the form of one or more Global Securities, then, notwithstanding clause (8) of Section 301 and the provisions of Section 302, any such Global Security or Securities may provide that it or they shall represent the aggregate amount of all Outstanding Securities of such series (or such lesser amount as is permitted by the terms thereof) from time to time endorsed thereon and may also provide that the aggregate amount of Outstanding Securities of such series represented thereby may from time to time be increased or decreased to reflect exchanges. Any endorsement of any Global Security to reflect the amount, or any increase or decrease in the amount, or changes in the rights of Holders thereof, of Outstanding Securities represented thereby shall be made (or caused to be made) by the Trustee in such manner or by such Person or Persons as shall be specified therein or in the Company Order to be delivered to the Trustee pursuant to Section 303 or 304. Subject to the provisions of Section 303 and, if applicable, Section 304, the Trustee shall deliver and redeliver any Global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or delivery or redelivery of a Global Security shall be in writing but need not comply with Section 102 and need not be accompanied by an Opinion of Counsel.</w:t>
      </w:r>
    </w:p>
    <w:p>
      <w:pPr>
        <w:spacing w:after="0" w:line="172"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provisions of the last sentence of Section 303 shall apply to any Security represented by a Global Security if such Security was never issued and sold by the Company and the Company delivers to the Trustee the Global Security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7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Notwithstanding the provisions of Section 307, unless otherwise specified as contemplated by Section 301, payment of principal of and any premium or Make-Whole Amount, if any, and interest on any Global Security in permanent global form shall be made to the registered Holder thereof.</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Notwithstanding the provisions of Section 308 and except as provided in the preceding paragraph, the Company, the Trustee and any agent of the Company and the Trustee shall treat as the Holder of such principal amount of Outstanding Securities represented by a permanent Global Security (i) in the case of a permanent Global Security in registered form, the Holder of such permanent Global Security in registered form, or (ii) in the case of a permanent Global Security in bearer form, Euroclear or Clearstream.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Global Security authenticated and delivered hereunder shall bear a legend in substantially the following form:</w:t>
      </w:r>
    </w:p>
    <w:p>
      <w:pPr>
        <w:spacing w:after="0" w:line="11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“This Security is a Global Security within the meaning set forth in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 or by the Depository or its nominee to a successor Depository or its nominee.”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THREE—THE SECURITIES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 The aggregate principal amount of Securities which may be authenticated and delivered under this Indenture is unlimited.</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Securities may be issued in one or more series, each of which shall be authorized pursuant to Board Resolutions of the Company. There shall be established in one or more Board Resolutions or pursuant to authority granted by one or more Board Resolutions and, subject to Section 303, set forth in an Officers’ Certificate, or established in one or more indentures supplemental hereto, prior to the issuance of Securities of any series:</w:t>
      </w:r>
    </w:p>
    <w:p>
      <w:pPr>
        <w:spacing w:after="0" w:line="41" w:lineRule="exact"/>
        <w:rPr>
          <w:sz w:val="20"/>
          <w:szCs w:val="20"/>
          <w:color w:val="auto"/>
        </w:rPr>
      </w:pPr>
    </w:p>
    <w:p>
      <w:pPr>
        <w:ind w:right="100" w:firstLine="436"/>
        <w:spacing w:after="0" w:line="277"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title of the Securities of the series, including “CUSIP” numbers (which shall distinguish the Securities of such series from all other series of Securities);</w:t>
      </w:r>
    </w:p>
    <w:p>
      <w:pPr>
        <w:spacing w:after="0" w:line="170" w:lineRule="exact"/>
        <w:rPr>
          <w:rFonts w:ascii="Arial" w:cs="Arial" w:eastAsia="Arial" w:hAnsi="Arial"/>
          <w:sz w:val="18"/>
          <w:szCs w:val="18"/>
          <w:color w:val="auto"/>
        </w:rPr>
      </w:pPr>
    </w:p>
    <w:p>
      <w:pPr>
        <w:ind w:right="80" w:firstLine="436"/>
        <w:spacing w:after="0" w:line="259"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upon conversion of, or in exchange for, or in lieu of, other Securities of the series pursuant to Section 304, 305, 306, 906, 1107 or 1305) and the minimum authorized denominations with respect to the Securities of such series;</w:t>
      </w:r>
    </w:p>
    <w:p>
      <w:pPr>
        <w:spacing w:after="0" w:line="186" w:lineRule="exact"/>
        <w:rPr>
          <w:rFonts w:ascii="Arial" w:cs="Arial" w:eastAsia="Arial" w:hAnsi="Arial"/>
          <w:sz w:val="18"/>
          <w:szCs w:val="18"/>
          <w:color w:val="auto"/>
        </w:rPr>
      </w:pPr>
    </w:p>
    <w:p>
      <w:pPr>
        <w:ind w:right="20" w:firstLine="436"/>
        <w:spacing w:after="0" w:line="311" w:lineRule="auto"/>
        <w:tabs>
          <w:tab w:leader="none" w:pos="695"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price (expressed as a percentage of the principal amount thereof) at which such Securities will be issued and, if other than the principal amount thereof, the portion of the principal amount thereof payable upon declaration of acceleration of the maturity thereof or (if applicable) the portion of the principal amount of such Securities that is convertible into Ordinary Shares or the method by which any such portion shall be determined.</w:t>
      </w:r>
    </w:p>
    <w:p>
      <w:pPr>
        <w:spacing w:after="0" w:line="148" w:lineRule="exact"/>
        <w:rPr>
          <w:rFonts w:ascii="Arial" w:cs="Arial" w:eastAsia="Arial" w:hAnsi="Arial"/>
          <w:sz w:val="16"/>
          <w:szCs w:val="16"/>
          <w:color w:val="auto"/>
        </w:rPr>
      </w:pPr>
    </w:p>
    <w:p>
      <w:pPr>
        <w:ind w:right="140" w:firstLine="436"/>
        <w:spacing w:after="0" w:line="308" w:lineRule="auto"/>
        <w:tabs>
          <w:tab w:leader="none" w:pos="695"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convertible, the terms on which such Securities are convertible, including the initial conversion price or rate and the conversion period and any applicable limitations on the ownership or transferability of Ordinary Shares or Preference Shares receivable on conversion;</w:t>
      </w:r>
    </w:p>
    <w:p>
      <w:pPr>
        <w:spacing w:after="0" w:line="146" w:lineRule="exact"/>
        <w:rPr>
          <w:rFonts w:ascii="Arial" w:cs="Arial" w:eastAsia="Arial" w:hAnsi="Arial"/>
          <w:sz w:val="17"/>
          <w:szCs w:val="17"/>
          <w:color w:val="auto"/>
        </w:rPr>
      </w:pPr>
    </w:p>
    <w:p>
      <w:pPr>
        <w:ind w:left="700" w:hanging="264"/>
        <w:spacing w:after="0"/>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date or dates, or the method for determining such date or dates, on which the principal of such Securities will be payable;</w:t>
      </w:r>
    </w:p>
    <w:p>
      <w:pPr>
        <w:spacing w:after="0" w:line="225" w:lineRule="exact"/>
        <w:rPr>
          <w:rFonts w:ascii="Arial" w:cs="Arial" w:eastAsia="Arial" w:hAnsi="Arial"/>
          <w:sz w:val="18"/>
          <w:szCs w:val="18"/>
          <w:color w:val="auto"/>
        </w:rPr>
      </w:pPr>
    </w:p>
    <w:p>
      <w:pPr>
        <w:ind w:right="20" w:firstLine="436"/>
        <w:spacing w:after="0" w:line="277"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rate or rates (which may be fixed or variable), or the method by which such rate or rates shall be determined, at which such Securities will bear interest, if any;</w:t>
      </w:r>
    </w:p>
    <w:p>
      <w:pPr>
        <w:spacing w:after="0" w:line="170" w:lineRule="exact"/>
        <w:rPr>
          <w:rFonts w:ascii="Arial" w:cs="Arial" w:eastAsia="Arial" w:hAnsi="Arial"/>
          <w:sz w:val="18"/>
          <w:szCs w:val="18"/>
          <w:color w:val="auto"/>
        </w:rPr>
      </w:pPr>
    </w:p>
    <w:p>
      <w:pPr>
        <w:ind w:right="20" w:firstLine="436"/>
        <w:spacing w:after="0" w:line="259"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186" w:lineRule="exact"/>
        <w:rPr>
          <w:rFonts w:ascii="Arial" w:cs="Arial" w:eastAsia="Arial" w:hAnsi="Arial"/>
          <w:sz w:val="18"/>
          <w:szCs w:val="18"/>
          <w:color w:val="auto"/>
        </w:rPr>
      </w:pPr>
    </w:p>
    <w:p>
      <w:pPr>
        <w:ind w:firstLine="436"/>
        <w:spacing w:after="0" w:line="277"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Make-Whole Amount, if any, or method for determining the Make-Whole Amount, if any, payable with respect to such Securities, and the terms upon which such amount, if any, will be payable;</w:t>
      </w:r>
    </w:p>
    <w:p>
      <w:pPr>
        <w:spacing w:after="0" w:line="170" w:lineRule="exact"/>
        <w:rPr>
          <w:rFonts w:ascii="Arial" w:cs="Arial" w:eastAsia="Arial" w:hAnsi="Arial"/>
          <w:sz w:val="18"/>
          <w:szCs w:val="18"/>
          <w:color w:val="auto"/>
        </w:rPr>
      </w:pPr>
    </w:p>
    <w:p>
      <w:pPr>
        <w:ind w:right="180" w:firstLine="436"/>
        <w:spacing w:after="0" w:line="263"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place or places where the principal of (and premium or Make-Whole Amount, if any) and interest, if any, on such Securities will be payable, where such Securities may be surrendered for registration of transfer or conversion or exchange and where notices or demands to or upon the Company in respect of such Securities and this Indenture may be served;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97" w:name="page98"/>
    <w:bookmarkEnd w:id="97"/>
    <w:p>
      <w:pPr>
        <w:ind w:left="-20" w:right="160" w:firstLine="436"/>
        <w:spacing w:after="0" w:line="308" w:lineRule="auto"/>
        <w:tabs>
          <w:tab w:leader="none" w:pos="765" w:val="left"/>
        </w:tabs>
        <w:numPr>
          <w:ilvl w:val="0"/>
          <w:numId w:val="8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period or periods, if any, within which, the price or prices at which and the other terms and conditions upon which such Securities may, pursuant to any optional or mandatory redemption provisions, be redeemed, as a whole or in part, at the option of the Company;</w:t>
      </w:r>
    </w:p>
    <w:p>
      <w:pPr>
        <w:spacing w:after="0" w:line="146" w:lineRule="exact"/>
        <w:rPr>
          <w:rFonts w:ascii="Arial" w:cs="Arial" w:eastAsia="Arial" w:hAnsi="Arial"/>
          <w:sz w:val="17"/>
          <w:szCs w:val="17"/>
          <w:color w:val="auto"/>
        </w:rPr>
      </w:pPr>
    </w:p>
    <w:p>
      <w:pPr>
        <w:ind w:left="-20" w:firstLine="436"/>
        <w:spacing w:after="0" w:line="263" w:lineRule="auto"/>
        <w:tabs>
          <w:tab w:leader="none" w:pos="759"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obligation, if any, of the Company to redeem, repay or purchase such Securities pursuant to any sinking fund or analogous provision or at the option of a Holder thereof, and the period or periods within which, the price or prices at which and the other terms and conditions upon which such Securities will be redeemed, repaid or purchased, as a whole or in part, pursuant to such obligation;</w:t>
      </w:r>
    </w:p>
    <w:p>
      <w:pPr>
        <w:spacing w:after="0" w:line="183" w:lineRule="exact"/>
        <w:rPr>
          <w:rFonts w:ascii="Arial" w:cs="Arial" w:eastAsia="Arial" w:hAnsi="Arial"/>
          <w:sz w:val="18"/>
          <w:szCs w:val="18"/>
          <w:color w:val="auto"/>
        </w:rPr>
      </w:pPr>
    </w:p>
    <w:p>
      <w:pPr>
        <w:ind w:left="-20" w:right="120" w:firstLine="436"/>
        <w:spacing w:after="0" w:line="263" w:lineRule="auto"/>
        <w:tabs>
          <w:tab w:leader="none" w:pos="765"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other than Dollars, the currency or currencies in which such Securities are denominated and payable, which may be a foreign currency or units of two or more foreign currencies or a composite currency or currencies, the manner of determining the equivalent thereof in Dollars for purposes of the definition of “Outstanding” in Section 101, and the terms and conditions relating thereto;</w:t>
      </w:r>
    </w:p>
    <w:p>
      <w:pPr>
        <w:spacing w:after="0" w:line="183" w:lineRule="exact"/>
        <w:rPr>
          <w:rFonts w:ascii="Arial" w:cs="Arial" w:eastAsia="Arial" w:hAnsi="Arial"/>
          <w:sz w:val="18"/>
          <w:szCs w:val="18"/>
          <w:color w:val="auto"/>
        </w:rPr>
      </w:pPr>
    </w:p>
    <w:p>
      <w:pPr>
        <w:jc w:val="both"/>
        <w:ind w:left="-20" w:right="100" w:firstLine="436"/>
        <w:spacing w:after="0" w:line="279" w:lineRule="auto"/>
        <w:tabs>
          <w:tab w:leader="none" w:pos="765" w:val="left"/>
        </w:tabs>
        <w:numPr>
          <w:ilvl w:val="0"/>
          <w:numId w:val="85"/>
        </w:numPr>
        <w:rPr>
          <w:rFonts w:ascii="Arial" w:cs="Arial" w:eastAsia="Arial" w:hAnsi="Arial"/>
          <w:sz w:val="17"/>
          <w:szCs w:val="17"/>
          <w:color w:val="auto"/>
        </w:rPr>
      </w:pPr>
      <w:r>
        <w:rPr>
          <w:rFonts w:ascii="Arial" w:cs="Arial" w:eastAsia="Arial" w:hAnsi="Arial"/>
          <w:sz w:val="17"/>
          <w:szCs w:val="17"/>
          <w:color w:val="auto"/>
        </w:rPr>
        <w:t>Whether the amount of payments of principal of (and premium or Make-Whole Amount, if any, including any amount due upon redemption, if any) or interest on such Securities may be determined with reference to an index, formula or other method (which index, formula or method may, but need not be, based on the yield on or trading price of other securities, including United States Treasury securities or on a currency, currencies, currency unit or units, or composite currency or currencies) and the manner in which such amounts shall be determined;</w:t>
      </w:r>
    </w:p>
    <w:p>
      <w:pPr>
        <w:spacing w:after="0" w:line="171" w:lineRule="exact"/>
        <w:rPr>
          <w:rFonts w:ascii="Arial" w:cs="Arial" w:eastAsia="Arial" w:hAnsi="Arial"/>
          <w:sz w:val="17"/>
          <w:szCs w:val="17"/>
          <w:color w:val="auto"/>
        </w:rPr>
      </w:pPr>
    </w:p>
    <w:p>
      <w:pPr>
        <w:ind w:left="-20" w:right="120" w:firstLine="436"/>
        <w:spacing w:after="0" w:line="293" w:lineRule="auto"/>
        <w:tabs>
          <w:tab w:leader="none" w:pos="765" w:val="left"/>
        </w:tabs>
        <w:numPr>
          <w:ilvl w:val="0"/>
          <w:numId w:val="85"/>
        </w:numPr>
        <w:rPr>
          <w:rFonts w:ascii="Arial" w:cs="Arial" w:eastAsia="Arial" w:hAnsi="Arial"/>
          <w:sz w:val="16"/>
          <w:szCs w:val="16"/>
          <w:color w:val="auto"/>
        </w:rPr>
      </w:pPr>
      <w:r>
        <w:rPr>
          <w:rFonts w:ascii="Arial" w:cs="Arial" w:eastAsia="Arial" w:hAnsi="Arial"/>
          <w:sz w:val="16"/>
          <w:szCs w:val="16"/>
          <w:color w:val="auto"/>
        </w:rPr>
        <w:t>Whether the principal of (and premium or Make-Whole Amount, if any) or interest on the Securities of the series are to be payable, at the election of the Company or a Holder thereof, in a currency or currencies, currency unit or units or composite currency or currencies other than that in which such Securities are denominated or stated to be payable, the period or periods within which, and the terms and conditions upon which, such election may be made, and the time and manner of, and identity of the exchange rate agent with responsibility for, determining the exchange rate between the currency or currencies, currency unit or units or composite currency or currencies in which such Securities are denominated or stated to be payable and the currency or currencies, currency unit or units or composite currency or currencies in which such Securities are to be so payable;</w:t>
      </w:r>
    </w:p>
    <w:p>
      <w:pPr>
        <w:spacing w:after="0" w:line="164" w:lineRule="exact"/>
        <w:rPr>
          <w:rFonts w:ascii="Arial" w:cs="Arial" w:eastAsia="Arial" w:hAnsi="Arial"/>
          <w:sz w:val="16"/>
          <w:szCs w:val="16"/>
          <w:color w:val="auto"/>
        </w:rPr>
      </w:pPr>
    </w:p>
    <w:p>
      <w:pPr>
        <w:ind w:left="760" w:hanging="344"/>
        <w:spacing w:after="0"/>
        <w:tabs>
          <w:tab w:leader="none" w:pos="7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Provisions, if any, granting special rights to the Holders of Securities of the series upon the occurrence of such events as may be specified;</w:t>
      </w:r>
    </w:p>
    <w:p>
      <w:pPr>
        <w:spacing w:after="0" w:line="248" w:lineRule="exact"/>
        <w:rPr>
          <w:rFonts w:ascii="Arial" w:cs="Arial" w:eastAsia="Arial" w:hAnsi="Arial"/>
          <w:sz w:val="16"/>
          <w:szCs w:val="16"/>
          <w:color w:val="auto"/>
        </w:rPr>
      </w:pPr>
    </w:p>
    <w:p>
      <w:pPr>
        <w:ind w:left="-20" w:right="400" w:firstLine="436"/>
        <w:spacing w:after="0" w:line="308" w:lineRule="auto"/>
        <w:tabs>
          <w:tab w:leader="none" w:pos="765"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Any deletions from, modifications of or additions to the Events of Default or covenants of the Company with respect to Securities of the series, whether or not such Events of Default or covenants are consistent with the Events of Default or covenants set forth herein;</w:t>
      </w:r>
    </w:p>
    <w:p>
      <w:pPr>
        <w:spacing w:after="0" w:line="146" w:lineRule="exact"/>
        <w:rPr>
          <w:rFonts w:ascii="Arial" w:cs="Arial" w:eastAsia="Arial" w:hAnsi="Arial"/>
          <w:sz w:val="17"/>
          <w:szCs w:val="17"/>
          <w:color w:val="auto"/>
        </w:rPr>
      </w:pPr>
    </w:p>
    <w:p>
      <w:pPr>
        <w:ind w:left="-20" w:right="80" w:firstLine="436"/>
        <w:spacing w:after="0" w:line="342" w:lineRule="auto"/>
        <w:tabs>
          <w:tab w:leader="none" w:pos="765" w:val="left"/>
        </w:tabs>
        <w:numPr>
          <w:ilvl w:val="0"/>
          <w:numId w:val="85"/>
        </w:numPr>
        <w:rPr>
          <w:rFonts w:ascii="Arial" w:cs="Arial" w:eastAsia="Arial" w:hAnsi="Arial"/>
          <w:sz w:val="16"/>
          <w:szCs w:val="16"/>
          <w:color w:val="auto"/>
        </w:rPr>
      </w:pPr>
      <w:r>
        <w:rPr>
          <w:rFonts w:ascii="Arial" w:cs="Arial" w:eastAsia="Arial" w:hAnsi="Arial"/>
          <w:sz w:val="16"/>
          <w:szCs w:val="16"/>
          <w:color w:val="auto"/>
        </w:rPr>
        <w:t>Whether and under what circumstances the Company will pay any additional amounts on such Securities in respect of any tax, assessment or governmental charge and, if so, whether the Company will have the option to redeem such Securities in lieu of making such payment;</w:t>
      </w:r>
    </w:p>
    <w:p>
      <w:pPr>
        <w:spacing w:after="0" w:line="123" w:lineRule="exact"/>
        <w:rPr>
          <w:rFonts w:ascii="Arial" w:cs="Arial" w:eastAsia="Arial" w:hAnsi="Arial"/>
          <w:sz w:val="16"/>
          <w:szCs w:val="16"/>
          <w:color w:val="auto"/>
        </w:rPr>
      </w:pPr>
    </w:p>
    <w:p>
      <w:pPr>
        <w:ind w:left="-20" w:right="20" w:firstLine="436"/>
        <w:spacing w:after="0" w:line="271" w:lineRule="auto"/>
        <w:tabs>
          <w:tab w:leader="none" w:pos="762" w:val="left"/>
        </w:tabs>
        <w:numPr>
          <w:ilvl w:val="0"/>
          <w:numId w:val="85"/>
        </w:numPr>
        <w:rPr>
          <w:rFonts w:ascii="Arial" w:cs="Arial" w:eastAsia="Arial" w:hAnsi="Arial"/>
          <w:sz w:val="17"/>
          <w:szCs w:val="17"/>
          <w:color w:val="auto"/>
        </w:rPr>
      </w:pPr>
      <w:r>
        <w:rPr>
          <w:rFonts w:ascii="Arial" w:cs="Arial" w:eastAsia="Arial" w:hAnsi="Arial"/>
          <w:sz w:val="17"/>
          <w:szCs w:val="17"/>
          <w:color w:val="auto"/>
        </w:rPr>
        <w:t>Whether Securities of the series are to be issuable as Registered Securities, Bearer Securities (with or without coupons) or both, any restrictions applicable to the offer, sale or delivery of Bearer Securities and the terms upon which Bearer Securities of the series may be exchanged for Registered Securities of the series and vice versa (if permitted by applicable laws and regulations), whether any Securities of the series are to be issuable initially in temporary global form and whether any Securities of the series are to be issuable in permanent global form with or without coupons and, if so, whether beneficial owners of interests in any such permanent global Security may, or shall be required to, exchange such interests for Securities of such series and of like tenor of any authorized form and denomination and the circumstances under which any such exchanges may, or shall be required to, occur, if other than in the manner provided in the Indenture, and, if Registered Securities of the series are to be issuable as a Global Security, the identity of the depository for such series;</w:t>
      </w:r>
    </w:p>
    <w:p>
      <w:pPr>
        <w:spacing w:after="0" w:line="178" w:lineRule="exact"/>
        <w:rPr>
          <w:rFonts w:ascii="Arial" w:cs="Arial" w:eastAsia="Arial" w:hAnsi="Arial"/>
          <w:sz w:val="17"/>
          <w:szCs w:val="17"/>
          <w:color w:val="auto"/>
        </w:rPr>
      </w:pPr>
    </w:p>
    <w:p>
      <w:pPr>
        <w:ind w:left="-20" w:right="160" w:firstLine="436"/>
        <w:spacing w:after="0" w:line="277" w:lineRule="auto"/>
        <w:tabs>
          <w:tab w:leader="none" w:pos="76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170" w:lineRule="exact"/>
        <w:rPr>
          <w:rFonts w:ascii="Arial" w:cs="Arial" w:eastAsia="Arial" w:hAnsi="Arial"/>
          <w:sz w:val="18"/>
          <w:szCs w:val="18"/>
          <w:color w:val="auto"/>
        </w:rPr>
      </w:pPr>
    </w:p>
    <w:p>
      <w:pPr>
        <w:ind w:left="-20" w:right="80" w:firstLine="436"/>
        <w:spacing w:after="0" w:line="259" w:lineRule="auto"/>
        <w:tabs>
          <w:tab w:leader="none" w:pos="76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60" w:top="274" w:right="459" w:bottom="1440" w:gutter="0" w:footer="0" w:header="0"/>
        </w:sectPr>
      </w:pPr>
    </w:p>
    <w:bookmarkStart w:id="98" w:name="page99"/>
    <w:bookmarkEnd w:id="98"/>
    <w:p>
      <w:pPr>
        <w:ind w:right="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appertaining thereto as they severally mature, and the extent to which, or the manner in which, any interest payable on a temporary Global Security on an Interest Payment Date will be paid if other than in the manner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each case, that the manner of determining such Person or making such payment shall be acceptable to the Trustee (as not imposing on it any undue administrative burden or risk of liability);</w:t>
      </w:r>
    </w:p>
    <w:p>
      <w:pPr>
        <w:spacing w:after="0" w:line="149" w:lineRule="exact"/>
        <w:rPr>
          <w:sz w:val="20"/>
          <w:szCs w:val="20"/>
          <w:color w:val="auto"/>
        </w:rPr>
      </w:pPr>
    </w:p>
    <w:p>
      <w:pPr>
        <w:ind w:left="780" w:hanging="344"/>
        <w:spacing w:after="0"/>
        <w:tabs>
          <w:tab w:leader="none" w:pos="7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applicability, if any, of the Defeasance and Covenant Defeasance provisions of Article Fourteen hereof to the Securities of the series;</w:t>
      </w:r>
    </w:p>
    <w:p>
      <w:pPr>
        <w:spacing w:after="0" w:line="248" w:lineRule="exact"/>
        <w:rPr>
          <w:rFonts w:ascii="Arial" w:cs="Arial" w:eastAsia="Arial" w:hAnsi="Arial"/>
          <w:sz w:val="16"/>
          <w:szCs w:val="16"/>
          <w:color w:val="auto"/>
        </w:rPr>
      </w:pPr>
    </w:p>
    <w:p>
      <w:pPr>
        <w:ind w:firstLine="436"/>
        <w:spacing w:after="0" w:line="259" w:lineRule="auto"/>
        <w:tabs>
          <w:tab w:leader="none" w:pos="78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obligation, if any, of the Company to permit the conversion of the Securities of such series into Ordinary Shares or Preference Shares, as the case may be, and the terms and conditions upon which such conversion shall be effected (including, without limitation, the initial conversion price or rate, the conversion period, any adjustment of the applicable conversion price and any requirements relative to the reservation of such shares for purposes of conversion);</w:t>
      </w:r>
    </w:p>
    <w:p>
      <w:pPr>
        <w:spacing w:after="0" w:line="186" w:lineRule="exact"/>
        <w:rPr>
          <w:rFonts w:ascii="Arial" w:cs="Arial" w:eastAsia="Arial" w:hAnsi="Arial"/>
          <w:sz w:val="18"/>
          <w:szCs w:val="18"/>
          <w:color w:val="auto"/>
        </w:rPr>
      </w:pPr>
    </w:p>
    <w:p>
      <w:pPr>
        <w:ind w:right="80" w:firstLine="436"/>
        <w:spacing w:after="0" w:line="263" w:lineRule="auto"/>
        <w:tabs>
          <w:tab w:leader="none" w:pos="78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183" w:lineRule="exact"/>
        <w:rPr>
          <w:rFonts w:ascii="Arial" w:cs="Arial" w:eastAsia="Arial" w:hAnsi="Arial"/>
          <w:sz w:val="18"/>
          <w:szCs w:val="18"/>
          <w:color w:val="auto"/>
        </w:rPr>
      </w:pPr>
    </w:p>
    <w:p>
      <w:pPr>
        <w:ind w:right="420" w:firstLine="436"/>
        <w:spacing w:after="0" w:line="342" w:lineRule="auto"/>
        <w:tabs>
          <w:tab w:leader="none" w:pos="785" w:val="left"/>
        </w:tabs>
        <w:numPr>
          <w:ilvl w:val="0"/>
          <w:numId w:val="86"/>
        </w:numPr>
        <w:rPr>
          <w:rFonts w:ascii="Arial" w:cs="Arial" w:eastAsia="Arial" w:hAnsi="Arial"/>
          <w:sz w:val="16"/>
          <w:szCs w:val="16"/>
          <w:color w:val="auto"/>
        </w:rPr>
      </w:pPr>
      <w:r>
        <w:rPr>
          <w:rFonts w:ascii="Arial" w:cs="Arial" w:eastAsia="Arial" w:hAnsi="Arial"/>
          <w:sz w:val="16"/>
          <w:szCs w:val="16"/>
          <w:color w:val="auto"/>
        </w:rPr>
        <w:t>Designation of the Trustee, if different from the Trustee under the Indenture, with respect to such series and the terms applicable to such Trustee (which shall be accepted by such Trustee by its execution and delivery of a supplemental indenture as provided therein); and</w:t>
      </w:r>
    </w:p>
    <w:p>
      <w:pPr>
        <w:spacing w:after="0" w:line="123" w:lineRule="exact"/>
        <w:rPr>
          <w:rFonts w:ascii="Arial" w:cs="Arial" w:eastAsia="Arial" w:hAnsi="Arial"/>
          <w:sz w:val="16"/>
          <w:szCs w:val="16"/>
          <w:color w:val="auto"/>
        </w:rPr>
      </w:pPr>
    </w:p>
    <w:p>
      <w:pPr>
        <w:ind w:right="20" w:firstLine="436"/>
        <w:spacing w:after="0" w:line="277" w:lineRule="auto"/>
        <w:tabs>
          <w:tab w:leader="none" w:pos="78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other terms of the Securities of such series or any guarantees endorsed thereon (which terms shall not be inconsistent with the provisions of the TIA, but may modify, amend, supplement or delete any of the terms of this Indenture with respect to such series).</w:t>
      </w:r>
    </w:p>
    <w:p>
      <w:pPr>
        <w:spacing w:after="0" w:line="17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such Board Resolution (subject to Section 303) and set forth in such Officers’ Certificate or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5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Denominations</w:t>
      </w:r>
      <w:r>
        <w:rPr>
          <w:rFonts w:ascii="Arial" w:cs="Arial" w:eastAsia="Arial" w:hAnsi="Arial"/>
          <w:sz w:val="17"/>
          <w:szCs w:val="17"/>
          <w:color w:val="auto"/>
        </w:rPr>
        <w:t>. The Securities of each series shall be issuable in such denominations as shall be specified as contemplated by</w:t>
      </w:r>
    </w:p>
    <w:p>
      <w:pPr>
        <w:spacing w:after="0" w:line="35"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Section 301. With respect to Securities of any series denominated in Dollars, in the absence of any such provisions with respect to the Securities of any series, the Securities of such series, other than Global Securities (which may be of any denomination), shall be issuable in denominations of $1,000 and any integral multiple thereof or the equivalent amounts thereof in the case of Securities denominated in the Foreign Currency or currency unit.</w:t>
      </w:r>
    </w:p>
    <w:p>
      <w:pPr>
        <w:spacing w:after="0" w:line="15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Execution, Authentication, Delivery and Dating</w:t>
      </w:r>
      <w:r>
        <w:rPr>
          <w:rFonts w:ascii="Arial" w:cs="Arial" w:eastAsia="Arial" w:hAnsi="Arial"/>
          <w:sz w:val="16"/>
          <w:szCs w:val="16"/>
          <w:color w:val="auto"/>
        </w:rPr>
        <w:t>. The Securities and any coupons appertaining thereto shall be executed on behalf of the Company by its Chairman of the Board, its Chief Executive Officer, its President, or one of its Vice Presidents, under its corporate seal reproduced thereon, and attested by its Secretary or one of its Assistant Secretaries. The signature of any of these officers on the Securities and coupons may be manual or facsimile signatures of the present or any future such authorized officer and may be imprinted or otherwise reproduced on the Securities.</w:t>
      </w:r>
    </w:p>
    <w:p>
      <w:pPr>
        <w:spacing w:after="0" w:line="1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99" w:name="page100"/>
    <w:bookmarkEnd w:id="99"/>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At any time and from time to time after the execution and delivery of this Indenture, the Company may deliver Securities of any series, together with any coupon appertaining thereto, executed by the Company to the Trustee for authentication, together with a Company Order for the authentication and delivery of such Securities (accompanied by a copy of the Board Resolution and the Officers’ Certificate or supplemental indenture contemplated by Section 301), and the Trustee in accordance with the Company Order shall authenticate and deliver such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connection with its original issuance, no Bearer Security shall be mailed or otherwise delivered to any location in the United States;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unless otherwise specified with respect to any series of Securities pursuant to Section 301, a Bearer Security may be delivered in connection with its original issuance only if the Person entitled to receive such Bearer Security shall have furnished a certificate to Euroclear or Clearstream, as the case may be, in the form set forth in </w:t>
      </w:r>
      <w:r>
        <w:rPr>
          <w:rFonts w:ascii="Arial" w:cs="Arial" w:eastAsia="Arial" w:hAnsi="Arial"/>
          <w:sz w:val="17"/>
          <w:szCs w:val="17"/>
          <w:u w:val="single" w:color="auto"/>
          <w:color w:val="auto"/>
        </w:rPr>
        <w:t>Exhibit B-1</w:t>
      </w:r>
      <w:r>
        <w:rPr>
          <w:rFonts w:ascii="Arial" w:cs="Arial" w:eastAsia="Arial" w:hAnsi="Arial"/>
          <w:sz w:val="17"/>
          <w:szCs w:val="17"/>
          <w:color w:val="auto"/>
        </w:rPr>
        <w:t xml:space="preserve"> to this Indenture or such other certificate as may be specified by the Company with respect to any series of Securities pursuant to Section 301, dated no earlier than 15 calendar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canceled.</w:t>
      </w:r>
    </w:p>
    <w:p>
      <w:pPr>
        <w:spacing w:after="0" w:line="18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or formula,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w:t>
      </w:r>
    </w:p>
    <w:p>
      <w:pPr>
        <w:spacing w:after="0" w:line="176" w:lineRule="exact"/>
        <w:rPr>
          <w:sz w:val="20"/>
          <w:szCs w:val="20"/>
          <w:color w:val="auto"/>
        </w:rPr>
      </w:pPr>
    </w:p>
    <w:p>
      <w:pPr>
        <w:ind w:left="660" w:hanging="224"/>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Opinion of Counsel stating that</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87"/>
        </w:numPr>
        <w:rPr>
          <w:rFonts w:ascii="Arial" w:cs="Arial" w:eastAsia="Arial" w:hAnsi="Arial"/>
          <w:sz w:val="17"/>
          <w:szCs w:val="17"/>
          <w:color w:val="auto"/>
        </w:rPr>
      </w:pPr>
      <w:r>
        <w:rPr>
          <w:rFonts w:ascii="Arial" w:cs="Arial" w:eastAsia="Arial" w:hAnsi="Arial"/>
          <w:sz w:val="17"/>
          <w:szCs w:val="17"/>
          <w:color w:val="auto"/>
        </w:rPr>
        <w:t>the form or forms of such Securities and any coupons have been established in conformity with the provisions of this Indenture;</w:t>
      </w:r>
    </w:p>
    <w:p>
      <w:pPr>
        <w:spacing w:after="0" w:line="128" w:lineRule="exact"/>
        <w:rPr>
          <w:rFonts w:ascii="Arial" w:cs="Arial" w:eastAsia="Arial" w:hAnsi="Arial"/>
          <w:sz w:val="17"/>
          <w:szCs w:val="17"/>
          <w:color w:val="auto"/>
        </w:rPr>
      </w:pPr>
    </w:p>
    <w:p>
      <w:pPr>
        <w:ind w:left="1240" w:hanging="253"/>
        <w:spacing w:after="0"/>
        <w:tabs>
          <w:tab w:leader="none" w:pos="1240" w:val="left"/>
        </w:tabs>
        <w:numPr>
          <w:ilvl w:val="1"/>
          <w:numId w:val="87"/>
        </w:numPr>
        <w:rPr>
          <w:rFonts w:ascii="Arial" w:cs="Arial" w:eastAsia="Arial" w:hAnsi="Arial"/>
          <w:sz w:val="17"/>
          <w:szCs w:val="17"/>
          <w:color w:val="auto"/>
        </w:rPr>
      </w:pPr>
      <w:r>
        <w:rPr>
          <w:rFonts w:ascii="Arial" w:cs="Arial" w:eastAsia="Arial" w:hAnsi="Arial"/>
          <w:sz w:val="17"/>
          <w:szCs w:val="17"/>
          <w:color w:val="auto"/>
        </w:rPr>
        <w:t>the terms of such Securities and any coupons have been established in conformity with the provisions of this Indenture; and</w:t>
      </w:r>
    </w:p>
    <w:p>
      <w:pPr>
        <w:spacing w:after="0" w:line="128" w:lineRule="exact"/>
        <w:rPr>
          <w:rFonts w:ascii="Arial" w:cs="Arial" w:eastAsia="Arial" w:hAnsi="Arial"/>
          <w:sz w:val="17"/>
          <w:szCs w:val="17"/>
          <w:color w:val="auto"/>
        </w:rPr>
      </w:pPr>
    </w:p>
    <w:p>
      <w:pPr>
        <w:ind w:left="980" w:right="20" w:firstLine="7"/>
        <w:spacing w:after="0" w:line="273" w:lineRule="auto"/>
        <w:tabs>
          <w:tab w:leader="none" w:pos="1225" w:val="left"/>
        </w:tabs>
        <w:numPr>
          <w:ilvl w:val="1"/>
          <w:numId w:val="87"/>
        </w:numPr>
        <w:rPr>
          <w:rFonts w:ascii="Arial" w:cs="Arial" w:eastAsia="Arial" w:hAnsi="Arial"/>
          <w:sz w:val="17"/>
          <w:szCs w:val="17"/>
          <w:color w:val="auto"/>
        </w:rPr>
      </w:pPr>
      <w:r>
        <w:rPr>
          <w:rFonts w:ascii="Arial" w:cs="Arial" w:eastAsia="Arial" w:hAnsi="Arial"/>
          <w:sz w:val="17"/>
          <w:szCs w:val="17"/>
          <w:color w:val="auto"/>
        </w:rPr>
        <w:t>such Securities, together with any coupons appertaining thereto,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legally binding obligations of the Company, enforceable in accordance with their terms, subject to applicable bankruptcy, insolvency, fraudulent transfer, reorganization and other similar laws of general applicability relating to or affecting the enforcement of creditors’ rights generally and to general equitable principles; and</w:t>
      </w:r>
    </w:p>
    <w:p>
      <w:pPr>
        <w:spacing w:after="0" w:line="178" w:lineRule="exact"/>
        <w:rPr>
          <w:sz w:val="20"/>
          <w:szCs w:val="20"/>
          <w:color w:val="auto"/>
        </w:rPr>
      </w:pPr>
    </w:p>
    <w:p>
      <w:pPr>
        <w:ind w:right="40" w:firstLine="436"/>
        <w:spacing w:after="0" w:line="263"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Officers’ Certificate stating that all conditions precedent provided for in this Indenture relating to the issuance of the Securities have been complied with and that, to the best of the knowledge of the signers of such certificate, that no Event of Default with respect to any of the Securities shall have occurred and be continuing.</w:t>
      </w:r>
    </w:p>
    <w:p>
      <w:pPr>
        <w:spacing w:after="0" w:line="18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If such form or terms have been so established, the Trustee shall not be required to authenticate such Securities (or to enter into the related supplemental indenture, if applicable) if the issue of such Securities pursuant to this Indenture will affect the Trustee’s own rights, duties, obligations or immunities under the Securities and this Indenture or otherwise in a manner which is not reasonably acceptable to the Trustee.</w:t>
      </w:r>
    </w:p>
    <w:p>
      <w:pPr>
        <w:spacing w:after="0" w:line="16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Notwithstanding the provisions of Section 301 and of the preceding paragraph, if all the Securities of any series are not to be issued at one time, it shall not be necessary to deliver an Officers’ Certificate otherwise required pursuant to Section 301 or a Company Order, or an Opinion of Counsel or an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100" w:name="page101"/>
    <w:bookmarkEnd w:id="100"/>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Registered Security shall be dated the date of its authentication and each Bearer Security shall be dated as of the date specified as contemplated by Section 301.</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No Security or coupon shall be entitled to any benefit under this Indenture or be valid or obligatory for any purpose unless there appears on such Security or Security to which such coupon appertains a certificate of authentication substantially in the form provided for herein duly executed by the Trustee (subject to Section 611)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(including a Global Security) shall have been 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117" w:lineRule="exact"/>
        <w:rPr>
          <w:sz w:val="20"/>
          <w:szCs w:val="20"/>
          <w:color w:val="auto"/>
        </w:rPr>
      </w:pPr>
    </w:p>
    <w:p>
      <w:pPr>
        <w:ind w:right="160" w:firstLine="436"/>
        <w:spacing w:after="0" w:line="255" w:lineRule="auto"/>
        <w:tabs>
          <w:tab w:leader="none" w:pos="685"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9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Except in the case of temporary Global Securities (which shall be exchanged as otherwise provided herein or as otherwise provided in or pursuant to a Board Resolution or supplemental indenture pursuant to Section 301),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non-matured coupons appertaining thereto), the Company shall execute (in accordance with a Company Order delivered at or prior to the authentication of the first definitive security to such series) and the Trustee shall authenticate and deliver in exchange therefor a like principal amount of definitive Securities of the same series of authorized denominations;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definitive Bearer Security shall be delivered in exchange for a temporary Registered Security;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172" w:lineRule="exact"/>
        <w:rPr>
          <w:sz w:val="20"/>
          <w:szCs w:val="20"/>
          <w:color w:val="auto"/>
        </w:rPr>
      </w:pPr>
    </w:p>
    <w:p>
      <w:pPr>
        <w:ind w:firstLine="436"/>
        <w:spacing w:after="0" w:line="296" w:lineRule="auto"/>
        <w:tabs>
          <w:tab w:leader="none" w:pos="695" w:val="left"/>
        </w:tabs>
        <w:numPr>
          <w:ilvl w:val="0"/>
          <w:numId w:val="90"/>
        </w:numPr>
        <w:rPr>
          <w:rFonts w:ascii="Arial" w:cs="Arial" w:eastAsia="Arial" w:hAnsi="Arial"/>
          <w:sz w:val="16"/>
          <w:szCs w:val="16"/>
          <w:color w:val="auto"/>
        </w:rPr>
      </w:pPr>
      <w:r>
        <w:rPr>
          <w:rFonts w:ascii="Arial" w:cs="Arial" w:eastAsia="Arial" w:hAnsi="Arial"/>
          <w:sz w:val="16"/>
          <w:szCs w:val="16"/>
          <w:color w:val="auto"/>
        </w:rPr>
        <w:t>Unless otherwise provided in or pursuant to a Board Resolution or supplemental indenture pursuant to Section 301, the following provisions of this Section 304(b) shall govern the exchange of temporary Securities other than through the facilities of the DTC. If any such temporary Security is issued in global form, then such temporary Global Security shall, unless otherwise provided therein, be delivered to the London office of a depository or common depository upon and pursuant to written direction of the Company (the “Common Depository”), for the benefit of Euroclear and Clearstream, for credit to the respective accounts of the beneficial owners of such Securities (or to such other accounts as they may direct).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01" w:name="page102"/>
    <w:bookmarkEnd w:id="101"/>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Without unnecessary delay but in any event not later than the date specified in, or determined pursuant to the terms of, any such temporary Global Security (the “Exchange Date”), the Company shall deliver to the Trustee definitive Securities, in aggregate principal amount equal to the principal amount of such temporary Global Security, executed by the Company. On or after the Exchange Date, such temporary Global Security shall be surrendered by the Common Depository to the Trustee, as the Company’s agent for such purpose, to be exchanged, in whole or from time to time in part, for definitive Securities without charge, and the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(as directed by or pursuant to information provided by the Common Depository);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unless otherwise specified in such temporary Global Security, upon such presentation by the Common Depository, such temporary Global Security shall be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w:t>
      </w:r>
      <w:r>
        <w:rPr>
          <w:rFonts w:ascii="Arial" w:cs="Arial" w:eastAsia="Arial" w:hAnsi="Arial"/>
          <w:sz w:val="17"/>
          <w:szCs w:val="17"/>
          <w:u w:val="single" w:color="auto"/>
          <w:color w:val="auto"/>
        </w:rPr>
        <w:t>Exhibit B-2</w:t>
      </w:r>
      <w:r>
        <w:rPr>
          <w:rFonts w:ascii="Arial" w:cs="Arial" w:eastAsia="Arial" w:hAnsi="Arial"/>
          <w:sz w:val="17"/>
          <w:szCs w:val="17"/>
          <w:color w:val="auto"/>
        </w:rPr>
        <w:t xml:space="preserve"> to this Indenture or in such other form as may be established pursuant to Section 301;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definitive Bearer Securities shall be delivered in exchange for a portion of a temporary Global Security only in compliance with the requirements of Section 303.</w:t>
      </w:r>
    </w:p>
    <w:p>
      <w:pPr>
        <w:spacing w:after="0" w:line="18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 xml:space="preserve">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to this Indenture (or in such other form as may be established pursuant to Section 301), dated no earlier than 15 calendar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unless such Person takes delivery of such definitive Securities in person at the offices of Euroclear or Clearstream. Definitive Securities in bearer form to be delivered in exchange for any portion of a temporary Global Security shall be delivered only to an address located outside the United States.</w:t>
      </w:r>
    </w:p>
    <w:p>
      <w:pPr>
        <w:spacing w:after="0" w:line="16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Euroclear and Clearstream on such Interest Payment Date upon delivery by Euroclear and Clearstream to the Trustee of a certificate or certificates in the form set forth in </w:t>
      </w:r>
      <w:r>
        <w:rPr>
          <w:rFonts w:ascii="Arial" w:cs="Arial" w:eastAsia="Arial" w:hAnsi="Arial"/>
          <w:sz w:val="16"/>
          <w:szCs w:val="16"/>
          <w:u w:val="single" w:color="auto"/>
          <w:color w:val="auto"/>
        </w:rPr>
        <w:t>Exhibit B-2</w:t>
      </w:r>
      <w:r>
        <w:rPr>
          <w:rFonts w:ascii="Arial" w:cs="Arial" w:eastAsia="Arial" w:hAnsi="Arial"/>
          <w:sz w:val="16"/>
          <w:szCs w:val="16"/>
          <w:color w:val="auto"/>
        </w:rPr>
        <w:t xml:space="preserve"> to this Indenture (or in such other forms as may be established pursuant to Section 301), for credit without further interest on or after such Interest Payment Date to the respective accounts of Persons who are the beneficial owners of such temporary Global Security on such Interest Payment Date and who have each delivered to Euroclear or Clearstream, as the case may be, a certificate dated no earlier than 15 calendar days prior to the Interest Payment Date occurring prior to such Exchange Date in the form set forth as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to this Indenture (or in such other forms as may be established pursuant to Section 301). Notwithstanding anything to the contrary herein contained, the certifications made pursuant to this paragraph shall satisfy the certification requirements of the preceding two paragraphs of this Section 304(b) and of the third paragraph of Section 303 of this Indenture and the interests of the Persons who are the beneficial owners of the temporary Global Security with respect to which such certification was made will be exchanged for definitive Securities of the same series and of like tenor on the Exchange Date or the date of certification if such date occurs after the Exchange Date, without further act or deed by such beneficial owners. Except as otherwise provided in this paragraph, no payments of principal or interest owing with respect to a beneficial interest in a temporary Global Security will be made unless and until such interest in such temporary Global Security shall have been exchanged for an interest in a definitive Security. Any interest so received by Euroclear and Clearstream and not paid as herein provided shall be returned to the Trustee prior to the expiration of two years after such Interest Payment Date in order to be repaid to the Company.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02" w:name="page103"/>
    <w:bookmarkEnd w:id="102"/>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respect to Exhibit B-1 or B-2 to this Indenture, the Company may, in its discretion and if required or desirable under applicable law, substitute one or more other forms of such exhibits for such exhibits, eliminate the requirement that any or all certificate be provided, or change the time that any certificate may be required,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substitute form or forms or notice of elimination or change of such certification requirement have theretofore been delivered to the Trustee with a Company Request and such form or forms, elimination or change is reasonably acceptable to the Trustee.</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Registration, Registration of Transfer, Conversion and Exchange</w:t>
      </w:r>
      <w:r>
        <w:rPr>
          <w:rFonts w:ascii="Arial" w:cs="Arial" w:eastAsia="Arial" w:hAnsi="Arial"/>
          <w:sz w:val="16"/>
          <w:szCs w:val="16"/>
          <w:color w:val="auto"/>
        </w:rPr>
        <w:t>. 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“Security Register”)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In the event that the Trustee shall cease to be Security Registrar, it shall have the right to examine, and be provided a copy of, the Security Register at all reasonable times.</w:t>
      </w:r>
    </w:p>
    <w:p>
      <w:pPr>
        <w:spacing w:after="0" w:line="16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Subject to the provisions of this Section 305, 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Subject to the provisions of this Section 305, 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such Registered Securities are so surrendered for exchange, the Company shall execute, and the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17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If (but only if) permitted by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(or to the Trustee for the Security in case of matured coupons in default)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103" w:name="page104"/>
    <w:bookmarkEnd w:id="103"/>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proposed date for payment, as the case may be, in respect of the Registered Security issued in exchange for such Bearer Security, but will be payable only to the Holder of such coupon when due in accordance with the provisions of this Indenture. Whenever any Securities are so surrendered for exchange, the Company shall execute, and the Trustee shall authenticate and deliver, the Securities which the Holder making the exchange is entitled to receive.</w:t>
      </w:r>
    </w:p>
    <w:p>
      <w:pPr>
        <w:spacing w:after="0" w:line="18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Notwithstanding the foregoing, except as otherwise specified as contemplated by Section 301, any permanent Global Security shall be exchangeable only as provided in this paragraph. If the depository for any permanent Global Security is DTC, then, unless the terms of such Global Security expressly permit such Global Security to be exchanged in whole or in part for definitive Securities, a Global Security may be transferred, in whole but not in part, only to a nominee of DTC, or by a nominee of DTC to DTC, or to a successor to DTC for such Global Security selected or approved by the Company or to a nominee of such successor to DTC. If at any time DTC notifies the Company that it is unwilling or unable to continue as depository for the applicable Global Security or Securities or if at any time DTC ceases to be a clearing agency registered under the Exchange Act if so required by applicable law or regulation, the Company shall appoint a successor depository with respect to such Global Security or Securities. If (w) a successor depository for such Global Security or Securities is not appointed by the Company within 90 calendar days after the Company receives such notice or becomes aware of such unwillingness, inability or ineligibility, (x) the Company delivers to the Trustee for Securities of such series in registered form a Company Order stating that the Securities of such series shall be exchangeable, (y) an Event of Default has occurred and is continuing and the beneficial owners representing a majority in principal amount of the applicable series of Securities represented by such Global Security or Securities advise DTC to cease acting as depository for such Global Security or Securities or (z) the Company, in its sole discretion, determines at any time that all Outstanding Securities (but not less than all) of any series issued or issuable in the form of one or more Global Securities shall no longer be represented by such Global Security or Securities, then the Company shall execute, and the Trustee shall authenticate and deliver definitive Securities of like series, rank, tenor and terms in definitive form in an aggregate principal amount equal to the principal amount of such Global Security or Securities. If any beneficial owner of an interest in a permanent global Security is otherwise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execute, and the Trustee shall authenticate and deliver definitive Securities in aggregate principal amount equal to the principal amount of such beneficial owner’s interest in such permanent Global Security. On or after the earliest date on which such interests may be so exchanged, such permanent Global Security shall be surrendered for exchange by DTC or such other depository as shall be specified in the Company Order with respect thereto to the Trustee, as the Company’s agent for such purpose;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such exchanges may occur during a period beginning at the opening of business 15 calendar days before any selection of Securities to be redeemed and ending on the relevant Redemption Date if the Security for which exchange is requested may be among those selected for redemption;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Bearer Security delivered in exchange for a portion of a permanent Global Security shall be mailed or otherwise delivered to any location in the United States.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200" w:lineRule="exact"/>
        <w:rPr>
          <w:sz w:val="20"/>
          <w:szCs w:val="20"/>
          <w:color w:val="auto"/>
        </w:rPr>
      </w:pPr>
    </w:p>
    <w:p>
      <w:pPr>
        <w:spacing w:after="0" w:line="20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All Securities issued upon any registration of transfer or conversion or exchange of Securities shall be the valid obligations of the Company, evidencing the same debt, and entitled to the same benefits under this Indenture, as the Securities surrendered upon such registration of transfer or conversion or exchange.</w:t>
      </w:r>
    </w:p>
    <w:p>
      <w:pPr>
        <w:spacing w:after="0" w:line="18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Every Registered Security presented or surrendered for registration of transfer or for conversion, exchange or redemption shall (if so required by the Company or the Security Registrar) be duly endorsed, or be accompanied by a written instrument of transfer in form satisfactory to the Company and the Security Registrar, duly executed by the Holder thereof or his attorney duly authorized in writing.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04" w:name="page105"/>
    <w:bookmarkEnd w:id="104"/>
    <w:p>
      <w:pPr>
        <w:ind w:right="3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service charge shall be made to the Holder for any registration of transfer or conversion or exchange of Securities, but the Company may require payment of a sum sufficient to cover any tax or other governmental charge that may be imposed in connection with any registration of transfer or conversion or exchange of Securities, other than exchanges pursuant to Section 304, 906, 1107 or 1305 not involving any transfer.</w:t>
      </w:r>
    </w:p>
    <w:p>
      <w:pPr>
        <w:spacing w:after="0" w:line="165"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 xml:space="preserve">The Company or the Trustee, as applicable, shall not be required (i) to issue, register the transfer of or exchange any Security if such Security may be among those selected for redemption during a period beginning at the opening of business 15 calendar days before selection of the Securities to be redeemed under Section 1103 and ending at the close of business on (A) if such Securities are issuable only as Registered Securities, the day of the mailing of the relevant notice of redemption and (B) if such Securities are issuable as Bearer Securities, the day of the first publication of the relevant notice of redemption or, if such Securities are also issuable as Registered Securities and there is no publication, the mailing of the relevant notice of redemption, or (ii) to register the transfer of or exchange any Registered Security so selected for redemption in whole or in part, except, in the case of any Registered Security to be redeemed in part, the portion thereof not to be redeemed, or (iii) to exchange any Bearer Security so selected for redemption except that such a Bearer Security may be exchanged for a Registered Security of that series and like tenor,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Registered Security shall be simultaneously surrendered for redemption, or (iv) to issue, register the transfer of or exchange any Security which has been surrendered for repayment at the option of the Holder, except the portion, if any, of such Security not to be so repaid.</w:t>
      </w:r>
    </w:p>
    <w:p>
      <w:pPr>
        <w:spacing w:after="0" w:line="16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Furthermore, notwithstanding any other provision of this Section 305, the Company will not be required to exchange any Securities if, as a result of the exchange, the Company would suffer adverse consequences under any United States law or regulation.</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Mutilated, Destroyed, Lost and Stolen Securities</w:t>
      </w:r>
      <w:r>
        <w:rPr>
          <w:rFonts w:ascii="Arial" w:cs="Arial" w:eastAsia="Arial" w:hAnsi="Arial"/>
          <w:sz w:val="17"/>
          <w:szCs w:val="17"/>
          <w:color w:val="auto"/>
        </w:rPr>
        <w:t xml:space="preserve"> . If any mutilated Security or a Security with a mutilated coupon appertaining to it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with coupons corresponding to the coupons, if any, appertaining to the surrendered Security.</w:t>
      </w:r>
    </w:p>
    <w:p>
      <w:pPr>
        <w:spacing w:after="0" w:line="17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If there shall be delivered to the Company and to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its request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principal amount, containing identical terms and provisions and bearing a number not contemporaneously outstanding, with coupons corresponding to the coupons, if any, appertaining to such destroyed, lost or stolen Security or to the Security to which such destroyed, lost or stolen coupon appertains.</w:t>
      </w:r>
    </w:p>
    <w:p>
      <w:pPr>
        <w:spacing w:after="0" w:line="16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destroyed, lost or stolen Security or to the Security to which such destroyed, lost or stolen coupon appertains, pay such Security or coupon if the applicant for such payment shall furnish to the Company and the Trustee for such Security such security or indemnity as may be required by them to save each of them harmless, and in the case of destruction, loss or theft, evidence satisfactory to the Company and Trustee and any agent of any of them of the destruction, loss or theft of such Security and the ownership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payment of principal of (and premium or Make-Whole Amount, if any), and interest, if any, on, Bearer Securities shall, except as otherwise provided in Section 1002,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105" w:name="page106"/>
    <w:bookmarkEnd w:id="105"/>
    <w:p>
      <w:pPr>
        <w:ind w:right="6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Payment of Interest; Interest Rights Preserved</w:t>
      </w:r>
      <w:r>
        <w:rPr>
          <w:rFonts w:ascii="Arial" w:cs="Arial" w:eastAsia="Arial" w:hAnsi="Arial"/>
          <w:sz w:val="17"/>
          <w:szCs w:val="17"/>
          <w:color w:val="auto"/>
        </w:rPr>
        <w:t xml:space="preserve"> .. Except as otherwise specified with respect to a series of Securities in accordance with the provisions of Section 301, interest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payment at the office or agency of the Company maintained for such purpose pursuant to Section 1002;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each installment of interest on any Registered Security may at the Company’s option be paid by (i) mailing a check for such interest, payable to or upon the written order of the Person entitled thereto pursuant to Section 308, to the address of such Person as it appears on the Security Register or (ii) transfer to an account maintained by the payee located inside the United States.</w:t>
      </w:r>
    </w:p>
    <w:p>
      <w:pPr>
        <w:spacing w:after="0" w:line="1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otherwise provided as contemplated by Section 301 with respect to the Securities of any series, payment of interest may be made, in the case of a Bearer Security, by transfer to an account maintained by the payee with a bank located outside the United States.</w:t>
      </w:r>
    </w:p>
    <w:p>
      <w:pPr>
        <w:spacing w:after="0" w:line="17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Unless otherwise provided as contemplated by Section 301, every permanent Global Security will provide that interest, if any, payable on any Interest Payment Date will be paid to DTC, Euroclear and/or Clearstream, as the case may be, with respect to that portion of such permanent Global Security held for its account by Cede &amp; Co. or the Common Depository, as the case may be, for the purpose of permitting such party to credit the interest received by it in respect of such permanent Global Security to the accounts of the beneficial owners thereof.</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case a Bearer Security of any series is surrendered in exchange for a Registered Security of such series after the close of business (at an office or agency in a Place of Payment for such series) on any Regular Record Date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will be payable only to the Holder of such coupon when due in accordance with the provisions of this Indenture.</w:t>
      </w:r>
    </w:p>
    <w:p>
      <w:pPr>
        <w:spacing w:after="0" w:line="17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“Defaulted Interest”) shall forthwith cease to be payable to the registered Holder thereof on the relevant Regular Record Date by virtue of having been such Holder, and such Defaulted Interest may be paid by the Company, at its election in each case, as provided in clause (1) or (2) below:</w:t>
      </w:r>
    </w:p>
    <w:p>
      <w:pPr>
        <w:spacing w:after="0" w:line="171" w:lineRule="exact"/>
        <w:rPr>
          <w:sz w:val="20"/>
          <w:szCs w:val="20"/>
          <w:color w:val="auto"/>
        </w:rPr>
      </w:pPr>
    </w:p>
    <w:p>
      <w:pPr>
        <w:ind w:right="40" w:firstLine="436"/>
        <w:spacing w:after="0" w:line="284" w:lineRule="auto"/>
        <w:tabs>
          <w:tab w:leader="none" w:pos="695"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calendar days after such notice is received by the Trustee), and at the same time the Company shall deposit with the Trustee an amount of money in the currency or currencies, currency unit or units or composite currency or currencies in which the Securities of such series are payable (except as otherwise specified pursuant to</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301 for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106" w:name="page107"/>
    <w:bookmarkEnd w:id="10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of such series)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calendar days and not less than 10 calendar days prior to the date of the proposed payment and not less than 10 calendar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his address as it appears in the Security Register not less than 10 calendar days prior to such Special Record Date. The Trustee may, in its discretion, in the name and at the expense of the Company, cause a similar notice to be published at least once in an Authorized Newspaper in each Place of Payment, but such publications shall not be a condition precedent to the establishment of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 In case a Bearer Security of any series is surrendered at the office or agency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 payment and Defaulted Interest will not be payable on such proposed date of payment in respect of the Registered Security issued in exchange for such Bearer Security, but will be payable only to the Holder of such coupon when due in accordance with the provisions of this Indenture.</w:t>
      </w:r>
    </w:p>
    <w:p>
      <w:pPr>
        <w:spacing w:after="0" w:line="171" w:lineRule="exact"/>
        <w:rPr>
          <w:sz w:val="20"/>
          <w:szCs w:val="20"/>
          <w:color w:val="auto"/>
        </w:rPr>
      </w:pPr>
    </w:p>
    <w:p>
      <w:pPr>
        <w:ind w:right="200" w:firstLine="436"/>
        <w:spacing w:after="0" w:line="259"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Registered Securities of any series in any other lawful manner not inconsistent with the requirements of any over-the-counter market or securities exchange on which such Securities may be quoted or listed, and upon such notice as may be required by such market or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Subject to the foregoing provisions of this Section and Section 305, each Security delivered under this Indenture upon registration of transfer of or upon conversion of or in exchange for or in lieu of any other Security shall carry the rights to interest accrued and unpaid, and to accrue, which were carried by such other Security.</w:t>
      </w:r>
    </w:p>
    <w:p>
      <w:pPr>
        <w:spacing w:after="0" w:line="1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Persons Deemed Owners</w:t>
      </w:r>
      <w:r>
        <w:rPr>
          <w:rFonts w:ascii="Arial" w:cs="Arial" w:eastAsia="Arial" w:hAnsi="Arial"/>
          <w:sz w:val="18"/>
          <w:szCs w:val="18"/>
          <w:color w:val="auto"/>
        </w:rPr>
        <w:t xml:space="preserve"> . Prior to due presentment of a Registered Security for registration of transfer, the Company, the Trustee and any agent of the Company or the Trustee may treat the Person in whose name such Registered Security is registered as the owner of such Security for the purpose of receiving payment of principal of (and premium or Make-Whole Amount, if any), and (subject to Sections 305 and 307) interest on, such Registered Security and for all other purposes whatsoever, whether or not such Registered Security be overdue, and neither the Company, the Trustee nor any agent of the Company or the Trustee shall be affected by notice to the contrary. All such payments so made to any such Person, or upon such Person’s order, shall be valid, and, to the extent of the sum or sums so paid, effectual to satisfy and discharge the liability for money payable upon any such Security.</w:t>
      </w:r>
    </w:p>
    <w:p>
      <w:pPr>
        <w:spacing w:after="0" w:line="19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Title to any Bearer Security and any coupons appertaining thereto shall pass by delivery. The Company, the Trustee and any agent of the Company or the Trustee may treat the Holder of any Bearer Security and the Holder of any coupon as the absolute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5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No holder of any beneficial interest in any Global Security held on its behalf by a depository shall have any rights under this Indenture with respect to such Global Security and such depository (which is the Holder of such security) shall be treated by the Company, the Trustee, and any agent of the Company or the Trustee as the owner of such Global Security for all purposes whatsoever. 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107" w:name="page108"/>
    <w:bookmarkEnd w:id="107"/>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with respect to any Global Security, nothing herein shall prevent the Company, the Trustee, or any agent of the Company or the Trustee, from giving effect to any written certification, proxy or other authorization furnished by any depository, as a Holder, with respect to such Global Security or impair, as between such depository and owners of beneficial interests in such Global Security, the operation of customary practices governing the exercise of the rights of such depository (or its nominee) as Holder of such Global Security.</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Cancellation</w:t>
      </w:r>
      <w:r>
        <w:rPr>
          <w:rFonts w:ascii="Arial" w:cs="Arial" w:eastAsia="Arial" w:hAnsi="Arial"/>
          <w:sz w:val="16"/>
          <w:szCs w:val="16"/>
          <w:color w:val="auto"/>
        </w:rPr>
        <w:t xml:space="preserve"> . All Securities and coupons surrendered for payment, redemption, repayment at the option of the Holder, registration of transfer or conversion or exchange or for credit against any sinking fund payment shall, if surrendered to any Person other than the Trustee, be delivered to the Trustee, and any such Securities and coupons and Securities and coupons surrendered directly to the Trustee for any such purpose, upon direction by the Company,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and coupons held by the Trustee shall be disposed of by the Trustee in accordance with its customary practices (subject to the record retention requirements of the Exchange Act).</w:t>
      </w:r>
    </w:p>
    <w:p>
      <w:pPr>
        <w:spacing w:after="0" w:line="17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 xml:space="preserve"> . Except as otherwise specified as contemplated by Section 301 with respect to Securities of any series, interest on the Securities of each series shall be computed on the basis of a 360-day year consisting of twelve 30-day months.</w:t>
      </w:r>
    </w:p>
    <w:p>
      <w:pPr>
        <w:spacing w:after="0" w:line="17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CUSIP Numbers</w:t>
      </w:r>
      <w:r>
        <w:rPr>
          <w:rFonts w:ascii="Arial" w:cs="Arial" w:eastAsia="Arial" w:hAnsi="Arial"/>
          <w:sz w:val="17"/>
          <w:szCs w:val="17"/>
          <w:color w:val="auto"/>
        </w:rPr>
        <w:t xml:space="preserve">. The Company in issuing the Securities may use “CUSIP” numbers (if then generally in use), and, if so, the Trustee shall use “CUSIP” numbers in notices of redemption as a convenience to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of any change in the “CUSIP” numbers.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FOUR—SATISFACTION AND DISCHARGE</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 This Indenture shall upon Company Request cease to be of further effect with respect to any series of Securities specified in such Company Request (except as to any surviving rights of registration of transfer or conversion or exchange of Securities of such series herein expressly provided for), and the Trustee, upon receipt of a Company Order, and at the expense of the Company, shall execute instruments in form and substance satisfactory to the Trustee and the Company acknowledging satisfaction and discharge of this Indenture as to such series when</w:t>
      </w:r>
    </w:p>
    <w:p>
      <w:pPr>
        <w:spacing w:after="0" w:line="188" w:lineRule="exact"/>
        <w:rPr>
          <w:sz w:val="20"/>
          <w:szCs w:val="20"/>
          <w:color w:val="auto"/>
        </w:rPr>
      </w:pPr>
    </w:p>
    <w:p>
      <w:pPr>
        <w:ind w:left="700" w:hanging="264"/>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440" w:right="60" w:firstLine="419"/>
        <w:spacing w:after="0" w:line="291" w:lineRule="auto"/>
        <w:tabs>
          <w:tab w:leader="none" w:pos="1158" w:val="left"/>
        </w:tabs>
        <w:numPr>
          <w:ilvl w:val="1"/>
          <w:numId w:val="93"/>
        </w:numPr>
        <w:rPr>
          <w:rFonts w:ascii="Arial" w:cs="Arial" w:eastAsia="Arial" w:hAnsi="Arial"/>
          <w:sz w:val="16"/>
          <w:szCs w:val="16"/>
          <w:color w:val="auto"/>
        </w:rPr>
      </w:pPr>
      <w:r>
        <w:rPr>
          <w:rFonts w:ascii="Arial" w:cs="Arial" w:eastAsia="Arial" w:hAnsi="Arial"/>
          <w:sz w:val="16"/>
          <w:szCs w:val="16"/>
          <w:color w:val="auto"/>
        </w:rPr>
        <w:t>all Securities of such series theretofore authenticated and delivered and all coupons, if any, appertaining thereto (other than (i) 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08" w:name="page109"/>
    <w:bookmarkEnd w:id="108"/>
    <w:p>
      <w:pPr>
        <w:ind w:left="440" w:right="20" w:firstLine="419"/>
        <w:spacing w:after="0" w:line="277" w:lineRule="auto"/>
        <w:tabs>
          <w:tab w:leader="none" w:pos="1148"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Securities of such series and, in the case of (i) or (ii) below, any coupons appertaining thereto not theretofore delivered to the Trustee for cancellation</w:t>
      </w:r>
    </w:p>
    <w:p>
      <w:pPr>
        <w:spacing w:after="0" w:line="62" w:lineRule="exact"/>
        <w:rPr>
          <w:rFonts w:ascii="Arial" w:cs="Arial" w:eastAsia="Arial" w:hAnsi="Arial"/>
          <w:sz w:val="18"/>
          <w:szCs w:val="18"/>
          <w:color w:val="auto"/>
        </w:rPr>
      </w:pPr>
    </w:p>
    <w:p>
      <w:pPr>
        <w:ind w:left="1600" w:hanging="212"/>
        <w:spacing w:after="0"/>
        <w:tabs>
          <w:tab w:leader="none" w:pos="16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17" w:lineRule="exact"/>
        <w:rPr>
          <w:rFonts w:ascii="Arial" w:cs="Arial" w:eastAsia="Arial" w:hAnsi="Arial"/>
          <w:sz w:val="18"/>
          <w:szCs w:val="18"/>
          <w:color w:val="auto"/>
        </w:rPr>
      </w:pPr>
    </w:p>
    <w:p>
      <w:pPr>
        <w:ind w:left="1700" w:hanging="272"/>
        <w:spacing w:after="0"/>
        <w:tabs>
          <w:tab w:leader="none" w:pos="1700" w:val="left"/>
        </w:tabs>
        <w:numPr>
          <w:ilvl w:val="2"/>
          <w:numId w:val="94"/>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left="1420" w:right="100" w:firstLine="8"/>
        <w:spacing w:after="0" w:line="342" w:lineRule="auto"/>
        <w:tabs>
          <w:tab w:leader="none" w:pos="1735" w:val="left"/>
        </w:tabs>
        <w:numPr>
          <w:ilvl w:val="2"/>
          <w:numId w:val="94"/>
        </w:numPr>
        <w:rPr>
          <w:rFonts w:ascii="Arial" w:cs="Arial" w:eastAsia="Arial" w:hAnsi="Arial"/>
          <w:sz w:val="16"/>
          <w:szCs w:val="16"/>
          <w:color w:val="auto"/>
        </w:rPr>
      </w:pPr>
      <w:r>
        <w:rPr>
          <w:rFonts w:ascii="Arial" w:cs="Arial" w:eastAsia="Arial" w:hAnsi="Arial"/>
          <w:sz w:val="16"/>
          <w:szCs w:val="16"/>
          <w:color w:val="auto"/>
        </w:rPr>
        <w:t>if redeemable at the option of the Company, are to be called for redemption within one year under arrangements satisfactory to the Trustee for the giving of notice of redemption by the Trustee in the name, and at the expense, of the Company,</w:t>
      </w:r>
    </w:p>
    <w:p>
      <w:pPr>
        <w:spacing w:after="0" w:line="12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and the Company, in the case of (i), (ii) or (iii) above, has irrevocably deposited or caused to be deposited with the Trustee as trust funds in trust for the purpose an amount in the currency or currencies, currency unit or units or composite currency or currencies in which the Securities of such series are payable, sufficient to pay and discharge the entire indebtedness on such Securities and such coupons not theretofore delivered to the Trustee for cancellation, for principal (and premium or Make-Whole Amount, if any) and interest to the date of such deposit (in the case of Securities which have become due and payable) or to the Stated Maturity or Redemption Date, as the case may be;</w:t>
      </w:r>
    </w:p>
    <w:p>
      <w:pPr>
        <w:spacing w:after="0" w:line="68" w:lineRule="exact"/>
        <w:rPr>
          <w:sz w:val="20"/>
          <w:szCs w:val="20"/>
          <w:color w:val="auto"/>
        </w:rPr>
      </w:pPr>
    </w:p>
    <w:p>
      <w:pPr>
        <w:ind w:left="700" w:hanging="264"/>
        <w:spacing w:after="0"/>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117" w:lineRule="exact"/>
        <w:rPr>
          <w:rFonts w:ascii="Arial" w:cs="Arial" w:eastAsia="Arial" w:hAnsi="Arial"/>
          <w:sz w:val="18"/>
          <w:szCs w:val="18"/>
          <w:color w:val="auto"/>
        </w:rPr>
      </w:pPr>
    </w:p>
    <w:p>
      <w:pPr>
        <w:ind w:left="440" w:right="60" w:hanging="4"/>
        <w:spacing w:after="0" w:line="277" w:lineRule="auto"/>
        <w:tabs>
          <w:tab w:leader="none" w:pos="69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and any predecessor Trustee under Section 606, the obligations of the Company to any Authenticating Agent under Section 611 and, if money shall have been deposited with and held by the Trustee pursuant to subclause (B) of clause (1) of this Section, the obligations of the Trustee under Section 402 and the last paragraph of Section 1003 shall survive such satisfaction and discharge.</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Application of Trust Funds</w:t>
      </w:r>
      <w:r>
        <w:rPr>
          <w:rFonts w:ascii="Arial" w:cs="Arial" w:eastAsia="Arial" w:hAnsi="Arial"/>
          <w:sz w:val="16"/>
          <w:szCs w:val="16"/>
          <w:color w:val="auto"/>
        </w:rPr>
        <w:t>. 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premium or Make-Whole Amount, if any), and any interest for whose payment such money has been deposited with or received by the Trustee, but such money need not be segregated from other funds except to the extent required by law.</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FIVE—REMEDIES</w:t>
      </w:r>
    </w:p>
    <w:p>
      <w:pPr>
        <w:spacing w:after="0" w:line="225"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Events of Default</w:t>
      </w:r>
      <w:r>
        <w:rPr>
          <w:rFonts w:ascii="Arial" w:cs="Arial" w:eastAsia="Arial" w:hAnsi="Arial"/>
          <w:sz w:val="16"/>
          <w:szCs w:val="16"/>
          <w:color w:val="auto"/>
        </w:rPr>
        <w:t>. “Event of Default,”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41" w:lineRule="exact"/>
        <w:rPr>
          <w:sz w:val="20"/>
          <w:szCs w:val="20"/>
          <w:color w:val="auto"/>
        </w:rPr>
      </w:pPr>
    </w:p>
    <w:p>
      <w:pPr>
        <w:ind w:left="440" w:right="480" w:hanging="4"/>
        <w:spacing w:after="0" w:line="277" w:lineRule="auto"/>
        <w:tabs>
          <w:tab w:leader="none" w:pos="6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or of any coupon appertaining thereto, when such interest or coupon becomes due and payable, and continuance of such default for a period of 30 calendar days; or</w:t>
      </w:r>
    </w:p>
    <w:p>
      <w:pPr>
        <w:spacing w:after="0" w:line="62" w:lineRule="exact"/>
        <w:rPr>
          <w:rFonts w:ascii="Arial" w:cs="Arial" w:eastAsia="Arial" w:hAnsi="Arial"/>
          <w:sz w:val="18"/>
          <w:szCs w:val="18"/>
          <w:color w:val="auto"/>
        </w:rPr>
      </w:pPr>
    </w:p>
    <w:p>
      <w:pPr>
        <w:ind w:left="440" w:right="240" w:hanging="4"/>
        <w:spacing w:after="0" w:line="277" w:lineRule="auto"/>
        <w:tabs>
          <w:tab w:leader="none" w:pos="6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or Make-Whole Amount, if any, on) any Security of that series when it becomes due and payable at its Maturity; or</w:t>
      </w:r>
    </w:p>
    <w:p>
      <w:pPr>
        <w:spacing w:after="0" w:line="62" w:lineRule="exact"/>
        <w:rPr>
          <w:rFonts w:ascii="Arial" w:cs="Arial" w:eastAsia="Arial" w:hAnsi="Arial"/>
          <w:sz w:val="18"/>
          <w:szCs w:val="18"/>
          <w:color w:val="auto"/>
        </w:rPr>
      </w:pPr>
    </w:p>
    <w:p>
      <w:pPr>
        <w:ind w:left="440" w:right="200" w:hanging="4"/>
        <w:spacing w:after="0" w:line="277" w:lineRule="auto"/>
        <w:tabs>
          <w:tab w:leader="none" w:pos="6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to the extent applicable to such series of Securities, when and as due by the terms of any Security of that series;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274" w:right="499" w:bottom="1440" w:gutter="0" w:footer="0" w:header="0"/>
        </w:sectPr>
      </w:pPr>
    </w:p>
    <w:bookmarkStart w:id="109" w:name="page110"/>
    <w:bookmarkEnd w:id="109"/>
    <w:p>
      <w:pPr>
        <w:ind w:right="80" w:firstLine="436"/>
        <w:spacing w:after="0" w:line="273" w:lineRule="auto"/>
        <w:tabs>
          <w:tab w:leader="none" w:pos="695" w:val="left"/>
        </w:tabs>
        <w:numPr>
          <w:ilvl w:val="0"/>
          <w:numId w:val="9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 in the performance, or breach, of any covenant or warranty of the Company in this Indenture with respect to any Security of that series (other than a covenant or warranty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90 calendar days after there has been given, by registered or certified mail, to the Company by the Trustee or to the Company and the Trustee by the Holders of at least 33% in principal amount of the Outstanding Securities of that series a written notice specifying such default or breach and requiring it to be remedied and stating that such notice is a “Notice of Default” hereunder; or</w:t>
      </w:r>
    </w:p>
    <w:p>
      <w:pPr>
        <w:spacing w:after="0" w:line="177" w:lineRule="exact"/>
        <w:rPr>
          <w:rFonts w:ascii="Arial" w:cs="Arial" w:eastAsia="Arial" w:hAnsi="Arial"/>
          <w:sz w:val="17"/>
          <w:szCs w:val="17"/>
          <w:color w:val="auto"/>
        </w:rPr>
      </w:pPr>
    </w:p>
    <w:p>
      <w:pPr>
        <w:ind w:right="20" w:firstLine="436"/>
        <w:spacing w:after="0" w:line="287" w:lineRule="auto"/>
        <w:tabs>
          <w:tab w:leader="none" w:pos="695"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default under any bond, debenture, note, mortgage, indenture or instrument under which there may be issued or by which there may be secured or evidenced any indebtedness for money borrowed by the Company (or by any Subsidiary, the repayment of which the Company has guaranteed or for which the Company is directly responsible or liable as obligor or guarantor), having an aggregate principal amount outstanding of a minimum amount to be specified in a prospectus supplement, whether such indebtedness now exists or shall hereafter be created, which default shall have resulted in such indebtedness becoming or being declared due and payable prior to the date on which it would otherwise have become due and payable, without such indebtedness having been discharged, or such acceleration having been rescinded or annulled, within a period of 30 calendar days after there shall have been given, by registered or certified mail, to the Company by the Trustee or to the Company and the Trustee by the Holders of at least 10% in principal amount of the Outstanding Securities of that series a written notice specifying such default and requiring the Company to cause such indebtedness to be discharged or cause such acceleration to be rescinded or annulled and stating that such notice is a “Notice of Default”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subject to the provisions of Sections 601 and 602, the Trustee shall not be deemed to have knowledge of such default unless either (A) a Responsible Officer of the Trustee shall have knowledge of such default or (B) the Trustee shall have received written notice thereof from the Company, from any Holder, from the holder of any such indebtedness or from the trustee under any such mortgage, indenture or other instrument; or</w:t>
      </w:r>
    </w:p>
    <w:p>
      <w:pPr>
        <w:spacing w:after="0" w:line="167" w:lineRule="exact"/>
        <w:rPr>
          <w:rFonts w:ascii="Arial" w:cs="Arial" w:eastAsia="Arial" w:hAnsi="Arial"/>
          <w:sz w:val="16"/>
          <w:szCs w:val="16"/>
          <w:color w:val="auto"/>
        </w:rPr>
      </w:pPr>
    </w:p>
    <w:p>
      <w:pPr>
        <w:ind w:left="700" w:hanging="264"/>
        <w:spacing w:after="0"/>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Bankruptcy Law:</w:t>
      </w:r>
    </w:p>
    <w:p>
      <w:pPr>
        <w:spacing w:after="0" w:line="117" w:lineRule="exact"/>
        <w:rPr>
          <w:rFonts w:ascii="Arial" w:cs="Arial" w:eastAsia="Arial" w:hAnsi="Arial"/>
          <w:sz w:val="18"/>
          <w:szCs w:val="18"/>
          <w:color w:val="auto"/>
        </w:rPr>
      </w:pPr>
    </w:p>
    <w:p>
      <w:pPr>
        <w:ind w:left="1280" w:hanging="293"/>
        <w:spacing w:after="0"/>
        <w:tabs>
          <w:tab w:leader="none" w:pos="12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117" w:lineRule="exact"/>
        <w:rPr>
          <w:rFonts w:ascii="Arial" w:cs="Arial" w:eastAsia="Arial" w:hAnsi="Arial"/>
          <w:sz w:val="18"/>
          <w:szCs w:val="18"/>
          <w:color w:val="auto"/>
        </w:rPr>
      </w:pPr>
    </w:p>
    <w:p>
      <w:pPr>
        <w:ind w:left="1280" w:hanging="293"/>
        <w:spacing w:after="0"/>
        <w:tabs>
          <w:tab w:leader="none" w:pos="12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1280" w:hanging="293"/>
        <w:spacing w:after="0"/>
        <w:tabs>
          <w:tab w:leader="none" w:pos="12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 or</w:t>
      </w:r>
    </w:p>
    <w:p>
      <w:pPr>
        <w:spacing w:after="0" w:line="117" w:lineRule="exact"/>
        <w:rPr>
          <w:rFonts w:ascii="Arial" w:cs="Arial" w:eastAsia="Arial" w:hAnsi="Arial"/>
          <w:sz w:val="18"/>
          <w:szCs w:val="18"/>
          <w:color w:val="auto"/>
        </w:rPr>
      </w:pPr>
    </w:p>
    <w:p>
      <w:pPr>
        <w:ind w:left="1280" w:hanging="293"/>
        <w:spacing w:after="0"/>
        <w:tabs>
          <w:tab w:leader="none" w:pos="12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280" w:hanging="293"/>
        <w:spacing w:after="0"/>
        <w:tabs>
          <w:tab w:leader="none" w:pos="12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an involuntary case,</w:t>
      </w:r>
    </w:p>
    <w:p>
      <w:pPr>
        <w:spacing w:after="0" w:line="117" w:lineRule="exact"/>
        <w:rPr>
          <w:rFonts w:ascii="Arial" w:cs="Arial" w:eastAsia="Arial" w:hAnsi="Arial"/>
          <w:sz w:val="18"/>
          <w:szCs w:val="18"/>
          <w:color w:val="auto"/>
        </w:rPr>
      </w:pPr>
    </w:p>
    <w:p>
      <w:pPr>
        <w:ind w:left="1280" w:hanging="293"/>
        <w:spacing w:after="0"/>
        <w:tabs>
          <w:tab w:leader="none" w:pos="12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appoints a Custodian of the Company or any Significant Subsidiary or for all or substantially all of either of its property, or</w:t>
      </w:r>
    </w:p>
    <w:p>
      <w:pPr>
        <w:spacing w:after="0" w:line="117" w:lineRule="exact"/>
        <w:rPr>
          <w:rFonts w:ascii="Arial" w:cs="Arial" w:eastAsia="Arial" w:hAnsi="Arial"/>
          <w:sz w:val="18"/>
          <w:szCs w:val="18"/>
          <w:color w:val="auto"/>
        </w:rPr>
      </w:pPr>
    </w:p>
    <w:p>
      <w:pPr>
        <w:ind w:left="980" w:right="380" w:firstLine="7"/>
        <w:spacing w:after="0" w:line="277" w:lineRule="auto"/>
        <w:tabs>
          <w:tab w:leader="none" w:pos="1265" w:val="left"/>
        </w:tabs>
        <w:numPr>
          <w:ilvl w:val="1"/>
          <w:numId w:val="97"/>
        </w:numPr>
        <w:rPr>
          <w:rFonts w:ascii="Arial" w:cs="Arial" w:eastAsia="Arial" w:hAnsi="Arial"/>
          <w:sz w:val="18"/>
          <w:szCs w:val="18"/>
          <w:color w:val="auto"/>
        </w:rPr>
      </w:pPr>
      <w:r>
        <w:rPr>
          <w:rFonts w:ascii="Arial" w:cs="Arial" w:eastAsia="Arial" w:hAnsi="Arial"/>
          <w:sz w:val="18"/>
          <w:szCs w:val="18"/>
          <w:color w:val="auto"/>
        </w:rPr>
        <w:t>orders the liquidation of the Company or any Significant Subsidiary, and the order or decree remains unstayed and in effect for 90 calendar days; or</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used in this Section 501, the term “Bankruptcy Law” means title 11, U.S. Code or any similar Federal or state law for the relief of debtors and the term “Custodian” means any receiver, trustee, assignee, liquidator or other similar official under any Bankruptcy Law.</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 If an Event of Default with respect to Securities of any series at the time Outstanding occurs and is continuing, then and in every such case the Trustee or the Holders of not less than 33% in principal amount of the Outstanding Securities of that series may declare the principal amount (or, if Securities of that Series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110" w:name="page111"/>
    <w:bookmarkEnd w:id="110"/>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of acceleration and its consequences if:</w:t>
      </w:r>
    </w:p>
    <w:p>
      <w:pPr>
        <w:spacing w:after="0" w:line="79" w:lineRule="exact"/>
        <w:rPr>
          <w:sz w:val="20"/>
          <w:szCs w:val="20"/>
          <w:color w:val="auto"/>
        </w:rPr>
      </w:pPr>
    </w:p>
    <w:p>
      <w:pPr>
        <w:ind w:right="60" w:firstLine="436"/>
        <w:spacing w:after="0" w:line="308" w:lineRule="auto"/>
        <w:tabs>
          <w:tab w:leader="none" w:pos="695"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Company has paid or deposited with the Trustee a sum sufficient to pay in the currency, currency unit or composite currency in which the Securities of such series are payable (except as otherwise specified pursuant to Section 301 for the Securities of such series):</w:t>
      </w:r>
    </w:p>
    <w:p>
      <w:pPr>
        <w:spacing w:after="0" w:line="38" w:lineRule="exact"/>
        <w:rPr>
          <w:rFonts w:ascii="Arial" w:cs="Arial" w:eastAsia="Arial" w:hAnsi="Arial"/>
          <w:sz w:val="17"/>
          <w:szCs w:val="17"/>
          <w:color w:val="auto"/>
        </w:rPr>
      </w:pPr>
    </w:p>
    <w:p>
      <w:pPr>
        <w:ind w:left="1280" w:hanging="293"/>
        <w:spacing w:after="0"/>
        <w:tabs>
          <w:tab w:leader="none" w:pos="12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overdue installments of interest on all Outstanding Securities of that series and any related coupons,</w:t>
      </w:r>
    </w:p>
    <w:p>
      <w:pPr>
        <w:spacing w:after="0" w:line="117" w:lineRule="exact"/>
        <w:rPr>
          <w:rFonts w:ascii="Arial" w:cs="Arial" w:eastAsia="Arial" w:hAnsi="Arial"/>
          <w:sz w:val="18"/>
          <w:szCs w:val="18"/>
          <w:color w:val="auto"/>
        </w:rPr>
      </w:pPr>
    </w:p>
    <w:p>
      <w:pPr>
        <w:ind w:left="980" w:right="120" w:firstLine="7"/>
        <w:spacing w:after="0" w:line="342" w:lineRule="auto"/>
        <w:tabs>
          <w:tab w:leader="none" w:pos="1265"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principal of (and premium or Make-Whole Amount, if any, on) any Outstanding Securities of that series which have become due otherwise than by such declaration of acceleration and interest thereon at the rate or rates borne by or provided for in such Securities,</w:t>
      </w:r>
    </w:p>
    <w:p>
      <w:pPr>
        <w:spacing w:after="0" w:line="15" w:lineRule="exact"/>
        <w:rPr>
          <w:rFonts w:ascii="Arial" w:cs="Arial" w:eastAsia="Arial" w:hAnsi="Arial"/>
          <w:sz w:val="16"/>
          <w:szCs w:val="16"/>
          <w:color w:val="auto"/>
        </w:rPr>
      </w:pPr>
    </w:p>
    <w:p>
      <w:pPr>
        <w:ind w:left="980" w:right="420" w:firstLine="7"/>
        <w:spacing w:after="0" w:line="277" w:lineRule="auto"/>
        <w:tabs>
          <w:tab w:leader="none" w:pos="1265" w:val="left"/>
        </w:tabs>
        <w:numPr>
          <w:ilvl w:val="1"/>
          <w:numId w:val="98"/>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installments of interest at the rate or rates borne by or provided for in such Securities, and</w:t>
      </w:r>
    </w:p>
    <w:p>
      <w:pPr>
        <w:spacing w:after="0" w:line="62" w:lineRule="exact"/>
        <w:rPr>
          <w:rFonts w:ascii="Arial" w:cs="Arial" w:eastAsia="Arial" w:hAnsi="Arial"/>
          <w:sz w:val="18"/>
          <w:szCs w:val="18"/>
          <w:color w:val="auto"/>
        </w:rPr>
      </w:pPr>
    </w:p>
    <w:p>
      <w:pPr>
        <w:ind w:left="980" w:right="180" w:firstLine="7"/>
        <w:spacing w:after="0" w:line="277" w:lineRule="auto"/>
        <w:tabs>
          <w:tab w:leader="none" w:pos="1275"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70" w:lineRule="exact"/>
        <w:rPr>
          <w:rFonts w:ascii="Arial" w:cs="Arial" w:eastAsia="Arial" w:hAnsi="Arial"/>
          <w:sz w:val="18"/>
          <w:szCs w:val="18"/>
          <w:color w:val="auto"/>
        </w:rPr>
      </w:pPr>
    </w:p>
    <w:p>
      <w:pPr>
        <w:ind w:right="40" w:firstLine="436"/>
        <w:spacing w:after="0" w:line="263" w:lineRule="auto"/>
        <w:tabs>
          <w:tab w:leader="none" w:pos="69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other than the nonpayment of the principal of (or premium or Make-Whole Amount, if any) or interest on Securities of that series which have become due solely by such declaration of acceleration, have been cured or waived as provided in Section 513.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 The Company covenants that if:</w:t>
      </w:r>
    </w:p>
    <w:p>
      <w:pPr>
        <w:spacing w:after="0" w:line="117" w:lineRule="exact"/>
        <w:rPr>
          <w:sz w:val="20"/>
          <w:szCs w:val="20"/>
          <w:color w:val="auto"/>
        </w:rPr>
      </w:pPr>
    </w:p>
    <w:p>
      <w:pPr>
        <w:ind w:firstLine="436"/>
        <w:spacing w:after="0" w:line="277" w:lineRule="auto"/>
        <w:tabs>
          <w:tab w:leader="none" w:pos="6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default is made in the payment of any installment of interest on any Security of any series and any related coupon when such interest becomes due and payable and such default continues for a period of 30 calendar days, or</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default is made in the payment of the principal of (or premium or Make-Whole Amount, if any, on) any Security of any series at its Maturity,</w:t>
      </w: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then the Company will, upon demand of the Trustee, pay to the Trustee, for the benefit of the Holders of such Securities of such series and coupons, the whole amount then due and payable on such Securities and coupons for principal (and premium or Make-Whole Amount, if any) and interest, with interest upon any overdue principal (and premium or Make-Whole Amount, if any) and, to the extent that payment of such interest shall be legally enforceable, upon any overdue installments of interest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92"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Securities of such series and collect the moneys adjudged or decreed to be payable in the manner provided by law out of the property of the Company or any other obligor upon such Securities of such series, wherever situated.</w:t>
      </w:r>
    </w:p>
    <w:p>
      <w:pPr>
        <w:spacing w:after="0" w:line="157"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necessary to protect and enforce any such rights, whether for the specific enforcement of any covenant or agreement in this Indenture or in aid of the exercise of any power granted herein, or to enforce any other proper remedy.</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0"/>
          </w:cols>
          <w:pgMar w:left="440" w:top="274" w:right="539" w:bottom="1440" w:gutter="0" w:footer="0" w:header="0"/>
        </w:sectPr>
      </w:pPr>
    </w:p>
    <w:bookmarkStart w:id="111" w:name="page112"/>
    <w:bookmarkEnd w:id="111"/>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overdue principal, premium or Make-Whole Amount, if any, or interest) shall be entitled and empowered, by intervention in such proceeding or otherwise:</w:t>
      </w:r>
    </w:p>
    <w:p>
      <w:pPr>
        <w:spacing w:after="0" w:line="84" w:lineRule="exact"/>
        <w:rPr>
          <w:sz w:val="20"/>
          <w:szCs w:val="20"/>
          <w:color w:val="auto"/>
        </w:rPr>
      </w:pPr>
    </w:p>
    <w:p>
      <w:pPr>
        <w:ind w:left="440" w:right="60" w:hanging="4"/>
        <w:spacing w:after="0" w:line="301" w:lineRule="auto"/>
        <w:tabs>
          <w:tab w:leader="none" w:pos="65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to file and prove a claim for the whole amount, or such lesser amount as may be provided for in the Securities of such series, of principal (and premium or Make-Whole Amount, if any)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49" w:lineRule="exact"/>
        <w:rPr>
          <w:rFonts w:ascii="Arial" w:cs="Arial" w:eastAsia="Arial" w:hAnsi="Arial"/>
          <w:sz w:val="16"/>
          <w:szCs w:val="16"/>
          <w:color w:val="auto"/>
        </w:rPr>
      </w:pPr>
    </w:p>
    <w:p>
      <w:pPr>
        <w:ind w:left="700" w:hanging="264"/>
        <w:spacing w:after="0"/>
        <w:tabs>
          <w:tab w:leader="none" w:pos="7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of Securities of such series and coupons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w:t>
      </w:r>
    </w:p>
    <w:p>
      <w:pPr>
        <w:spacing w:after="0" w:line="188"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Nothing herein contained shall be deemed to authorize the Trustee to authorize or consent to or accept or adopt on behalf of any Holder of a Security or coupon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1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and it shall not be necessary to make any Holders of the Securities parties to any such proceedings.</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Trustee May Enforce Claims Without Possession of Securities or Coupons</w:t>
      </w:r>
      <w:r>
        <w:rPr>
          <w:rFonts w:ascii="Arial" w:cs="Arial" w:eastAsia="Arial" w:hAnsi="Arial"/>
          <w:sz w:val="18"/>
          <w:szCs w:val="18"/>
          <w:color w:val="auto"/>
        </w:rPr>
        <w:t>. All rights of action and claims under this Indenture or 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and coupons in respect of which such judgment has been recovered.</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 Any money collected by the Trustee pursuant to this Article shall be applied in the following order, at the date or dates fixed by the Trustee and, in case of the distribution of such money on account of principal (or premium or Make-Whole Amount, if any) or interest, upon presentation of the Securities or coupons, or both, as the case may be, and the notation thereon of the payment if only partially paid and upon surrender thereof if fully paid:</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FIRST: To the payment of all amounts due the Trustee and any predecessor Trustee under Section 606;</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SECOND: To the payment of the amounts then due and unpaid upon the Securities and coupons for principal (and premium or Make-Whole Amount, if any) and interest, in respect of which or for the benefit of which such money has been collected, ratably, without preference or priority of any kind, according to the aggregate amounts due and payable on such Securities and coupons for principal (and premium or Make-Whole Amount, if any) and interest, respectively; and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THIRD: To the payment of the remainder, if any, to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112" w:name="page113"/>
    <w:bookmarkEnd w:id="112"/>
    <w:p>
      <w:pPr>
        <w:ind w:right="4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507. </w:t>
      </w:r>
      <w:r>
        <w:rPr>
          <w:rFonts w:ascii="Arial" w:cs="Arial" w:eastAsia="Arial" w:hAnsi="Arial"/>
          <w:sz w:val="16"/>
          <w:szCs w:val="16"/>
          <w:u w:val="single" w:color="auto"/>
          <w:color w:val="auto"/>
        </w:rPr>
        <w:t>Limitation on Suits</w:t>
      </w:r>
      <w:r>
        <w:rPr>
          <w:rFonts w:ascii="Arial" w:cs="Arial" w:eastAsia="Arial" w:hAnsi="Arial"/>
          <w:sz w:val="16"/>
          <w:szCs w:val="16"/>
          <w:color w:val="auto"/>
        </w:rPr>
        <w:t>. No Holder of any Security of any series or any related coupon shall have any right to institute any proceeding, judicial or otherwise, with respect to this Indenture, or for the appointment of a receiver or trustee, or for any other remedy hereunder, unless:</w:t>
      </w:r>
    </w:p>
    <w:p>
      <w:pPr>
        <w:spacing w:after="0" w:line="16" w:lineRule="exact"/>
        <w:rPr>
          <w:sz w:val="20"/>
          <w:szCs w:val="20"/>
          <w:color w:val="auto"/>
        </w:rPr>
      </w:pPr>
    </w:p>
    <w:p>
      <w:pPr>
        <w:ind w:left="700" w:hanging="264"/>
        <w:spacing w:after="0"/>
        <w:tabs>
          <w:tab w:leader="none" w:pos="7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 that series;</w:t>
      </w:r>
    </w:p>
    <w:p>
      <w:pPr>
        <w:spacing w:after="0" w:line="140" w:lineRule="exact"/>
        <w:rPr>
          <w:rFonts w:ascii="Arial" w:cs="Arial" w:eastAsia="Arial" w:hAnsi="Arial"/>
          <w:sz w:val="16"/>
          <w:szCs w:val="16"/>
          <w:color w:val="auto"/>
        </w:rPr>
      </w:pPr>
    </w:p>
    <w:p>
      <w:pPr>
        <w:ind w:left="440" w:right="60" w:hanging="4"/>
        <w:spacing w:after="0" w:line="277" w:lineRule="auto"/>
        <w:tabs>
          <w:tab w:leader="none" w:pos="6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62" w:lineRule="exact"/>
        <w:rPr>
          <w:rFonts w:ascii="Arial" w:cs="Arial" w:eastAsia="Arial" w:hAnsi="Arial"/>
          <w:sz w:val="18"/>
          <w:szCs w:val="18"/>
          <w:color w:val="auto"/>
        </w:rPr>
      </w:pPr>
    </w:p>
    <w:p>
      <w:pPr>
        <w:ind w:left="440" w:right="160" w:hanging="4"/>
        <w:spacing w:after="0" w:line="277" w:lineRule="auto"/>
        <w:tabs>
          <w:tab w:leader="none" w:pos="6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reasonably satisfactory to the Trustee against the costs, expenses and liabilities to be incurred in compliance with such request;</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Trustee for 60 calendar days after its receipt of such notice, request and offer of indemnity has failed to institute any such proceeding; and</w:t>
      </w:r>
    </w:p>
    <w:p>
      <w:pPr>
        <w:spacing w:after="0" w:line="140" w:lineRule="exact"/>
        <w:rPr>
          <w:rFonts w:ascii="Arial" w:cs="Arial" w:eastAsia="Arial" w:hAnsi="Arial"/>
          <w:sz w:val="16"/>
          <w:szCs w:val="16"/>
          <w:color w:val="auto"/>
        </w:rPr>
      </w:pPr>
    </w:p>
    <w:p>
      <w:pPr>
        <w:ind w:left="440" w:right="340" w:hanging="4"/>
        <w:spacing w:after="0" w:line="277" w:lineRule="auto"/>
        <w:tabs>
          <w:tab w:leader="none" w:pos="6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Unconditional Right of Holders to Receive Principal, Premium or Make-Whole Amount, if any, and Interest</w:t>
      </w:r>
      <w:r>
        <w:rPr>
          <w:rFonts w:ascii="Arial" w:cs="Arial" w:eastAsia="Arial" w:hAnsi="Arial"/>
          <w:sz w:val="17"/>
          <w:szCs w:val="17"/>
          <w:color w:val="auto"/>
        </w:rPr>
        <w:t>. Notwithstanding any other provision in this Indenture, the Holder of any Security or coupon shall have the right which is absolute and unconditional to receive payment of the principal of (and premium or Make-Whole Amount, if any) and (subject to Sections 305 and 307) interest on such Security or payment of such coupon on the respective due dates expressed in such Security or coupon (or, in the case of redemption, on the Redemption Date) and to institute suit for the enforcement of any such payment, and such rights shall not be impaired without the consent of such Holder.</w:t>
      </w:r>
    </w:p>
    <w:p>
      <w:pPr>
        <w:spacing w:after="0" w:line="17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u w:val="single" w:color="auto"/>
          <w:color w:val="auto"/>
        </w:rPr>
        <w:t>Restoration of Rights and Remedies</w:t>
      </w:r>
      <w:r>
        <w:rPr>
          <w:rFonts w:ascii="Arial" w:cs="Arial" w:eastAsia="Arial" w:hAnsi="Arial"/>
          <w:sz w:val="17"/>
          <w:szCs w:val="17"/>
          <w:color w:val="auto"/>
        </w:rPr>
        <w:t>. 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and coupons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 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9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Delay or Omission Not Waiver</w:t>
      </w:r>
      <w:r>
        <w:rPr>
          <w:rFonts w:ascii="Arial" w:cs="Arial" w:eastAsia="Arial" w:hAnsi="Arial"/>
          <w:sz w:val="17"/>
          <w:szCs w:val="17"/>
          <w:color w:val="auto"/>
        </w:rPr>
        <w:t>. 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or coupons, as the case may be.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113" w:name="page114"/>
    <w:bookmarkEnd w:id="113"/>
    <w:p>
      <w:pPr>
        <w:jc w:val="both"/>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512. </w:t>
      </w:r>
      <w:r>
        <w:rPr>
          <w:rFonts w:ascii="Arial" w:cs="Arial" w:eastAsia="Arial" w:hAnsi="Arial"/>
          <w:sz w:val="18"/>
          <w:szCs w:val="18"/>
          <w:u w:val="single" w:color="auto"/>
          <w:color w:val="auto"/>
        </w:rPr>
        <w:t>Control by Holders of Securities</w:t>
      </w:r>
      <w:r>
        <w:rPr>
          <w:rFonts w:ascii="Arial" w:cs="Arial" w:eastAsia="Arial" w:hAnsi="Arial"/>
          <w:sz w:val="18"/>
          <w:szCs w:val="18"/>
          <w:color w:val="auto"/>
        </w:rPr>
        <w:t xml:space="preserve">. 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6" w:lineRule="exact"/>
        <w:rPr>
          <w:sz w:val="20"/>
          <w:szCs w:val="20"/>
          <w:color w:val="auto"/>
        </w:rPr>
      </w:pPr>
    </w:p>
    <w:p>
      <w:pPr>
        <w:ind w:left="700" w:hanging="264"/>
        <w:spacing w:after="0"/>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117" w:lineRule="exact"/>
        <w:rPr>
          <w:rFonts w:ascii="Arial" w:cs="Arial" w:eastAsia="Arial" w:hAnsi="Arial"/>
          <w:sz w:val="18"/>
          <w:szCs w:val="18"/>
          <w:color w:val="auto"/>
        </w:rPr>
      </w:pPr>
    </w:p>
    <w:p>
      <w:pPr>
        <w:ind w:left="440" w:right="240" w:hanging="4"/>
        <w:spacing w:after="0" w:line="277" w:lineRule="auto"/>
        <w:tabs>
          <w:tab w:leader="none" w:pos="69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Trustee need not take any action which might involve it in personal liability or be unduly prejudicial to the Holders of Securities of such series not joining therein.</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Nothing in this Indenture shall impair the right of the Trustee in its discretion to take any action deemed proper by the Trustee and which is not inconsistent with such direction by Holders.</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 The Holders of not less than a majority in principal amount of the Outstanding Securities of any series may on behalf of the Holders of all the Securities of such series and any related coupons waive any past default hereunder with respect to such series and its consequences, except a default</w:t>
      </w:r>
    </w:p>
    <w:p>
      <w:pPr>
        <w:spacing w:after="0" w:line="76" w:lineRule="exact"/>
        <w:rPr>
          <w:sz w:val="20"/>
          <w:szCs w:val="20"/>
          <w:color w:val="auto"/>
        </w:rPr>
      </w:pPr>
    </w:p>
    <w:p>
      <w:pPr>
        <w:ind w:left="440" w:right="560" w:hanging="4"/>
        <w:spacing w:after="0" w:line="277" w:lineRule="auto"/>
        <w:tabs>
          <w:tab w:leader="none" w:pos="69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the payment of the principal of (or premium or Make-Whole Amount, if any) or interest on any Security of such series or any related coupons, or</w:t>
      </w:r>
    </w:p>
    <w:p>
      <w:pPr>
        <w:spacing w:after="0" w:line="62" w:lineRule="exact"/>
        <w:rPr>
          <w:rFonts w:ascii="Arial" w:cs="Arial" w:eastAsia="Arial" w:hAnsi="Arial"/>
          <w:sz w:val="18"/>
          <w:szCs w:val="18"/>
          <w:color w:val="auto"/>
        </w:rPr>
      </w:pPr>
    </w:p>
    <w:p>
      <w:pPr>
        <w:ind w:left="440" w:right="320" w:hanging="4"/>
        <w:spacing w:after="0" w:line="277" w:lineRule="auto"/>
        <w:tabs>
          <w:tab w:leader="none" w:pos="69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Nine cannot be modified or amended without the consent of the Holder of each Outstanding Security of such series affected; or</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respect of a covenant or provision hereof for the benefit or protection of the Trustee, without its express written consent.</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2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Waiver of Usury, Stay or Extension Laws</w:t>
      </w:r>
      <w:r>
        <w:rPr>
          <w:rFonts w:ascii="Arial" w:cs="Arial" w:eastAsia="Arial" w:hAnsi="Arial"/>
          <w:sz w:val="16"/>
          <w:szCs w:val="16"/>
          <w:color w:val="auto"/>
        </w:rPr>
        <w:t>.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6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SECTION 515. </w:t>
      </w:r>
      <w:r>
        <w:rPr>
          <w:rFonts w:ascii="Arial" w:cs="Arial" w:eastAsia="Arial" w:hAnsi="Arial"/>
          <w:sz w:val="17"/>
          <w:szCs w:val="17"/>
          <w:u w:val="single" w:color="auto"/>
          <w:color w:val="auto"/>
        </w:rPr>
        <w:t>Undertaking for Costs</w:t>
      </w:r>
      <w:r>
        <w:rPr>
          <w:rFonts w:ascii="Arial" w:cs="Arial" w:eastAsia="Arial" w:hAnsi="Arial"/>
          <w:sz w:val="17"/>
          <w:szCs w:val="17"/>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premium or Make-Whole Amount, if any) or interest on any Security on or after the respective Stated Maturities expressed in such Security (or, in the case of redemption, on or after the Redemption Date).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SIX—THE TRUSTEE</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Notice of Defaults</w:t>
      </w:r>
      <w:r>
        <w:rPr>
          <w:rFonts w:ascii="Arial" w:cs="Arial" w:eastAsia="Arial" w:hAnsi="Arial"/>
          <w:sz w:val="16"/>
          <w:szCs w:val="16"/>
          <w:color w:val="auto"/>
        </w:rPr>
        <w:t xml:space="preserve">. Within 90 calendar days after the occurrence of any default hereunder with respect to the Securities of any series, the Trustee shall transmit in the manner and to the extent provided in TIA Section 313(c), notice of such default hereunder known to the Trustee, unless such default shall have been cured or waived;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in the case of a default in the payment of the principal of (or premium or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114" w:name="page115"/>
    <w:bookmarkEnd w:id="114"/>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Make-Whole Amount, if any) or interest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Holders of the Securities and coupons of such series;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the case of any default or breach of the character specified in Section 501(4) with respect to the Securities and coupons of such series, no such notice to Holders shall be given until at least 60 calendar days after the occurrence thereof. For the purpose of this Section, the term “default” means any event which is, or after notice or lapse of time or both would become, an Event of Default with respect to the Securities of such series.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 Subject to the provisions of TIA Section 315(a) through 315(d):</w:t>
      </w:r>
    </w:p>
    <w:p>
      <w:pPr>
        <w:spacing w:after="0" w:line="117" w:lineRule="exact"/>
        <w:rPr>
          <w:sz w:val="20"/>
          <w:szCs w:val="20"/>
          <w:color w:val="auto"/>
        </w:rPr>
      </w:pPr>
    </w:p>
    <w:p>
      <w:pPr>
        <w:ind w:right="140" w:firstLine="436"/>
        <w:spacing w:after="0" w:line="311" w:lineRule="auto"/>
        <w:tabs>
          <w:tab w:leader="none" w:pos="69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Trustee may conclusively rely and shall be fully protected in acting or refraining from acting upon any resolution, certificate, statement, instrument, opinion, report, notice, request, direction, consent, order, bond, debenture, note, coupon or other paper or document (whether in its original or facsimile form) reasonably believed by it to be genuine and to have been signed or presented by the proper party or parties;</w:t>
      </w:r>
    </w:p>
    <w:p>
      <w:pPr>
        <w:spacing w:after="0" w:line="148" w:lineRule="exact"/>
        <w:rPr>
          <w:rFonts w:ascii="Arial" w:cs="Arial" w:eastAsia="Arial" w:hAnsi="Arial"/>
          <w:sz w:val="16"/>
          <w:szCs w:val="16"/>
          <w:color w:val="auto"/>
        </w:rPr>
      </w:pPr>
    </w:p>
    <w:p>
      <w:pPr>
        <w:ind w:right="260" w:firstLine="436"/>
        <w:spacing w:after="0" w:line="259" w:lineRule="auto"/>
        <w:tabs>
          <w:tab w:leader="none" w:pos="69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186" w:lineRule="exact"/>
        <w:rPr>
          <w:rFonts w:ascii="Arial" w:cs="Arial" w:eastAsia="Arial" w:hAnsi="Arial"/>
          <w:sz w:val="18"/>
          <w:szCs w:val="18"/>
          <w:color w:val="auto"/>
        </w:rPr>
      </w:pPr>
    </w:p>
    <w:p>
      <w:pPr>
        <w:ind w:right="220" w:firstLine="436"/>
        <w:spacing w:after="0" w:line="263" w:lineRule="auto"/>
        <w:tabs>
          <w:tab w:leader="none" w:pos="69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83" w:lineRule="exact"/>
        <w:rPr>
          <w:rFonts w:ascii="Arial" w:cs="Arial" w:eastAsia="Arial" w:hAnsi="Arial"/>
          <w:sz w:val="18"/>
          <w:szCs w:val="18"/>
          <w:color w:val="auto"/>
        </w:rPr>
      </w:pPr>
    </w:p>
    <w:p>
      <w:pPr>
        <w:ind w:right="220" w:firstLine="436"/>
        <w:spacing w:after="0" w:line="342" w:lineRule="auto"/>
        <w:tabs>
          <w:tab w:leader="none" w:pos="69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Trustee may consult with counsel of its own selection and the written advice of such counsel or any Opinion of Counsel shall be full and complete authorization and protection in respect of any action taken, suffered or omitted by it hereunder in good faith and in reliance thereon;</w:t>
      </w:r>
    </w:p>
    <w:p>
      <w:pPr>
        <w:spacing w:after="0" w:line="123" w:lineRule="exact"/>
        <w:rPr>
          <w:rFonts w:ascii="Arial" w:cs="Arial" w:eastAsia="Arial" w:hAnsi="Arial"/>
          <w:sz w:val="16"/>
          <w:szCs w:val="16"/>
          <w:color w:val="auto"/>
        </w:rPr>
      </w:pPr>
    </w:p>
    <w:p>
      <w:pPr>
        <w:ind w:firstLine="436"/>
        <w:spacing w:after="0" w:line="259" w:lineRule="auto"/>
        <w:tabs>
          <w:tab w:leader="none" w:pos="69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security or indemnity reasonably satisfactory to the Trustee against the costs, expenses and liabilities which might be incurred by it in compliance with such request or direction;</w:t>
      </w:r>
    </w:p>
    <w:p>
      <w:pPr>
        <w:spacing w:after="0" w:line="186" w:lineRule="exact"/>
        <w:rPr>
          <w:rFonts w:ascii="Arial" w:cs="Arial" w:eastAsia="Arial" w:hAnsi="Arial"/>
          <w:sz w:val="18"/>
          <w:szCs w:val="18"/>
          <w:color w:val="auto"/>
        </w:rPr>
      </w:pPr>
    </w:p>
    <w:p>
      <w:pPr>
        <w:ind w:right="40" w:firstLine="436"/>
        <w:spacing w:after="0" w:line="288" w:lineRule="auto"/>
        <w:tabs>
          <w:tab w:leader="none" w:pos="69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the Trustee shall not be bound to make any investigation into the facts or matters stated in any resolution, certificate, statement, instrument, opinion, report, notice, request, direction, consent, order, bond, debenture, note, coupon or other paper or document, unless requested in writing so to do by the Holders of not less than a majority in aggregate principal amount of the Outstanding Securities of any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examination shall be paid by the Holders or, if paid by the Trustee, shall be repaid by the Holders upon demand.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relevant to the facts or matters that are the subject of its inquiry, personally or by agent or attorney at the expense of the Company and shall incur no liability or additional liability of any kind by reason of such inquiry or investigation;</w:t>
      </w:r>
    </w:p>
    <w:p>
      <w:pPr>
        <w:spacing w:after="0" w:line="168" w:lineRule="exact"/>
        <w:rPr>
          <w:rFonts w:ascii="Arial" w:cs="Arial" w:eastAsia="Arial" w:hAnsi="Arial"/>
          <w:sz w:val="16"/>
          <w:szCs w:val="16"/>
          <w:color w:val="auto"/>
        </w:rPr>
      </w:pPr>
    </w:p>
    <w:p>
      <w:pPr>
        <w:ind w:right="280" w:firstLine="436"/>
        <w:spacing w:after="0" w:line="263" w:lineRule="auto"/>
        <w:tabs>
          <w:tab w:leader="none" w:pos="69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3" w:lineRule="exact"/>
        <w:rPr>
          <w:rFonts w:ascii="Arial" w:cs="Arial" w:eastAsia="Arial" w:hAnsi="Arial"/>
          <w:sz w:val="18"/>
          <w:szCs w:val="18"/>
          <w:color w:val="auto"/>
        </w:rPr>
      </w:pPr>
    </w:p>
    <w:p>
      <w:pPr>
        <w:ind w:right="360" w:firstLine="436"/>
        <w:spacing w:after="0" w:line="277" w:lineRule="auto"/>
        <w:tabs>
          <w:tab w:leader="none" w:pos="69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by it in good faith and reasonably believed by it to be authorized or within the discretion or rights or powers conferred upon it by this Indenture;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115" w:name="page116"/>
    <w:bookmarkEnd w:id="115"/>
    <w:p>
      <w:pPr>
        <w:ind w:right="120" w:firstLine="436"/>
        <w:spacing w:after="0" w:line="277" w:lineRule="auto"/>
        <w:tabs>
          <w:tab w:leader="none" w:pos="695" w:val="left"/>
        </w:tabs>
        <w:numPr>
          <w:ilvl w:val="0"/>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permissive right or power available to the Trustee under this Indenture or any supplement hereto shall not be construed to be a mandatory duty or obligation;</w:t>
      </w:r>
    </w:p>
    <w:p>
      <w:pPr>
        <w:spacing w:after="0" w:line="170" w:lineRule="exact"/>
        <w:rPr>
          <w:rFonts w:ascii="Arial" w:cs="Arial" w:eastAsia="Arial" w:hAnsi="Arial"/>
          <w:sz w:val="18"/>
          <w:szCs w:val="18"/>
          <w:color w:val="auto"/>
        </w:rPr>
      </w:pPr>
    </w:p>
    <w:p>
      <w:pPr>
        <w:ind w:right="60" w:firstLine="436"/>
        <w:spacing w:after="0" w:line="263" w:lineRule="auto"/>
        <w:tabs>
          <w:tab w:leader="none" w:pos="78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shall not be charged with knowledge of any matter (including any default, other than as described in Section 501(1), (2) or (3)) unless and except to the extent actually known to a Responsible Officer of the Trustee or to the extent written notice thereof is received by the Trustee at the Corporate Trust Office;</w:t>
      </w:r>
    </w:p>
    <w:p>
      <w:pPr>
        <w:spacing w:after="0" w:line="183" w:lineRule="exact"/>
        <w:rPr>
          <w:rFonts w:ascii="Arial" w:cs="Arial" w:eastAsia="Arial" w:hAnsi="Arial"/>
          <w:sz w:val="18"/>
          <w:szCs w:val="18"/>
          <w:color w:val="auto"/>
        </w:rPr>
      </w:pPr>
    </w:p>
    <w:p>
      <w:pPr>
        <w:ind w:right="520" w:firstLine="436"/>
        <w:spacing w:after="0" w:line="277" w:lineRule="auto"/>
        <w:tabs>
          <w:tab w:leader="none" w:pos="77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shall have no liability for any inaccuracy in the books and records of, or for any actions or omissions of, DTC, Euroclear or Clearstream or any depository acting on behalf of any of them;</w:t>
      </w:r>
    </w:p>
    <w:p>
      <w:pPr>
        <w:spacing w:after="0" w:line="170" w:lineRule="exact"/>
        <w:rPr>
          <w:rFonts w:ascii="Arial" w:cs="Arial" w:eastAsia="Arial" w:hAnsi="Arial"/>
          <w:sz w:val="18"/>
          <w:szCs w:val="18"/>
          <w:color w:val="auto"/>
        </w:rPr>
      </w:pPr>
    </w:p>
    <w:p>
      <w:pPr>
        <w:ind w:right="160" w:firstLine="436"/>
        <w:spacing w:after="0" w:line="263" w:lineRule="auto"/>
        <w:tabs>
          <w:tab w:leader="none" w:pos="78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by the Trustee to act hereunder; and</w:t>
      </w:r>
    </w:p>
    <w:p>
      <w:pPr>
        <w:spacing w:after="0" w:line="183" w:lineRule="exact"/>
        <w:rPr>
          <w:rFonts w:ascii="Arial" w:cs="Arial" w:eastAsia="Arial" w:hAnsi="Arial"/>
          <w:sz w:val="18"/>
          <w:szCs w:val="18"/>
          <w:color w:val="auto"/>
        </w:rPr>
      </w:pPr>
    </w:p>
    <w:p>
      <w:pPr>
        <w:ind w:right="180" w:firstLine="436"/>
        <w:spacing w:after="0" w:line="286" w:lineRule="auto"/>
        <w:tabs>
          <w:tab w:leader="none" w:pos="78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6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Except during the continuance of an Event of Default, the Trustee undertakes to perform only such duties as are specifically set forth in this Indenture, and no implied covenants or obligations shall be read into this Indenture against the Trustee.</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Not Responsible for Recitals or Issuance of Securities</w:t>
      </w:r>
      <w:r>
        <w:rPr>
          <w:rFonts w:ascii="Arial" w:cs="Arial" w:eastAsia="Arial" w:hAnsi="Arial"/>
          <w:sz w:val="17"/>
          <w:szCs w:val="17"/>
          <w:color w:val="auto"/>
        </w:rPr>
        <w:t>. The recitals contained herein and in the Securities, except the Trustee’s certificate of authentication, and in any coupons shall be taken as the statements of the Company, and neither the Trustee nor any Authenticating Agent assumes any responsibility for their correctness. The 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Neither the Trustee nor any Authenticating Agent shall be accountable for the use or application by the Company of Securities or the proceeds thereof. The Trustee shall have no responsibility with respect to any information, statement or recital in any offering prospectus or other disclosure materials prepared or distributed with respect to the Securities.</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May Hold Securities</w:t>
      </w:r>
      <w:r>
        <w:rPr>
          <w:rFonts w:ascii="Arial" w:cs="Arial" w:eastAsia="Arial" w:hAnsi="Arial"/>
          <w:sz w:val="18"/>
          <w:szCs w:val="18"/>
          <w:color w:val="auto"/>
        </w:rPr>
        <w:t>. The Trustee, any Paying Agent, Security Registrar, Authenticating Agent or any other agent of the Company, in its individual or any other capacity, may become the owner or pledgee of Securities and coupons and, subject to TIA Sections 310(b) and 311, may otherwise deal with the Company with the same rights it would have if it were not Trustee, Paying Agent, Security Registrar, Authenticating Agent or such other agent.</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Money Held in Trust</w:t>
      </w:r>
      <w:r>
        <w:rPr>
          <w:rFonts w:ascii="Arial" w:cs="Arial" w:eastAsia="Arial" w:hAnsi="Arial"/>
          <w:sz w:val="18"/>
          <w:szCs w:val="18"/>
          <w:color w:val="auto"/>
        </w:rPr>
        <w:t>.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 The Company agrees:</w:t>
      </w:r>
    </w:p>
    <w:p>
      <w:pPr>
        <w:spacing w:after="0" w:line="117" w:lineRule="exact"/>
        <w:rPr>
          <w:sz w:val="20"/>
          <w:szCs w:val="20"/>
          <w:color w:val="auto"/>
        </w:rPr>
      </w:pPr>
    </w:p>
    <w:p>
      <w:pPr>
        <w:ind w:right="360" w:firstLine="436"/>
        <w:spacing w:after="0" w:line="308" w:lineRule="auto"/>
        <w:tabs>
          <w:tab w:leader="none" w:pos="69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to pay to the Trustee as agreed upon in writing from time to time reasonable compensation for all services rendered by it hereunder (which compensation shall not be limited by any provision of law in regard to the compensation of a trustee of an express trust);</w:t>
      </w:r>
    </w:p>
    <w:p>
      <w:pPr>
        <w:spacing w:after="0" w:line="38" w:lineRule="exact"/>
        <w:rPr>
          <w:rFonts w:ascii="Arial" w:cs="Arial" w:eastAsia="Arial" w:hAnsi="Arial"/>
          <w:sz w:val="17"/>
          <w:szCs w:val="17"/>
          <w:color w:val="auto"/>
        </w:rPr>
      </w:pPr>
    </w:p>
    <w:p>
      <w:pPr>
        <w:jc w:val="both"/>
        <w:ind w:right="40" w:firstLine="436"/>
        <w:spacing w:after="0" w:line="259" w:lineRule="auto"/>
        <w:tabs>
          <w:tab w:leader="none" w:pos="69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each of the Trustee and any predecessor Trustee upon its request for all reasonable expenses, and disbursements incurred by the Trustee in accordance with any provision of this Indenture (including the reasonable compensation and the reasonable expenses and disbursements of its agents and counsel), except any such expense or disbursement as shall be determined to have been caused by its own negligence, willful misconduct or bad faith;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116" w:name="page117"/>
    <w:bookmarkEnd w:id="116"/>
    <w:p>
      <w:pPr>
        <w:jc w:val="both"/>
        <w:ind w:right="60" w:firstLine="436"/>
        <w:spacing w:after="0" w:line="259" w:lineRule="auto"/>
        <w:tabs>
          <w:tab w:leader="none" w:pos="695"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indemnify each of the Trustee and any predecessor Trustee for, and to hold it harmless against, any loss, liability, claim, damage or expense incurred without negligence, willful misconduct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When the Trustee incurs expenses or renders services in connection with an Event of Default specified in Section 501(7) or Section 501(8),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8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security for the performance of the obligations of the Company under this Section, the Trustee shall have a lien for payment of the Trustee’s fees and expenses prior to the Securities upon all property and funds held or collected by the Trustee as such, except funds held in trust for the payment of principal of (or premium or Make-Whole Amount, if any) or interest on particular Securities or any coupons.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this Section shall survive the termination of this Indenture and the resignation or removal of the Trustee.</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u w:val="single" w:color="auto"/>
          <w:color w:val="auto"/>
        </w:rPr>
        <w:t>Corporate Trustee Required; Eligibility; Conflicting Interests</w:t>
      </w:r>
      <w:r>
        <w:rPr>
          <w:rFonts w:ascii="Arial" w:cs="Arial" w:eastAsia="Arial" w:hAnsi="Arial"/>
          <w:sz w:val="16"/>
          <w:szCs w:val="16"/>
          <w:color w:val="auto"/>
        </w:rPr>
        <w:t>. There shall at all times be a Trustee hereunder which shall be eligible to act as Trustee under TIA Section 310(a)(1) and shall have at all times a combined capital and surplus of at least $50,000,000 (or which shall have a combined capital and surplus of at least $10,000,000 and whose ultimate parent holding company shall have a combined capital and surplus of at least $50,000,000. If the Trustee publishes reports of condition at least annually, pursuant to law or the requirements of Federal, state, territorial or District of Columbia supervising or examining authority, then for the purposes of this Section, the combined capital and surplus of the Trustee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Neither the Company nor any Person directly or indirectly controlling, controlled by, or under common control with the Company shall serve as Trustee.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225" w:lineRule="exact"/>
        <w:rPr>
          <w:sz w:val="20"/>
          <w:szCs w:val="20"/>
          <w:color w:val="auto"/>
        </w:rPr>
      </w:pPr>
    </w:p>
    <w:p>
      <w:pPr>
        <w:ind w:right="260" w:firstLine="436"/>
        <w:spacing w:after="0" w:line="277" w:lineRule="auto"/>
        <w:tabs>
          <w:tab w:leader="none" w:pos="68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609.</w:t>
      </w:r>
    </w:p>
    <w:p>
      <w:pPr>
        <w:spacing w:after="0" w:line="170" w:lineRule="exact"/>
        <w:rPr>
          <w:rFonts w:ascii="Arial" w:cs="Arial" w:eastAsia="Arial" w:hAnsi="Arial"/>
          <w:sz w:val="18"/>
          <w:szCs w:val="18"/>
          <w:color w:val="auto"/>
        </w:rPr>
      </w:pPr>
    </w:p>
    <w:p>
      <w:pPr>
        <w:ind w:right="140" w:firstLine="436"/>
        <w:spacing w:after="0" w:line="259" w:lineRule="auto"/>
        <w:tabs>
          <w:tab w:leader="none" w:pos="69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Trustee may resign at any time with respect to the Securities of one or more series by giving written notice thereof to the Company. If an instrument of acceptance by a successor Trustee shall not have been delivered to the Trustee within 60 calendar days after the giving of such notice of resignation, the resigning Trustee may petition, at the expense of the Company, any court of competent jurisdiction for the appointment of a successor Trustee.</w:t>
      </w:r>
    </w:p>
    <w:p>
      <w:pPr>
        <w:spacing w:after="0" w:line="186" w:lineRule="exact"/>
        <w:rPr>
          <w:rFonts w:ascii="Arial" w:cs="Arial" w:eastAsia="Arial" w:hAnsi="Arial"/>
          <w:sz w:val="18"/>
          <w:szCs w:val="18"/>
          <w:color w:val="auto"/>
        </w:rPr>
      </w:pPr>
    </w:p>
    <w:p>
      <w:pPr>
        <w:ind w:right="40" w:firstLine="436"/>
        <w:spacing w:after="0" w:line="279" w:lineRule="auto"/>
        <w:tabs>
          <w:tab w:leader="none" w:pos="68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Trustee may be removed at any time with respect to the Securities of any series by Act of the Holders of a majority in principal amount of the Outstanding Securities of such series delivered to the Trustee and to the Company. If an instrument of acceptance by a successor Trustee shall not have been delivered to the Trustee within 60 calendar days after the giving of such notice of resignation, the resigning Trustee may petition, at the expense of the Company, any court of competent jurisdiction for the appointment of a successor Trustee.</w:t>
      </w:r>
    </w:p>
    <w:p>
      <w:pPr>
        <w:spacing w:after="0" w:line="171" w:lineRule="exact"/>
        <w:rPr>
          <w:rFonts w:ascii="Arial" w:cs="Arial" w:eastAsia="Arial" w:hAnsi="Arial"/>
          <w:sz w:val="17"/>
          <w:szCs w:val="17"/>
          <w:color w:val="auto"/>
        </w:rPr>
      </w:pPr>
    </w:p>
    <w:p>
      <w:pPr>
        <w:ind w:left="700" w:hanging="264"/>
        <w:spacing w:after="0"/>
        <w:tabs>
          <w:tab w:leader="none" w:pos="7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117" w:lineRule="exact"/>
        <w:rPr>
          <w:rFonts w:ascii="Arial" w:cs="Arial" w:eastAsia="Arial" w:hAnsi="Arial"/>
          <w:sz w:val="18"/>
          <w:szCs w:val="18"/>
          <w:color w:val="auto"/>
        </w:rPr>
      </w:pPr>
    </w:p>
    <w:p>
      <w:pPr>
        <w:ind w:left="980" w:right="360" w:firstLine="7"/>
        <w:spacing w:after="0" w:line="277" w:lineRule="auto"/>
        <w:tabs>
          <w:tab w:leader="none" w:pos="123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40" w:top="274" w:right="479" w:bottom="1440" w:gutter="0" w:footer="0" w:header="0"/>
        </w:sectPr>
      </w:pPr>
    </w:p>
    <w:bookmarkStart w:id="117" w:name="page118"/>
    <w:bookmarkEnd w:id="117"/>
    <w:p>
      <w:pPr>
        <w:ind w:left="980" w:right="100" w:firstLine="7"/>
        <w:spacing w:after="0" w:line="277" w:lineRule="auto"/>
        <w:tabs>
          <w:tab w:leader="none" w:pos="12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cease to be eligible under Section 607 and shall fail to resign after written request therefor by the Company or by any Holder of a Security who has been a bona fide Holder of a Security for at least six months, or</w:t>
      </w:r>
    </w:p>
    <w:p>
      <w:pPr>
        <w:spacing w:after="0" w:line="62" w:lineRule="exact"/>
        <w:rPr>
          <w:rFonts w:ascii="Arial" w:cs="Arial" w:eastAsia="Arial" w:hAnsi="Arial"/>
          <w:sz w:val="18"/>
          <w:szCs w:val="18"/>
          <w:color w:val="auto"/>
        </w:rPr>
      </w:pPr>
    </w:p>
    <w:p>
      <w:pPr>
        <w:ind w:left="980" w:right="100" w:firstLine="7"/>
        <w:spacing w:after="0" w:line="263" w:lineRule="auto"/>
        <w:tabs>
          <w:tab w:leader="none" w:pos="12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87" w:lineRule="exact"/>
        <w:rPr>
          <w:sz w:val="20"/>
          <w:szCs w:val="20"/>
          <w:color w:val="auto"/>
        </w:rPr>
      </w:pPr>
    </w:p>
    <w:p>
      <w:pPr>
        <w:ind w:firstLine="436"/>
        <w:spacing w:after="0" w:line="269" w:lineRule="auto"/>
        <w:tabs>
          <w:tab w:leader="none" w:pos="68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178" w:lineRule="exact"/>
        <w:rPr>
          <w:rFonts w:ascii="Arial" w:cs="Arial" w:eastAsia="Arial" w:hAnsi="Arial"/>
          <w:sz w:val="17"/>
          <w:szCs w:val="17"/>
          <w:color w:val="auto"/>
        </w:rPr>
      </w:pPr>
    </w:p>
    <w:p>
      <w:pPr>
        <w:ind w:right="300" w:firstLine="436"/>
        <w:spacing w:after="0" w:line="259" w:lineRule="auto"/>
        <w:tabs>
          <w:tab w:leader="none" w:pos="66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225" w:lineRule="exact"/>
        <w:rPr>
          <w:sz w:val="20"/>
          <w:szCs w:val="20"/>
          <w:color w:val="auto"/>
        </w:rPr>
      </w:pPr>
    </w:p>
    <w:p>
      <w:pPr>
        <w:ind w:right="120" w:firstLine="436"/>
        <w:spacing w:after="0" w:line="272" w:lineRule="auto"/>
        <w:tabs>
          <w:tab w:leader="none" w:pos="68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177" w:lineRule="exact"/>
        <w:rPr>
          <w:rFonts w:ascii="Arial" w:cs="Arial" w:eastAsia="Arial" w:hAnsi="Arial"/>
          <w:sz w:val="17"/>
          <w:szCs w:val="17"/>
          <w:color w:val="auto"/>
        </w:rPr>
      </w:pPr>
    </w:p>
    <w:p>
      <w:pPr>
        <w:ind w:right="40" w:firstLine="436"/>
        <w:spacing w:after="0" w:line="290" w:lineRule="auto"/>
        <w:tabs>
          <w:tab w:leader="none" w:pos="69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pursuant to Article Nine hereof,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118" w:name="page119"/>
    <w:bookmarkEnd w:id="11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65" w:lineRule="exact"/>
        <w:rPr>
          <w:sz w:val="20"/>
          <w:szCs w:val="20"/>
          <w:color w:val="auto"/>
        </w:rPr>
      </w:pPr>
    </w:p>
    <w:p>
      <w:pPr>
        <w:ind w:right="320" w:firstLine="436"/>
        <w:spacing w:after="0" w:line="342" w:lineRule="auto"/>
        <w:tabs>
          <w:tab w:leader="none" w:pos="68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609, as the case may be.</w:t>
      </w:r>
    </w:p>
    <w:p>
      <w:pPr>
        <w:spacing w:after="0" w:line="123" w:lineRule="exact"/>
        <w:rPr>
          <w:rFonts w:ascii="Arial" w:cs="Arial" w:eastAsia="Arial" w:hAnsi="Arial"/>
          <w:sz w:val="16"/>
          <w:szCs w:val="16"/>
          <w:color w:val="auto"/>
        </w:rPr>
      </w:pPr>
    </w:p>
    <w:p>
      <w:pPr>
        <w:ind w:right="160" w:firstLine="436"/>
        <w:spacing w:after="0" w:line="277" w:lineRule="auto"/>
        <w:tabs>
          <w:tab w:leader="none" w:pos="69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Merger, Conversion, Consolidation or Succession to Business</w:t>
      </w:r>
      <w:r>
        <w:rPr>
          <w:rFonts w:ascii="Arial" w:cs="Arial" w:eastAsia="Arial" w:hAnsi="Arial"/>
          <w:sz w:val="17"/>
          <w:szCs w:val="17"/>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Securities or coupons shall not have been authenticated by such predecessor Trustee, any such successor Trustee may authenticate and deliver such Securities or coupons, in either its own name or that of its predecessor Trustee, with the full force and effect which this Indenture provides for the certificate of authentication of the Trustee.</w:t>
      </w:r>
    </w:p>
    <w:p>
      <w:pPr>
        <w:spacing w:after="0" w:line="18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u w:val="single" w:color="auto"/>
          <w:color w:val="auto"/>
        </w:rPr>
        <w:t>Appointment of Authenticating Agent</w:t>
      </w:r>
      <w:r>
        <w:rPr>
          <w:rFonts w:ascii="Arial" w:cs="Arial" w:eastAsia="Arial" w:hAnsi="Arial"/>
          <w:sz w:val="17"/>
          <w:szCs w:val="17"/>
          <w:color w:val="auto"/>
        </w:rPr>
        <w:t>. At any time when any of the Securities remain Outstanding, the Trustee may appoint an Authenticating Agent or Agents with respect to one or more series of Securities which shall be authorized to act on behalf of the Trustee to authenticate Securities of such series issued upon conversion or exchange, registration of transfer or partial redemption or repayment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$50,000,000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119" w:name="page120"/>
    <w:bookmarkEnd w:id="119"/>
    <w:p>
      <w:pPr>
        <w:ind w:right="2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5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9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agrees to pay to each Authenticating Agent from time to time reasonable compensation including reimbursement of its reasonable expenses for its services under this Section, subject to Section 606.</w:t>
      </w:r>
    </w:p>
    <w:p>
      <w:pPr>
        <w:spacing w:after="0" w:line="170"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therein referred to in the within- mentioned Indenture.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w w:val="89"/>
              </w:rPr>
              <w:t>____________________________________,</w:t>
            </w:r>
          </w:p>
        </w:tc>
      </w:tr>
      <w:tr>
        <w:trPr>
          <w:trHeight w:val="230"/>
        </w:trPr>
        <w:tc>
          <w:tcPr>
            <w:tcW w:w="11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as Trustee</w:t>
            </w:r>
          </w:p>
        </w:tc>
      </w:tr>
      <w:tr>
        <w:trPr>
          <w:trHeight w:val="418"/>
        </w:trPr>
        <w:tc>
          <w:tcPr>
            <w:tcW w:w="5360" w:type="dxa"/>
            <w:vAlign w:val="bottom"/>
            <w:gridSpan w:val="3"/>
          </w:tcPr>
          <w:p>
            <w:pPr>
              <w:spacing w:after="0"/>
              <w:rPr>
                <w:sz w:val="20"/>
                <w:szCs w:val="20"/>
                <w:color w:val="auto"/>
              </w:rPr>
            </w:pPr>
            <w:r>
              <w:rPr>
                <w:rFonts w:ascii="Arial" w:cs="Arial" w:eastAsia="Arial" w:hAnsi="Arial"/>
                <w:sz w:val="18"/>
                <w:szCs w:val="18"/>
                <w:color w:val="auto"/>
              </w:rPr>
              <w:t>Dated:______________________________</w:t>
            </w:r>
          </w:p>
        </w:tc>
        <w:tc>
          <w:tcPr>
            <w:tcW w:w="3880" w:type="dxa"/>
            <w:vAlign w:val="bottom"/>
          </w:tcPr>
          <w:p>
            <w:pPr>
              <w:ind w:left="580"/>
              <w:spacing w:after="0"/>
              <w:rPr>
                <w:sz w:val="20"/>
                <w:szCs w:val="20"/>
                <w:color w:val="auto"/>
              </w:rPr>
            </w:pPr>
            <w:r>
              <w:rPr>
                <w:rFonts w:ascii="Arial" w:cs="Arial" w:eastAsia="Arial" w:hAnsi="Arial"/>
                <w:sz w:val="18"/>
                <w:szCs w:val="18"/>
                <w:color w:val="auto"/>
                <w:w w:val="92"/>
              </w:rPr>
              <w:t>By:_________________________________</w:t>
            </w:r>
          </w:p>
        </w:tc>
      </w:tr>
      <w:tr>
        <w:trPr>
          <w:trHeight w:val="230"/>
        </w:trPr>
        <w:tc>
          <w:tcPr>
            <w:tcW w:w="11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as Authenticating Agent</w:t>
            </w:r>
          </w:p>
        </w:tc>
      </w:tr>
      <w:tr>
        <w:trPr>
          <w:trHeight w:val="418"/>
        </w:trPr>
        <w:tc>
          <w:tcPr>
            <w:tcW w:w="5360" w:type="dxa"/>
            <w:vAlign w:val="bottom"/>
            <w:gridSpan w:val="3"/>
          </w:tcPr>
          <w:p>
            <w:pPr>
              <w:spacing w:after="0"/>
              <w:rPr>
                <w:sz w:val="20"/>
                <w:szCs w:val="20"/>
                <w:color w:val="auto"/>
              </w:rPr>
            </w:pPr>
            <w:r>
              <w:rPr>
                <w:rFonts w:ascii="Arial" w:cs="Arial" w:eastAsia="Arial" w:hAnsi="Arial"/>
                <w:sz w:val="18"/>
                <w:szCs w:val="18"/>
                <w:color w:val="auto"/>
              </w:rPr>
              <w:t>Dated:______________________________</w:t>
            </w:r>
          </w:p>
        </w:tc>
        <w:tc>
          <w:tcPr>
            <w:tcW w:w="3880" w:type="dxa"/>
            <w:vAlign w:val="bottom"/>
          </w:tcPr>
          <w:p>
            <w:pPr>
              <w:ind w:left="580"/>
              <w:spacing w:after="0"/>
              <w:rPr>
                <w:sz w:val="20"/>
                <w:szCs w:val="20"/>
                <w:color w:val="auto"/>
              </w:rPr>
            </w:pPr>
            <w:r>
              <w:rPr>
                <w:rFonts w:ascii="Arial" w:cs="Arial" w:eastAsia="Arial" w:hAnsi="Arial"/>
                <w:sz w:val="18"/>
                <w:szCs w:val="18"/>
                <w:color w:val="auto"/>
                <w:w w:val="92"/>
              </w:rPr>
              <w:t>By:_________________________________</w:t>
            </w:r>
          </w:p>
        </w:tc>
      </w:tr>
      <w:tr>
        <w:trPr>
          <w:trHeight w:val="230"/>
        </w:trPr>
        <w:tc>
          <w:tcPr>
            <w:tcW w:w="11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80" w:type="dxa"/>
            <w:vAlign w:val="bottom"/>
          </w:tcPr>
          <w:p>
            <w:pPr>
              <w:ind w:left="580"/>
              <w:spacing w:after="0"/>
              <w:rPr>
                <w:sz w:val="20"/>
                <w:szCs w:val="20"/>
                <w:color w:val="auto"/>
              </w:rPr>
            </w:pPr>
            <w:r>
              <w:rPr>
                <w:rFonts w:ascii="Arial" w:cs="Arial" w:eastAsia="Arial" w:hAnsi="Arial"/>
                <w:sz w:val="18"/>
                <w:szCs w:val="18"/>
                <w:color w:val="auto"/>
              </w:rPr>
              <w:t>as Authenticating Agent</w:t>
            </w:r>
          </w:p>
        </w:tc>
      </w:tr>
      <w:tr>
        <w:trPr>
          <w:trHeight w:val="392"/>
        </w:trPr>
        <w:tc>
          <w:tcPr>
            <w:tcW w:w="5360" w:type="dxa"/>
            <w:vAlign w:val="bottom"/>
            <w:gridSpan w:val="3"/>
          </w:tcPr>
          <w:p>
            <w:pPr>
              <w:spacing w:after="0"/>
              <w:rPr>
                <w:sz w:val="20"/>
                <w:szCs w:val="20"/>
                <w:color w:val="auto"/>
              </w:rPr>
            </w:pPr>
            <w:r>
              <w:rPr>
                <w:rFonts w:ascii="Arial" w:cs="Arial" w:eastAsia="Arial" w:hAnsi="Arial"/>
                <w:sz w:val="18"/>
                <w:szCs w:val="18"/>
                <w:color w:val="auto"/>
              </w:rPr>
              <w:t>SECTION 612. Certain Duties and Responsibilities of the Trustee.</w:t>
            </w:r>
          </w:p>
        </w:tc>
        <w:tc>
          <w:tcPr>
            <w:tcW w:w="388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bl>
    <w:p>
      <w:pPr>
        <w:spacing w:after="0" w:line="229" w:lineRule="exact"/>
        <w:rPr>
          <w:sz w:val="20"/>
          <w:szCs w:val="20"/>
          <w:color w:val="auto"/>
        </w:rPr>
      </w:pPr>
    </w:p>
    <w:p>
      <w:pPr>
        <w:ind w:left="680" w:hanging="244"/>
        <w:spacing w:after="0"/>
        <w:tabs>
          <w:tab w:leader="none" w:pos="6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With respect to the Securities of any series, except during the continuance of an Event of Default with respect to the Securities of such series:</w:t>
      </w:r>
    </w:p>
    <w:p>
      <w:pPr>
        <w:spacing w:after="0" w:line="140" w:lineRule="exact"/>
        <w:rPr>
          <w:rFonts w:ascii="Arial" w:cs="Arial" w:eastAsia="Arial" w:hAnsi="Arial"/>
          <w:sz w:val="16"/>
          <w:szCs w:val="16"/>
          <w:color w:val="auto"/>
        </w:rPr>
      </w:pPr>
    </w:p>
    <w:p>
      <w:pPr>
        <w:ind w:left="440" w:right="700" w:firstLine="419"/>
        <w:spacing w:after="0" w:line="277" w:lineRule="auto"/>
        <w:tabs>
          <w:tab w:leader="none" w:pos="111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62" w:lineRule="exact"/>
        <w:rPr>
          <w:rFonts w:ascii="Arial" w:cs="Arial" w:eastAsia="Arial" w:hAnsi="Arial"/>
          <w:sz w:val="18"/>
          <w:szCs w:val="18"/>
          <w:color w:val="auto"/>
        </w:rPr>
      </w:pPr>
    </w:p>
    <w:p>
      <w:pPr>
        <w:ind w:left="440" w:firstLine="419"/>
        <w:spacing w:after="0" w:line="257" w:lineRule="auto"/>
        <w:tabs>
          <w:tab w:leader="none" w:pos="111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shall not be under any duty to verify the contents or accuracy thereof.</w:t>
      </w:r>
    </w:p>
    <w:p>
      <w:pPr>
        <w:spacing w:after="0" w:line="187" w:lineRule="exact"/>
        <w:rPr>
          <w:rFonts w:ascii="Arial" w:cs="Arial" w:eastAsia="Arial" w:hAnsi="Arial"/>
          <w:sz w:val="18"/>
          <w:szCs w:val="18"/>
          <w:color w:val="auto"/>
        </w:rPr>
      </w:pPr>
    </w:p>
    <w:p>
      <w:pPr>
        <w:ind w:right="40" w:firstLine="436"/>
        <w:spacing w:after="0" w:line="263" w:lineRule="auto"/>
        <w:tabs>
          <w:tab w:leader="none" w:pos="69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case an Event of Default with respect to the Securities of any series has occurred and is continuing, the Trustee shall, with respect to Securities of such series, exercise such of the rights and powers vested in it by this Indenture, and use the same degree of care and skill in their exercise, as a prudent man would exercise or use under the circumstances in the conduct of his own affairs.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40" w:top="274" w:right="479" w:bottom="1440" w:gutter="0" w:footer="0" w:header="0"/>
        </w:sectPr>
      </w:pPr>
    </w:p>
    <w:bookmarkStart w:id="120" w:name="page121"/>
    <w:bookmarkEnd w:id="120"/>
    <w:p>
      <w:pPr>
        <w:ind w:right="140" w:firstLine="436"/>
        <w:spacing w:after="0" w:line="277" w:lineRule="auto"/>
        <w:tabs>
          <w:tab w:leader="none" w:pos="685"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provision of this Indenture shall be construed to relieve the Trustee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this Subsection shall not be construed to limit the effect of Subsection (a) of this Section;</w:t>
      </w:r>
    </w:p>
    <w:p>
      <w:pPr>
        <w:spacing w:after="0" w:line="117" w:lineRule="exact"/>
        <w:rPr>
          <w:rFonts w:ascii="Arial" w:cs="Arial" w:eastAsia="Arial" w:hAnsi="Arial"/>
          <w:sz w:val="18"/>
          <w:szCs w:val="18"/>
          <w:color w:val="auto"/>
        </w:rPr>
      </w:pPr>
    </w:p>
    <w:p>
      <w:pPr>
        <w:ind w:left="440" w:right="220" w:firstLine="419"/>
        <w:spacing w:after="0" w:line="277" w:lineRule="auto"/>
        <w:tabs>
          <w:tab w:leader="none" w:pos="111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62" w:lineRule="exact"/>
        <w:rPr>
          <w:rFonts w:ascii="Arial" w:cs="Arial" w:eastAsia="Arial" w:hAnsi="Arial"/>
          <w:sz w:val="18"/>
          <w:szCs w:val="18"/>
          <w:color w:val="auto"/>
        </w:rPr>
      </w:pPr>
    </w:p>
    <w:p>
      <w:pPr>
        <w:ind w:left="440" w:right="80" w:firstLine="419"/>
        <w:spacing w:after="0" w:line="259" w:lineRule="auto"/>
        <w:tabs>
          <w:tab w:leader="none" w:pos="111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w:t>
      </w:r>
    </w:p>
    <w:p>
      <w:pPr>
        <w:spacing w:after="0" w:line="78" w:lineRule="exact"/>
        <w:rPr>
          <w:rFonts w:ascii="Arial" w:cs="Arial" w:eastAsia="Arial" w:hAnsi="Arial"/>
          <w:sz w:val="18"/>
          <w:szCs w:val="18"/>
          <w:color w:val="auto"/>
        </w:rPr>
      </w:pPr>
    </w:p>
    <w:p>
      <w:pPr>
        <w:ind w:left="440" w:right="160" w:firstLine="419"/>
        <w:spacing w:after="0" w:line="275" w:lineRule="auto"/>
        <w:tabs>
          <w:tab w:leader="none" w:pos="1118" w:val="left"/>
        </w:tabs>
        <w:numPr>
          <w:ilvl w:val="1"/>
          <w:numId w:val="114"/>
        </w:numPr>
        <w:rPr>
          <w:rFonts w:ascii="Arial" w:cs="Arial" w:eastAsia="Arial" w:hAnsi="Arial"/>
          <w:sz w:val="17"/>
          <w:szCs w:val="17"/>
          <w:color w:val="auto"/>
        </w:rPr>
      </w:pPr>
      <w:r>
        <w:rPr>
          <w:rFonts w:ascii="Arial" w:cs="Arial" w:eastAsia="Arial" w:hAnsi="Arial"/>
          <w:sz w:val="17"/>
          <w:szCs w:val="17"/>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and, the Trustee shall be under no obligation to exercise any of its rights and powers under this Indenture at the request of any Holder, unless such Holder shall have offered to the Trustee security and indemnity satisfactory to it against any loss, liability or expense.</w:t>
      </w:r>
    </w:p>
    <w:p>
      <w:pPr>
        <w:spacing w:after="0" w:line="176" w:lineRule="exact"/>
        <w:rPr>
          <w:rFonts w:ascii="Arial" w:cs="Arial" w:eastAsia="Arial" w:hAnsi="Arial"/>
          <w:sz w:val="17"/>
          <w:szCs w:val="17"/>
          <w:color w:val="auto"/>
        </w:rPr>
      </w:pPr>
    </w:p>
    <w:p>
      <w:pPr>
        <w:ind w:right="60" w:firstLine="436"/>
        <w:spacing w:after="0" w:line="277" w:lineRule="auto"/>
        <w:tabs>
          <w:tab w:leader="none" w:pos="69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 612.</w:t>
      </w:r>
    </w:p>
    <w:p>
      <w:pPr>
        <w:spacing w:after="0" w:line="170" w:lineRule="exact"/>
        <w:rPr>
          <w:rFonts w:ascii="Arial" w:cs="Arial" w:eastAsia="Arial" w:hAnsi="Arial"/>
          <w:sz w:val="18"/>
          <w:szCs w:val="18"/>
          <w:color w:val="auto"/>
        </w:rPr>
      </w:pPr>
    </w:p>
    <w:p>
      <w:pPr>
        <w:ind w:right="360" w:firstLine="436"/>
        <w:spacing w:after="0" w:line="308" w:lineRule="auto"/>
        <w:tabs>
          <w:tab w:leader="none" w:pos="68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Trustee shall not be liable for interest on any money or assets held by it except to the extent the Trustee may agree in writing with the Company. Assets held in trust by the Trustee need not be segregated from other assets except to the extent required by law.</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SEVEN—HOLDERS’ LISTS AND REPORTS BY TRUSTEE AND COMPANY</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Disclosure of Names and Addresses of Holders</w:t>
      </w:r>
      <w:r>
        <w:rPr>
          <w:rFonts w:ascii="Arial" w:cs="Arial" w:eastAsia="Arial" w:hAnsi="Arial"/>
          <w:sz w:val="17"/>
          <w:szCs w:val="17"/>
          <w:color w:val="auto"/>
        </w:rPr>
        <w:t>. Every Holder of Securities or coupons, by receiving and holding the same, agrees with the Company and the Trustee that neither the Company nor the Trustee nor any Authenticating Agent nor any Paying Agent nor any Security Registrar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any material pursuant to a request made under TIA Section 312(b).</w:t>
      </w:r>
    </w:p>
    <w:p>
      <w:pPr>
        <w:spacing w:after="0" w:line="176" w:lineRule="exact"/>
        <w:rPr>
          <w:sz w:val="20"/>
          <w:szCs w:val="20"/>
          <w:color w:val="auto"/>
        </w:rPr>
      </w:pPr>
    </w:p>
    <w:p>
      <w:pPr>
        <w:ind w:right="300"/>
        <w:spacing w:after="0" w:line="287"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Reports by Trustee</w:t>
      </w:r>
      <w:r>
        <w:rPr>
          <w:rFonts w:ascii="Arial" w:cs="Arial" w:eastAsia="Arial" w:hAnsi="Arial"/>
          <w:sz w:val="16"/>
          <w:szCs w:val="16"/>
          <w:color w:val="auto"/>
        </w:rPr>
        <w:t>. The Trustee shall transmit to Holders such reports concerning the Trustee and its actions under this Indenture as may be required by TIA Section 313 at the times and in the manner provided by the TIA, which shall initially be not less than every twelve months commencing on __________, 20__. A copy of each such report shall, at the time of such transmission to Holders, be filed by the Trustee with each</w:t>
      </w:r>
    </w:p>
    <w:p>
      <w:pPr>
        <w:spacing w:after="0" w:line="2"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over-the-counter market or securities exchange, if any, upon which any Securities are quoted or listed, with the Commission and with the Company. The Company will notify the Trustee when any Securities are quoted or listed on any over-the-counter market or securities exchange or delisted therefrom.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Reports by Company</w:t>
      </w:r>
      <w:r>
        <w:rPr>
          <w:rFonts w:ascii="Arial" w:cs="Arial" w:eastAsia="Arial" w:hAnsi="Arial"/>
          <w:sz w:val="18"/>
          <w:szCs w:val="18"/>
          <w:color w:val="auto"/>
        </w:rPr>
        <w:t>. The Company will:</w:t>
      </w:r>
    </w:p>
    <w:p>
      <w:pPr>
        <w:spacing w:after="0" w:line="117" w:lineRule="exact"/>
        <w:rPr>
          <w:sz w:val="20"/>
          <w:szCs w:val="20"/>
          <w:color w:val="auto"/>
        </w:rPr>
      </w:pPr>
    </w:p>
    <w:p>
      <w:pPr>
        <w:ind w:right="20" w:firstLine="436"/>
        <w:spacing w:after="0" w:line="291" w:lineRule="auto"/>
        <w:tabs>
          <w:tab w:leader="none" w:pos="69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file with the Trustee, within 15 calendar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Exchange Act; or, if the Company is not required to file information, documents or reports pursuant to either of such Sections, then it will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quoted or listed and registered on an over-the-counter market or national securities exchange as may be prescribed from time to time in such rules and regulations;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440" w:top="274" w:right="499" w:bottom="1440" w:gutter="0" w:footer="0" w:header="0"/>
        </w:sectPr>
      </w:pPr>
    </w:p>
    <w:bookmarkStart w:id="121" w:name="page122"/>
    <w:bookmarkEnd w:id="121"/>
    <w:p>
      <w:pPr>
        <w:ind w:left="4" w:right="140" w:firstLine="436"/>
        <w:spacing w:after="0" w:line="263" w:lineRule="auto"/>
        <w:tabs>
          <w:tab w:leader="none" w:pos="699" w:val="left"/>
        </w:tabs>
        <w:numPr>
          <w:ilvl w:val="1"/>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w:t>
      </w:r>
    </w:p>
    <w:p>
      <w:pPr>
        <w:spacing w:after="0" w:line="183" w:lineRule="exact"/>
        <w:rPr>
          <w:rFonts w:ascii="Arial" w:cs="Arial" w:eastAsia="Arial" w:hAnsi="Arial"/>
          <w:sz w:val="18"/>
          <w:szCs w:val="18"/>
          <w:color w:val="auto"/>
        </w:rPr>
      </w:pPr>
    </w:p>
    <w:p>
      <w:pPr>
        <w:ind w:left="4" w:firstLine="436"/>
        <w:spacing w:after="0" w:line="291" w:lineRule="auto"/>
        <w:tabs>
          <w:tab w:leader="none" w:pos="699"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transmit by mail to the Holders of Securities, within 30 calendar days after the filing thereof with the Trustee, in the manner and to the extent provided in TIA Section 313(c), such summaries of any information, documents and reports required to be filed by the Company pursuant to paragraphs</w:t>
      </w:r>
    </w:p>
    <w:p>
      <w:pPr>
        <w:ind w:left="264" w:hanging="264"/>
        <w:spacing w:after="0"/>
        <w:tabs>
          <w:tab w:leader="none" w:pos="26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and (2) of this Section as may be required by rules and regulations prescribed from time to time by the Commission; and</w:t>
      </w:r>
    </w:p>
    <w:p>
      <w:pPr>
        <w:spacing w:after="0" w:line="210" w:lineRule="exact"/>
        <w:rPr>
          <w:rFonts w:ascii="Arial" w:cs="Arial" w:eastAsia="Arial" w:hAnsi="Arial"/>
          <w:sz w:val="18"/>
          <w:szCs w:val="18"/>
          <w:color w:val="auto"/>
        </w:rPr>
      </w:pPr>
    </w:p>
    <w:p>
      <w:pPr>
        <w:jc w:val="both"/>
        <w:ind w:left="4" w:right="220" w:firstLine="436"/>
        <w:spacing w:after="0" w:line="286" w:lineRule="auto"/>
        <w:tabs>
          <w:tab w:leader="none" w:pos="699" w:val="left"/>
        </w:tabs>
        <w:numPr>
          <w:ilvl w:val="1"/>
          <w:numId w:val="117"/>
        </w:numPr>
        <w:rPr>
          <w:rFonts w:ascii="Arial" w:cs="Arial" w:eastAsia="Arial" w:hAnsi="Arial"/>
          <w:sz w:val="17"/>
          <w:szCs w:val="17"/>
          <w:color w:val="auto"/>
        </w:rPr>
      </w:pPr>
      <w:r>
        <w:rPr>
          <w:rFonts w:ascii="Arial" w:cs="Arial" w:eastAsia="Arial" w:hAnsi="Arial"/>
          <w:sz w:val="17"/>
          <w:szCs w:val="17"/>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Company to Furnish Trustee Names and Addresses of Holders</w:t>
      </w:r>
      <w:r>
        <w:rPr>
          <w:rFonts w:ascii="Arial" w:cs="Arial" w:eastAsia="Arial" w:hAnsi="Arial"/>
          <w:sz w:val="17"/>
          <w:szCs w:val="17"/>
          <w:color w:val="auto"/>
        </w:rPr>
        <w:t>. The Company will furnish or cause to be furnished to the Trustee:</w:t>
      </w:r>
    </w:p>
    <w:p>
      <w:pPr>
        <w:spacing w:after="0" w:line="129" w:lineRule="exact"/>
        <w:rPr>
          <w:sz w:val="20"/>
          <w:szCs w:val="20"/>
          <w:color w:val="auto"/>
        </w:rPr>
      </w:pPr>
    </w:p>
    <w:p>
      <w:pPr>
        <w:jc w:val="both"/>
        <w:ind w:left="4" w:right="60" w:firstLine="436"/>
        <w:spacing w:after="0" w:line="259" w:lineRule="auto"/>
        <w:tabs>
          <w:tab w:leader="none" w:pos="68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semiannually, not later than 15 calendar days after the Regular Record Date for interest for each series of Securities, a list, in such form as the Trustee may reasonably require, of the names and addresses of the Holders of Registered Securities of such series as of such Regular Record Date, or if there is no Regular Record Date for interest for such series of Securities, semiannually, upon such dates as are set forth in the Board Resolution or indenture supplemental hereto authorizing such series, and</w:t>
      </w:r>
    </w:p>
    <w:p>
      <w:pPr>
        <w:spacing w:after="0" w:line="186" w:lineRule="exact"/>
        <w:rPr>
          <w:rFonts w:ascii="Arial" w:cs="Arial" w:eastAsia="Arial" w:hAnsi="Arial"/>
          <w:sz w:val="18"/>
          <w:szCs w:val="18"/>
          <w:color w:val="auto"/>
        </w:rPr>
      </w:pPr>
    </w:p>
    <w:p>
      <w:pPr>
        <w:ind w:left="4" w:right="120" w:firstLine="436"/>
        <w:spacing w:after="0" w:line="277" w:lineRule="auto"/>
        <w:tabs>
          <w:tab w:leader="none" w:pos="69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calendar days after the receipt by the Company of any such request, a list of similar form and content as of a date not more than 15 calendar days prior to the time such list is furnished,</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so long as the Trustee is the Security Registrar, no such list shall be required to be furnished.</w:t>
      </w:r>
    </w:p>
    <w:p>
      <w:pPr>
        <w:spacing w:after="0" w:line="200" w:lineRule="exact"/>
        <w:rPr>
          <w:sz w:val="20"/>
          <w:szCs w:val="20"/>
          <w:color w:val="auto"/>
        </w:rPr>
      </w:pPr>
    </w:p>
    <w:p>
      <w:pPr>
        <w:spacing w:after="0" w:line="24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ARTICLE EIGHT—CONSOLIDATION, MERGER, SALE, LEASE OR CONVEYANCE</w:t>
      </w:r>
    </w:p>
    <w:p>
      <w:pPr>
        <w:spacing w:after="0" w:line="225" w:lineRule="exact"/>
        <w:rPr>
          <w:sz w:val="20"/>
          <w:szCs w:val="20"/>
          <w:color w:val="auto"/>
        </w:rPr>
      </w:pPr>
    </w:p>
    <w:p>
      <w:pPr>
        <w:ind w:left="4" w:right="20"/>
        <w:spacing w:after="0" w:line="287"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Consolidations and Mergers of Company and Sales, Leases and Conveyances Permitted Subject to Certain Conditions</w:t>
      </w:r>
      <w:r>
        <w:rPr>
          <w:rFonts w:ascii="Arial" w:cs="Arial" w:eastAsia="Arial" w:hAnsi="Arial"/>
          <w:sz w:val="16"/>
          <w:szCs w:val="16"/>
          <w:color w:val="auto"/>
        </w:rPr>
        <w:t>. The Company may consolidate with, or sell, lease or convey all or substantially all of its assets to, or merge with or into any other corporation, provided that in any such case, (1) either the Company shall be the continuing corporation, or the successor corporation shall be a corporation organized and existing under the laws of the United States or a State thereof and such successor corporation shall expressly assume the due and punctual payment of the principal of (and premium or Make-Whole Amount, if any) and any interest on all of the Securities, according to their tenor, and the due and punctual performance and observance of all of the covenants and conditions of this Indenture to be performed by the Company by supplemental indenture, complying with Article Nine hereof, satisfactory to the Trustee, executed and delivered to the Trustee by such corporation, (2) immediately after giving effect to such transaction and treating any indebtedness which becomes an obligation of the Company or any Subsidiary as a result thereof as having been incurred by the Company or such Subsidiary at the time of such transaction, no Event of Default, and no event which, after notice or the lapse of time, or both, would become an Event of Default, shall have occurred and be continuing and (3) the Company shall have delivered to the Trustee the Officer’s Certificate and Opinion of Counsel required pursuant to Section 803 below.</w:t>
      </w:r>
    </w:p>
    <w:p>
      <w:pPr>
        <w:spacing w:after="0" w:line="172" w:lineRule="exact"/>
        <w:rPr>
          <w:sz w:val="20"/>
          <w:szCs w:val="20"/>
          <w:color w:val="auto"/>
        </w:rPr>
      </w:pPr>
    </w:p>
    <w:p>
      <w:pPr>
        <w:ind w:left="4" w:right="120"/>
        <w:spacing w:after="0" w:line="290"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Rights and Duties of Successor Corporation</w:t>
      </w:r>
      <w:r>
        <w:rPr>
          <w:rFonts w:ascii="Arial" w:cs="Arial" w:eastAsia="Arial" w:hAnsi="Arial"/>
          <w:sz w:val="16"/>
          <w:szCs w:val="16"/>
          <w:color w:val="auto"/>
        </w:rPr>
        <w:t>. In case of any such consolidation, merger, sale, lease or conveyance and upon any such assumption by the successor corporation, such successor corporation shall succeed to and be substituted for the Company, with the same effect as if it had been named herein as the party of the first part, and the predecessor corporation, except in the event of a lease, shall be relieved of any further obligation under this Indenture and the Securities. Such successor corporation thereupon may cause to be signed, and may issue either in its own name or in the name of the Company, any or all of the Securities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shall deliver any Securities which previously shall have been signed and delivered by the officers of the Company to the Trustee for authentication, and any Securities which such</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4"/>
          </w:cols>
          <w:pgMar w:left="436" w:top="274" w:right="499" w:bottom="1440" w:gutter="0" w:footer="0" w:header="0"/>
        </w:sectPr>
      </w:pPr>
    </w:p>
    <w:bookmarkStart w:id="122" w:name="page123"/>
    <w:bookmarkEnd w:id="122"/>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successor corporation thereafter shall cause to be signed and delivered to the Trustee for that purpose.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case of any such consolidation, merger, sale, lease or conveyance, such changes in phraseology and form (but not in substance) may be made in the Securities thereafter to be issued as may be appropriate.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Officers’ Certificate and Opinion of Counsel</w:t>
      </w:r>
      <w:r>
        <w:rPr>
          <w:rFonts w:ascii="Arial" w:cs="Arial" w:eastAsia="Arial" w:hAnsi="Arial"/>
          <w:sz w:val="18"/>
          <w:szCs w:val="18"/>
          <w:color w:val="auto"/>
        </w:rPr>
        <w:t>. Any consolidation, merger, sale, lease or conveyance permitted under Section 801 is also subject to the condition that the Trustee receive an Officers’ Certificate and an Opinion of Counsel to the effect that any such consolidation, merger, sale, lease or conveyance, and the assumption by any successor corporation, complies with the provisions of this Article and that all conditions precedent herein provided for relating to such transaction have been complied with.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NINE—SUPPLEMENTAL INDENTURES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Consent of Holders</w:t>
      </w:r>
      <w:r>
        <w:rPr>
          <w:rFonts w:ascii="Arial" w:cs="Arial" w:eastAsia="Arial" w:hAnsi="Arial"/>
          <w:sz w:val="18"/>
          <w:szCs w:val="18"/>
          <w:color w:val="auto"/>
        </w:rPr>
        <w:t>. Without the consent of any Holders of Securities or coupons,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76" w:lineRule="exact"/>
        <w:rPr>
          <w:sz w:val="20"/>
          <w:szCs w:val="20"/>
          <w:color w:val="auto"/>
        </w:rPr>
      </w:pPr>
    </w:p>
    <w:p>
      <w:pPr>
        <w:ind w:right="400" w:firstLine="436"/>
        <w:spacing w:after="0" w:line="277" w:lineRule="auto"/>
        <w:tabs>
          <w:tab w:leader="none" w:pos="69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contained herein and in the Securities; or</w:t>
      </w:r>
    </w:p>
    <w:p>
      <w:pPr>
        <w:spacing w:after="0" w:line="170" w:lineRule="exact"/>
        <w:rPr>
          <w:rFonts w:ascii="Arial" w:cs="Arial" w:eastAsia="Arial" w:hAnsi="Arial"/>
          <w:sz w:val="18"/>
          <w:szCs w:val="18"/>
          <w:color w:val="auto"/>
        </w:rPr>
      </w:pPr>
    </w:p>
    <w:p>
      <w:pPr>
        <w:jc w:val="both"/>
        <w:ind w:right="140" w:firstLine="436"/>
        <w:spacing w:after="0" w:line="263" w:lineRule="auto"/>
        <w:tabs>
          <w:tab w:leader="none" w:pos="69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3" w:lineRule="exact"/>
        <w:rPr>
          <w:rFonts w:ascii="Arial" w:cs="Arial" w:eastAsia="Arial" w:hAnsi="Arial"/>
          <w:sz w:val="18"/>
          <w:szCs w:val="18"/>
          <w:color w:val="auto"/>
        </w:rPr>
      </w:pPr>
    </w:p>
    <w:p>
      <w:pPr>
        <w:ind w:right="20" w:firstLine="436"/>
        <w:spacing w:after="0" w:line="293" w:lineRule="auto"/>
        <w:tabs>
          <w:tab w:leader="none" w:pos="69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to add, delete or modify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respect of any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164" w:lineRule="exact"/>
        <w:rPr>
          <w:rFonts w:ascii="Arial" w:cs="Arial" w:eastAsia="Arial" w:hAnsi="Arial"/>
          <w:sz w:val="16"/>
          <w:szCs w:val="16"/>
          <w:color w:val="auto"/>
        </w:rPr>
      </w:pPr>
    </w:p>
    <w:p>
      <w:pPr>
        <w:ind w:right="160" w:firstLine="436"/>
        <w:spacing w:after="0" w:line="275" w:lineRule="auto"/>
        <w:tabs>
          <w:tab w:leader="none" w:pos="69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to add to or change any of the provisions of this Indenture to provide that Bearer Securities may be registrable as to principal, to change or eliminate any restrictions on the payment of principal of or premium or Make-Whole Amount, if any,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action shall not adversely affect the interests of the Holders of Securities of any series or any related coupons in any material respect; or</w:t>
      </w:r>
    </w:p>
    <w:p>
      <w:pPr>
        <w:spacing w:after="0" w:line="176" w:lineRule="exact"/>
        <w:rPr>
          <w:rFonts w:ascii="Arial" w:cs="Arial" w:eastAsia="Arial" w:hAnsi="Arial"/>
          <w:sz w:val="17"/>
          <w:szCs w:val="17"/>
          <w:color w:val="auto"/>
        </w:rPr>
      </w:pPr>
    </w:p>
    <w:p>
      <w:pPr>
        <w:ind w:right="120" w:firstLine="436"/>
        <w:spacing w:after="0" w:line="263" w:lineRule="auto"/>
        <w:tabs>
          <w:tab w:leader="none" w:pos="69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secure the Securities; or</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to establish the form or terms of Securities of any series and any related coupons as permitted or contemplated by Sections 201 and 301; or</w:t>
      </w:r>
    </w:p>
    <w:p>
      <w:pPr>
        <w:spacing w:after="0" w:line="248" w:lineRule="exact"/>
        <w:rPr>
          <w:rFonts w:ascii="Arial" w:cs="Arial" w:eastAsia="Arial" w:hAnsi="Arial"/>
          <w:sz w:val="16"/>
          <w:szCs w:val="16"/>
          <w:color w:val="auto"/>
        </w:rPr>
      </w:pPr>
    </w:p>
    <w:p>
      <w:pPr>
        <w:jc w:val="both"/>
        <w:ind w:right="380" w:firstLine="436"/>
        <w:spacing w:after="0" w:line="263" w:lineRule="auto"/>
        <w:tabs>
          <w:tab w:leader="none" w:pos="69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123" w:name="page124"/>
    <w:bookmarkEnd w:id="123"/>
    <w:p>
      <w:pPr>
        <w:jc w:val="both"/>
        <w:ind w:right="120" w:firstLine="436"/>
        <w:spacing w:after="0" w:line="259" w:lineRule="auto"/>
        <w:tabs>
          <w:tab w:leader="none" w:pos="695" w:val="left"/>
        </w:tabs>
        <w:numPr>
          <w:ilvl w:val="0"/>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cure any ambiguity, to correct or supplement any provision herein which may be defective or inconsistent with any other provision herein, or to make any other provisions with respect to matters or questions arising under this Indenture which shall not be inconsistent with the provisions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provisions shall not adversely affect the interests of the Holders of Securities of any series or any related coupons in any material respect; or</w:t>
      </w:r>
    </w:p>
    <w:p>
      <w:pPr>
        <w:spacing w:after="0" w:line="186" w:lineRule="exact"/>
        <w:rPr>
          <w:rFonts w:ascii="Arial" w:cs="Arial" w:eastAsia="Arial" w:hAnsi="Arial"/>
          <w:sz w:val="18"/>
          <w:szCs w:val="18"/>
          <w:color w:val="auto"/>
        </w:rPr>
      </w:pPr>
    </w:p>
    <w:p>
      <w:pPr>
        <w:jc w:val="both"/>
        <w:ind w:right="20" w:firstLine="436"/>
        <w:spacing w:after="0" w:line="286" w:lineRule="auto"/>
        <w:tabs>
          <w:tab w:leader="none" w:pos="78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to supplement any of the provisions of this Indenture to such extent as shall be necessary to permit or facilitate the Defeasance and discharge of any series of Securities pursuant to Sections 401, 1402 and 1403;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action shall not adversely affect the interests of the Holders of Securities of such series and any related coupons or any other series of Securities in any material respect; or</w:t>
      </w:r>
    </w:p>
    <w:p>
      <w:pPr>
        <w:spacing w:after="0" w:line="165" w:lineRule="exact"/>
        <w:rPr>
          <w:rFonts w:ascii="Arial" w:cs="Arial" w:eastAsia="Arial" w:hAnsi="Arial"/>
          <w:sz w:val="17"/>
          <w:szCs w:val="17"/>
          <w:color w:val="auto"/>
        </w:rPr>
      </w:pPr>
    </w:p>
    <w:p>
      <w:pPr>
        <w:ind w:left="780" w:hanging="344"/>
        <w:spacing w:after="0"/>
        <w:tabs>
          <w:tab w:leader="none" w:pos="7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to make provisions with respect to Holders’ rights of conversion with respect to any series of Securities pursuant to Article Sixteen.</w:t>
      </w:r>
    </w:p>
    <w:p>
      <w:pPr>
        <w:spacing w:after="0" w:line="236" w:lineRule="exact"/>
        <w:rPr>
          <w:rFonts w:ascii="Arial" w:cs="Arial" w:eastAsia="Arial" w:hAnsi="Arial"/>
          <w:sz w:val="17"/>
          <w:szCs w:val="17"/>
          <w:color w:val="auto"/>
        </w:rPr>
      </w:pPr>
    </w:p>
    <w:p>
      <w:pPr>
        <w:ind w:left="780" w:hanging="344"/>
        <w:spacing w:after="0"/>
        <w:tabs>
          <w:tab w:leader="none" w:pos="7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to make any change in any series of Securities that does not adversely affect in any material respect the rights of the Holders of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210" w:lineRule="exact"/>
        <w:rPr>
          <w:rFonts w:ascii="Arial" w:cs="Arial" w:eastAsia="Arial" w:hAnsi="Arial"/>
          <w:sz w:val="17"/>
          <w:szCs w:val="17"/>
          <w:color w:val="auto"/>
        </w:rPr>
      </w:pPr>
    </w:p>
    <w:p>
      <w:pPr>
        <w:ind w:left="780" w:hanging="344"/>
        <w:spacing w:after="0"/>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right="80" w:firstLine="436"/>
        <w:spacing w:after="0" w:line="308" w:lineRule="auto"/>
        <w:tabs>
          <w:tab w:leader="none" w:pos="78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hereunder by a successor trustee and to add to or change any of the provisions of the Indenture as shall be necessary to provide for or facilitate the administration of the trusts hereunder by more than one trustee;</w:t>
      </w:r>
    </w:p>
    <w:p>
      <w:pPr>
        <w:spacing w:after="0" w:line="146" w:lineRule="exact"/>
        <w:rPr>
          <w:rFonts w:ascii="Arial" w:cs="Arial" w:eastAsia="Arial" w:hAnsi="Arial"/>
          <w:sz w:val="17"/>
          <w:szCs w:val="17"/>
          <w:color w:val="auto"/>
        </w:rPr>
      </w:pPr>
    </w:p>
    <w:p>
      <w:pPr>
        <w:ind w:right="440" w:firstLine="436"/>
        <w:spacing w:after="0" w:line="277" w:lineRule="auto"/>
        <w:tabs>
          <w:tab w:leader="none" w:pos="78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all or any series of Securities or that does not adversely affect the legal rights hereunder of any such Holder;</w:t>
      </w:r>
    </w:p>
    <w:p>
      <w:pPr>
        <w:spacing w:after="0" w:line="170" w:lineRule="exact"/>
        <w:rPr>
          <w:rFonts w:ascii="Arial" w:cs="Arial" w:eastAsia="Arial" w:hAnsi="Arial"/>
          <w:sz w:val="18"/>
          <w:szCs w:val="18"/>
          <w:color w:val="auto"/>
        </w:rPr>
      </w:pPr>
    </w:p>
    <w:p>
      <w:pPr>
        <w:ind w:right="60" w:firstLine="436"/>
        <w:spacing w:after="0" w:line="277" w:lineRule="auto"/>
        <w:tabs>
          <w:tab w:leader="none" w:pos="78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add to or change or eliminate any provision of this Indenture as shall be necessary or desirable in accordance with any amendments to the Trust Indenture Act;</w:t>
      </w:r>
    </w:p>
    <w:p>
      <w:pPr>
        <w:spacing w:after="0" w:line="170" w:lineRule="exact"/>
        <w:rPr>
          <w:rFonts w:ascii="Arial" w:cs="Arial" w:eastAsia="Arial" w:hAnsi="Arial"/>
          <w:sz w:val="18"/>
          <w:szCs w:val="18"/>
          <w:color w:val="auto"/>
        </w:rPr>
      </w:pPr>
    </w:p>
    <w:p>
      <w:pPr>
        <w:ind w:left="780" w:hanging="344"/>
        <w:spacing w:after="0"/>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secure the Company’s obligations in respect of the Securities of any series;</w:t>
      </w:r>
    </w:p>
    <w:p>
      <w:pPr>
        <w:spacing w:after="0" w:line="225" w:lineRule="exact"/>
        <w:rPr>
          <w:rFonts w:ascii="Arial" w:cs="Arial" w:eastAsia="Arial" w:hAnsi="Arial"/>
          <w:sz w:val="18"/>
          <w:szCs w:val="18"/>
          <w:color w:val="auto"/>
        </w:rPr>
      </w:pPr>
    </w:p>
    <w:p>
      <w:pPr>
        <w:ind w:right="280" w:firstLine="436"/>
        <w:spacing w:after="0" w:line="277" w:lineRule="auto"/>
        <w:tabs>
          <w:tab w:leader="none" w:pos="78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add guarantors or co-obligors in respect of the Securities of any series or to release any guarantors from their guarantees in accordance with the terms of the applicable series of Securities;</w:t>
      </w:r>
    </w:p>
    <w:p>
      <w:pPr>
        <w:spacing w:after="0" w:line="170" w:lineRule="exact"/>
        <w:rPr>
          <w:rFonts w:ascii="Arial" w:cs="Arial" w:eastAsia="Arial" w:hAnsi="Arial"/>
          <w:sz w:val="18"/>
          <w:szCs w:val="18"/>
          <w:color w:val="auto"/>
        </w:rPr>
      </w:pPr>
    </w:p>
    <w:p>
      <w:pPr>
        <w:ind w:right="60" w:firstLine="436"/>
        <w:spacing w:after="0" w:line="263" w:lineRule="auto"/>
        <w:tabs>
          <w:tab w:leader="none" w:pos="78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supplement any of the provisions of this Indenture to such extent as shall be necessary to permit or facilitate the defeasance and discharge of any series of Securities; provided that any such action shall not adversely affect the interests of the Holders of Securities of such series or any other series of Securities in any material respect;</w:t>
      </w:r>
    </w:p>
    <w:p>
      <w:pPr>
        <w:spacing w:after="0" w:line="183" w:lineRule="exact"/>
        <w:rPr>
          <w:rFonts w:ascii="Arial" w:cs="Arial" w:eastAsia="Arial" w:hAnsi="Arial"/>
          <w:sz w:val="18"/>
          <w:szCs w:val="18"/>
          <w:color w:val="auto"/>
        </w:rPr>
      </w:pPr>
    </w:p>
    <w:p>
      <w:pPr>
        <w:ind w:left="780" w:hanging="344"/>
        <w:spacing w:after="0"/>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prohibit the authentication and delivery of additional series of Securities;</w:t>
      </w:r>
    </w:p>
    <w:p>
      <w:pPr>
        <w:spacing w:after="0" w:line="225" w:lineRule="exact"/>
        <w:rPr>
          <w:rFonts w:ascii="Arial" w:cs="Arial" w:eastAsia="Arial" w:hAnsi="Arial"/>
          <w:sz w:val="18"/>
          <w:szCs w:val="18"/>
          <w:color w:val="auto"/>
        </w:rPr>
      </w:pPr>
    </w:p>
    <w:p>
      <w:pPr>
        <w:ind w:right="20" w:firstLine="436"/>
        <w:spacing w:after="0" w:line="259" w:lineRule="auto"/>
        <w:tabs>
          <w:tab w:leader="none" w:pos="78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case of convertible or exchangeable Securities of any series, subject to the provisions of the supplemental indenture for such series of Securities, to provide for conversion rights, exchange rights and/or repurchase rights of Holders of such series of Securities in connection with any reclassification or change of the Company’s ordinary shares or in the event of any amalgamation, consolidation, merger or sale of all or substantially all of the assets of the Company or its Subsidiaries substantially as an entirety occurs;</w:t>
      </w:r>
    </w:p>
    <w:p>
      <w:pPr>
        <w:spacing w:after="0" w:line="186" w:lineRule="exact"/>
        <w:rPr>
          <w:rFonts w:ascii="Arial" w:cs="Arial" w:eastAsia="Arial" w:hAnsi="Arial"/>
          <w:sz w:val="18"/>
          <w:szCs w:val="18"/>
          <w:color w:val="auto"/>
        </w:rPr>
      </w:pPr>
    </w:p>
    <w:p>
      <w:pPr>
        <w:ind w:right="40" w:firstLine="436"/>
        <w:spacing w:after="0" w:line="277" w:lineRule="auto"/>
        <w:tabs>
          <w:tab w:leader="none" w:pos="78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case of convertible or exchangeable Securities of any series, to reduce the conversion price or exchange price applicable to such series of Securities; or</w:t>
      </w:r>
    </w:p>
    <w:p>
      <w:pPr>
        <w:spacing w:after="0" w:line="170" w:lineRule="exact"/>
        <w:rPr>
          <w:rFonts w:ascii="Arial" w:cs="Arial" w:eastAsia="Arial" w:hAnsi="Arial"/>
          <w:sz w:val="18"/>
          <w:szCs w:val="18"/>
          <w:color w:val="auto"/>
        </w:rPr>
      </w:pPr>
    </w:p>
    <w:p>
      <w:pPr>
        <w:ind w:right="80" w:firstLine="436"/>
        <w:spacing w:after="0" w:line="263" w:lineRule="auto"/>
        <w:tabs>
          <w:tab w:leader="none" w:pos="78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case of convertible or exchangeable Securities of any series, to increase the conversion rate or exchange ratio in the manner described in the supplemental indenture for such series of Securities, provided that the increase will not adversely affect the interests of the Holders of the Securities of such series in any material respect.</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Supplemental Indentures with Consent of Holders</w:t>
      </w:r>
      <w:r>
        <w:rPr>
          <w:rFonts w:ascii="Arial" w:cs="Arial" w:eastAsia="Arial" w:hAnsi="Arial"/>
          <w:sz w:val="18"/>
          <w:szCs w:val="18"/>
          <w:color w:val="auto"/>
        </w:rPr>
        <w:t xml:space="preserve">. With the consent of the Holders of not less than a majority in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and any related coupons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supplemental indenture shall, without the consent of the Holder of each Outstanding Security affected thereby:</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40"/>
          </w:cols>
          <w:pgMar w:left="440" w:top="274" w:right="519" w:bottom="1440" w:gutter="0" w:footer="0" w:header="0"/>
        </w:sectPr>
      </w:pPr>
    </w:p>
    <w:bookmarkStart w:id="124" w:name="page125"/>
    <w:bookmarkEnd w:id="124"/>
    <w:p>
      <w:pPr>
        <w:ind w:firstLine="436"/>
        <w:spacing w:after="0" w:line="270" w:lineRule="auto"/>
        <w:tabs>
          <w:tab w:leader="none" w:pos="695" w:val="left"/>
        </w:tabs>
        <w:numPr>
          <w:ilvl w:val="0"/>
          <w:numId w:val="1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the Stated Maturity of the principal of (or premium or Make-Whole Amount, if any, on) or any installment of principal of or interest on, any Security; or reduce the principal amount thereof or the rate or amount of interest thereon, or any premium or Make-Whole Amount payable upon the redemption thereof, or reduce the amount of the principal of an Original Issue Discount Security that would be due and payable upon a declaration of acceleration of the Maturity thereof pursuant to Section 502 or the amount thereof provable in bankruptcy pursuant to Section 504, or adversely affect any right of repayment at the option of the Holder of any Security, or change any Place of Payment where, or the currency or currencies, currency unit or units or composite currency or currencies in which, any Security or any premium or Make-Whole Amount or the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(if Securities of such series are convertible) adversely affect the right of the Holder to convert any Security as provided in Article Sixteen; or</w:t>
      </w:r>
    </w:p>
    <w:p>
      <w:pPr>
        <w:spacing w:after="0" w:line="180" w:lineRule="exact"/>
        <w:rPr>
          <w:rFonts w:ascii="Arial" w:cs="Arial" w:eastAsia="Arial" w:hAnsi="Arial"/>
          <w:sz w:val="17"/>
          <w:szCs w:val="17"/>
          <w:color w:val="auto"/>
        </w:rPr>
      </w:pPr>
    </w:p>
    <w:p>
      <w:pPr>
        <w:ind w:right="60" w:firstLine="436"/>
        <w:spacing w:after="0" w:line="259" w:lineRule="auto"/>
        <w:tabs>
          <w:tab w:leader="none" w:pos="69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with respect to such series (or compliance with certain provisions of this Indenture or certain defaults hereunder and their consequences) provided for in this Indenture, or reduce the requirements of Section 1504 for quorum or voting, or</w:t>
      </w:r>
    </w:p>
    <w:p>
      <w:pPr>
        <w:spacing w:after="0" w:line="186" w:lineRule="exact"/>
        <w:rPr>
          <w:rFonts w:ascii="Arial" w:cs="Arial" w:eastAsia="Arial" w:hAnsi="Arial"/>
          <w:sz w:val="18"/>
          <w:szCs w:val="18"/>
          <w:color w:val="auto"/>
        </w:rPr>
      </w:pPr>
    </w:p>
    <w:p>
      <w:pPr>
        <w:ind w:right="20" w:firstLine="436"/>
        <w:spacing w:after="0" w:line="257" w:lineRule="auto"/>
        <w:tabs>
          <w:tab w:leader="none" w:pos="69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Section, Section 513 or Section 1006, except to increase the required percentage to effect such action or to provide that certain other provisions of this Indenture cannot be modified or waived without the consent of the Holder of each Outstanding Security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clause shall not be deemed to require the consent of any Holder with respect to changes in the references to “the Trustee” and concomitant changes in this Section 902 and Section 1006 or the deletion of this proviso, in accordance with the requirements of Sections 609(b) and 901(11).</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It shall not be necessary for any Act of Holders under this Section 902 to approve the particular form of any proposed supplemental indenture, but it shall be sufficient if such Act shall approve the substance thereof.</w:t>
      </w:r>
    </w:p>
    <w:p>
      <w:pPr>
        <w:spacing w:after="0" w:line="170"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4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 In executing, or accepting the additional trusts created by, any supplemental indenture permitted by this Article or the modification thereby of the trusts created by this Indenture, the Trustee shall be entitled to receive, and (subject to Section 612)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8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Effect of Supplemental Indentures</w:t>
      </w:r>
      <w:r>
        <w:rPr>
          <w:rFonts w:ascii="Arial" w:cs="Arial" w:eastAsia="Arial" w:hAnsi="Arial"/>
          <w:sz w:val="17"/>
          <w:szCs w:val="17"/>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Conformity with Trust Indenture Act</w:t>
      </w:r>
      <w:r>
        <w:rPr>
          <w:rFonts w:ascii="Arial" w:cs="Arial" w:eastAsia="Arial" w:hAnsi="Arial"/>
          <w:sz w:val="18"/>
          <w:szCs w:val="18"/>
          <w:color w:val="auto"/>
        </w:rPr>
        <w:t>. Every supplemental indenture executed pursuant to this Article shall conform to the requirements of the Trust Indenture Act as then in effect.</w:t>
      </w:r>
    </w:p>
    <w:p>
      <w:pPr>
        <w:spacing w:after="0" w:line="170"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Reference in Securities to Supplemental Indentures</w:t>
      </w:r>
      <w:r>
        <w:rPr>
          <w:rFonts w:ascii="Arial" w:cs="Arial" w:eastAsia="Arial" w:hAnsi="Arial"/>
          <w:sz w:val="17"/>
          <w:szCs w:val="17"/>
          <w:color w:val="auto"/>
        </w:rPr>
        <w: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TEN—COVENANTS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u w:val="single" w:color="auto"/>
          <w:color w:val="auto"/>
        </w:rPr>
        <w:t>Payment of Principal, Premium or Make-Whole Amount, if any; and Interest</w:t>
      </w:r>
      <w:r>
        <w:rPr>
          <w:rFonts w:ascii="Arial" w:cs="Arial" w:eastAsia="Arial" w:hAnsi="Arial"/>
          <w:sz w:val="17"/>
          <w:szCs w:val="17"/>
          <w:color w:val="auto"/>
        </w:rPr>
        <w:t>. The Company covenants and agrees for the benefit of the Holders of each series of Securities that it will duly and punctually pay the principal of (and premium or Make-Whole Amount, if any) and interest on the Securities of that series in accordance with the terms of such series of Securities, any coupons appertaining thereto and this Indenture.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 Unless otherwise specified with respect to Securities of any series pursuant to Section 301, at the option of the Company (upon written notice to the Trustee), all payments of principal may be paid by check to the registered Holder of the Registered Security or other Person entitled thereto against surrender of such Security.</w:t>
      </w:r>
    </w:p>
    <w:p>
      <w:pPr>
        <w:spacing w:after="0" w:line="17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u w:val="single" w:color="auto"/>
          <w:color w:val="auto"/>
        </w:rPr>
        <w:t>Maintenance of Office or Agency</w:t>
      </w:r>
      <w:r>
        <w:rPr>
          <w:rFonts w:ascii="Arial" w:cs="Arial" w:eastAsia="Arial" w:hAnsi="Arial"/>
          <w:sz w:val="16"/>
          <w:szCs w:val="16"/>
          <w:color w:val="auto"/>
        </w:rPr>
        <w:t xml:space="preserve">. If Securities of a series are issuable only as Registered Securities, the Company shall maintain in each Place of Payment for any series of Securities an office or agency where Securities of that series may be presented or surrendered for payment or conversion, where Securities of that series may be surrendered for registration of transfer or conversion or exchange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or conversion, where any Registered Securities of that series may be surrendered for registration of transfer, where Securities of that series may be surrendered for conversion or exchange, where notices and demands to or upon the Company in respect of the Securities of that series and this Indenture may be served and where Bearer Securities of that series and related coupons may be presented or surrendered for payment or conversion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Securities of that series are listed on any stock exchange located outside the United States and such stock exchange shall so require, the Company will maintain a Paying Agent for the Securities of that series in any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conversion or exchange and where notices and demands to or upon the Company in respect of the Securities of that series and this Indenture may be served. The Company will give prompt written notice to the Trustee of the location, and any change in the location, of each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except that Bearer Securities of that series and the related coupons may be presented and surrendered for payment or conversion at the offices specified in the Security, in London, England, and the Company hereby appoints the same as its agent to receive such respective presentations, surrenders, notices and demands, and the Company hereby appoints the Trustee its agent to receive all such presentations, surrenders, notices and demands.</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Unless otherwise specified with respect to any Securities pursuant to Section 301, no payment of principal, premium or Make-Whole Amount or interest on Bearer Securities shall be made at any office or agency of the Company in the United States or by check mailed to any address in the United States or by transfer to an account maintained with a bank located in the United States;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Securities of a series are payable in Dollars, payment of principal of and any premium or Make-Whole Amount and interest on any Bearer Security shall be made at the office of the Company’s Paying Agent in the Borough of Manhattan, The City of New York, if (but only if) payment in Dollars of the full amount of such principal, premium or Make-Whole Amount, or interest, as the case may be, at all offices or agencies outside the United States maintained for the purpose by the Company in accordance with this Indenture, is illegal or effectively precluded by exchange controls or other similar restrictions.</w:t>
      </w:r>
    </w:p>
    <w:p>
      <w:pPr>
        <w:spacing w:after="0" w:line="16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The Company may from time to time designate one or more other offices or agencies (in or outside the Place of Payment) where the Securities of one or more series may be presented or surrendered for any or all of such purposes, and may from time to time rescind such designations;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designation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126" w:name="page127"/>
    <w:bookmarkEnd w:id="126"/>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each of (i) the office or agency of the Company in the Borough of Manhattan, The City of New York, and (ii) the Corporate Trust Office of the Trustee (as Paying Agent); and the Company hereby initially appoints the Trustee at its Corporate Trust Office as Paying Agent in such city; and the Company hereby initially appoints as its agent to receive all such presentations, surrenders, notices and demands each of the Trustee, at its Corporate Trust Office.</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otherwise specified with respect to any Securities pursuant to Section 301, if and so long as the Securities of any series (i) are denominated in a Foreign Currency or (ii) may be payable in a Foreign Currency, or so long as it is required under any other provision of the Indenture, then the Company will maintain with respect to each such series of Securities, or as so required, at least one exchange rate agent (of which it shall give written notice to the Trustee).</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Money for Securities Payments to Be Held in Trust</w:t>
      </w:r>
      <w:r>
        <w:rPr>
          <w:rFonts w:ascii="Arial" w:cs="Arial" w:eastAsia="Arial" w:hAnsi="Arial"/>
          <w:sz w:val="18"/>
          <w:szCs w:val="18"/>
          <w:color w:val="auto"/>
        </w:rPr>
        <w:t>. If the Company shall at any time act as its own Paying Agent with respect to any series of any Securities and any related coupons, it will, on or before each due date of the principal of (and premium or Make-Whole Amount, if any), or interest on any of the Securities of that series, segregate and hold in trust for the benefit of the Persons entitled thereto a sum in the currency or currencies, currency unit or units or composite currency or currencies in which the Securities of such series are payable (except as otherwise specified pursuant to Section 301 for the Securities of such series) sufficient to pay the principal (and premium or Make-Whole Amount, if any) or interest so becoming due until such sums shall be paid to such Persons or otherwise disposed of as herein provided, and will promptly notify the Trustee of its action or failure so to act.</w:t>
      </w:r>
    </w:p>
    <w:p>
      <w:pPr>
        <w:spacing w:after="0" w:line="19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Whenever the Company shall have one or more Paying Agents for any series of Securities and any related coupons, it will, on or before each due date of the principal of (and premium or Make-Whole Amount, if any), or interest on any Securities of that series, deposit with a Paying Agent a sum (in the currency or currencies, currency unit or units or composite currency or currencies described in the preceding paragraph) sufficient to pay the principal (and premium or Make-Whole Amount, if any) or interest so becoming due, such sum to be held in trust for the benefit of the Persons entitled to such principal, premium or Make-Whole Amount, if any, or interest and (unless such Paying Agent is the Trustee) the Company will promptly notify the Trustee of its action or failure so to act.</w:t>
      </w:r>
    </w:p>
    <w:p>
      <w:pPr>
        <w:spacing w:after="0" w:line="19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38" w:lineRule="exact"/>
        <w:rPr>
          <w:sz w:val="20"/>
          <w:szCs w:val="20"/>
          <w:color w:val="auto"/>
        </w:rPr>
      </w:pPr>
    </w:p>
    <w:p>
      <w:pPr>
        <w:ind w:left="440" w:right="80" w:hanging="4"/>
        <w:spacing w:after="0" w:line="308" w:lineRule="auto"/>
        <w:tabs>
          <w:tab w:leader="none" w:pos="69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hold all sums held by it for the payment of principal of (and premium or Make-Whole Amount, if any) or interest on Securities in trust for the benefit of the Persons entitled thereto until such sums shall be paid to such Persons or otherwise disposed of as herein provided;</w:t>
      </w:r>
    </w:p>
    <w:p>
      <w:pPr>
        <w:spacing w:after="0" w:line="38" w:lineRule="exact"/>
        <w:rPr>
          <w:rFonts w:ascii="Arial" w:cs="Arial" w:eastAsia="Arial" w:hAnsi="Arial"/>
          <w:sz w:val="17"/>
          <w:szCs w:val="17"/>
          <w:color w:val="auto"/>
        </w:rPr>
      </w:pPr>
    </w:p>
    <w:p>
      <w:pPr>
        <w:ind w:left="440" w:right="580" w:hanging="4"/>
        <w:spacing w:after="0" w:line="277" w:lineRule="auto"/>
        <w:tabs>
          <w:tab w:leader="none" w:pos="69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Securities) in the making of any such payment of principal (and premium or Make-Whole Amount, if any) or interest on the Securities of that series; and</w:t>
      </w:r>
    </w:p>
    <w:p>
      <w:pPr>
        <w:spacing w:after="0" w:line="62" w:lineRule="exact"/>
        <w:rPr>
          <w:rFonts w:ascii="Arial" w:cs="Arial" w:eastAsia="Arial" w:hAnsi="Arial"/>
          <w:sz w:val="18"/>
          <w:szCs w:val="18"/>
          <w:color w:val="auto"/>
        </w:rPr>
      </w:pPr>
    </w:p>
    <w:p>
      <w:pPr>
        <w:ind w:left="440" w:right="80" w:hanging="4"/>
        <w:spacing w:after="0" w:line="277" w:lineRule="auto"/>
        <w:tabs>
          <w:tab w:leader="none" w:pos="69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such Paying Agent.</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Except as otherwise provided in the Securities of any series, and subject to applicable laws, any money deposited with the Trustee or any Paying Agent, or then held by the Company, in trust for the payment of the principal of (and premium or Make-Whole Amount, if any) or interest on any Security of any series and remaining unclaimed for two years after such principal (and premium or Make-Whole Amount, if any) or interest has become due and payable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4" w:right="479" w:bottom="1440" w:gutter="0" w:footer="0" w:header="0"/>
        </w:sectPr>
      </w:pPr>
    </w:p>
    <w:bookmarkStart w:id="127" w:name="page128"/>
    <w:bookmarkEnd w:id="127"/>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shall be paid to the Company upon Company Request or (if then held by the Company) shall be discharged from such trust; and the Holder of such Security shall thereafter, as an unsecured general creditor, look only to the Company for payment of such principal of (and premium or Make-Whole Amount, if any) or interest on any Security, without interest thereon, and all liability of the Trustee or such Paying Agent with respect to such trust money, and all liability of the Company as trustee thereof, shall thereupon cease;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calendar days from the date of such publication, any unclaimed balance of such money then remaining will be repaid to the Company.</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Existence</w:t>
      </w:r>
      <w:r>
        <w:rPr>
          <w:rFonts w:ascii="Arial" w:cs="Arial" w:eastAsia="Arial" w:hAnsi="Arial"/>
          <w:sz w:val="18"/>
          <w:szCs w:val="18"/>
          <w:color w:val="auto"/>
        </w:rPr>
        <w:t xml:space="preserve">. Subject to Article Eight, the Company will do or cause to be done all things necessary to preserve and keep in full force and effect its corporate existence, all material rights (by certificate of incorporation, by-laws and statute) and material franchises;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preserve any such right or franchise if the Board of Directors shall determine that the preservation thereof is no longer desirable in the conduct of the business of the Company.</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Statement as to Compliance</w:t>
      </w:r>
      <w:r>
        <w:rPr>
          <w:rFonts w:ascii="Arial" w:cs="Arial" w:eastAsia="Arial" w:hAnsi="Arial"/>
          <w:sz w:val="18"/>
          <w:szCs w:val="18"/>
          <w:color w:val="auto"/>
        </w:rPr>
        <w:t>. The Company will deliver to the Trustee, within 120 calendar days after the end of each fiscal year, a brief certificate from the principal executive officer, principal financial officer or principal accounting officer as to his or her knowledge of the Company’s compliance with all conditions and covenants under this Indenture and, in the event of any noncompliance, specifying such noncompliance and the nature and status thereof. For purposes of this Section 1005, such compliance shall be determined without regard to any period of grace or requirement of notice under this Indenture.</w:t>
      </w:r>
    </w:p>
    <w:p>
      <w:pPr>
        <w:spacing w:after="0" w:line="18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Waiver of Certain Covenants</w:t>
      </w:r>
      <w:r>
        <w:rPr>
          <w:rFonts w:ascii="Arial" w:cs="Arial" w:eastAsia="Arial" w:hAnsi="Arial"/>
          <w:sz w:val="18"/>
          <w:szCs w:val="18"/>
          <w:color w:val="auto"/>
        </w:rPr>
        <w:t>. The Company may omit in any particular instance to comply with any term, provision or condition set forth in Sections 1004 and 1005, if before or after the time for such compliance the Holders of at least a majority in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ELEVEN—REDEMPTION OF SECURITIES</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u w:val="single" w:color="auto"/>
          <w:color w:val="auto"/>
        </w:rPr>
        <w:t>Applicability of Article</w:t>
      </w:r>
      <w:r>
        <w:rPr>
          <w:rFonts w:ascii="Arial" w:cs="Arial" w:eastAsia="Arial" w:hAnsi="Arial"/>
          <w:sz w:val="16"/>
          <w:szCs w:val="16"/>
          <w:color w:val="auto"/>
        </w:rPr>
        <w:t>. 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u w:val="single" w:color="auto"/>
          <w:color w:val="auto"/>
        </w:rPr>
        <w:t>Election to Redeem; Notice to Trustee</w:t>
      </w:r>
      <w:r>
        <w:rPr>
          <w:rFonts w:ascii="Arial" w:cs="Arial" w:eastAsia="Arial" w:hAnsi="Arial"/>
          <w:sz w:val="17"/>
          <w:szCs w:val="17"/>
          <w:color w:val="auto"/>
        </w:rPr>
        <w:t>. The election of the Company to redeem any Securities shall be evidenced by or pursuant to a Board Resolution. In case of any redemption at the election of the Company of less than all of the Securities of any series, the Company shall, at least 45 calendar days prior to the giving of the notice of redemption in Section 1104 (unless a shorter notice shall be satisfactory to the Trustee), notify the Trustee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u w:val="single" w:color="auto"/>
          <w:color w:val="auto"/>
        </w:rPr>
        <w:t>Selection by Trustee of Securities to Be Redeemed</w:t>
      </w:r>
      <w:r>
        <w:rPr>
          <w:rFonts w:ascii="Arial" w:cs="Arial" w:eastAsia="Arial" w:hAnsi="Arial"/>
          <w:sz w:val="17"/>
          <w:szCs w:val="17"/>
          <w:color w:val="auto"/>
        </w:rPr>
        <w:t>. If less than all the Securities of any series issued on the same day with the same terms are to be redeemed, the particular Securities to be redeemed shall be selected not more than 60 calendar days prior to the Redemption Date by the Trustee, from the Outstanding Securities of such series issued on such date with the same terms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128" w:name="page129"/>
    <w:bookmarkEnd w:id="128"/>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2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 Notice of redemption shall be given in the manner provided in Section 106, not less than 10 calendar days nor more than 60 calendar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Any notice that is mailed to the Holders of Registered Securities in the manner herein provided shall be conclusively presumed to have been duly given, whether or not the Holder receives the notice.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notices of redemption shall state:</w:t>
      </w:r>
    </w:p>
    <w:p>
      <w:pPr>
        <w:spacing w:after="0" w:line="117" w:lineRule="exact"/>
        <w:rPr>
          <w:sz w:val="20"/>
          <w:szCs w:val="20"/>
          <w:color w:val="auto"/>
        </w:rPr>
      </w:pPr>
    </w:p>
    <w:p>
      <w:pPr>
        <w:ind w:left="1240" w:hanging="253"/>
        <w:spacing w:after="0"/>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Redemption Price, accrued interest to the Redemption Date payable as provided in Section 1106, if any,</w:t>
      </w:r>
    </w:p>
    <w:p>
      <w:pPr>
        <w:spacing w:after="0" w:line="117" w:lineRule="exact"/>
        <w:rPr>
          <w:rFonts w:ascii="Arial" w:cs="Arial" w:eastAsia="Arial" w:hAnsi="Arial"/>
          <w:sz w:val="18"/>
          <w:szCs w:val="18"/>
          <w:color w:val="auto"/>
        </w:rPr>
      </w:pPr>
    </w:p>
    <w:p>
      <w:pPr>
        <w:ind w:left="980" w:right="300" w:firstLine="7"/>
        <w:spacing w:after="0" w:line="277" w:lineRule="auto"/>
        <w:tabs>
          <w:tab w:leader="none" w:pos="12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less than all Outstanding Securities of any series are to be redeemed, the identification (and, in the case of partial redemption, the principal amount) of the particular Security or Securities to be redeemed,</w:t>
      </w:r>
    </w:p>
    <w:p>
      <w:pPr>
        <w:spacing w:after="0" w:line="62" w:lineRule="exact"/>
        <w:rPr>
          <w:rFonts w:ascii="Arial" w:cs="Arial" w:eastAsia="Arial" w:hAnsi="Arial"/>
          <w:sz w:val="18"/>
          <w:szCs w:val="18"/>
          <w:color w:val="auto"/>
        </w:rPr>
      </w:pPr>
    </w:p>
    <w:p>
      <w:pPr>
        <w:ind w:left="980" w:right="280" w:firstLine="7"/>
        <w:spacing w:after="0" w:line="263" w:lineRule="auto"/>
        <w:tabs>
          <w:tab w:leader="none" w:pos="12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75" w:lineRule="exact"/>
        <w:rPr>
          <w:rFonts w:ascii="Arial" w:cs="Arial" w:eastAsia="Arial" w:hAnsi="Arial"/>
          <w:sz w:val="18"/>
          <w:szCs w:val="18"/>
          <w:color w:val="auto"/>
        </w:rPr>
      </w:pPr>
    </w:p>
    <w:p>
      <w:pPr>
        <w:ind w:left="980" w:firstLine="7"/>
        <w:spacing w:after="0" w:line="263" w:lineRule="auto"/>
        <w:tabs>
          <w:tab w:leader="none" w:pos="12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that on the Redemption Date the Redemption Price and accrued interest to the Redemption Date payable as provided in Section 1106, if any, will become due and payable upon each such Security, or the portion thereof, to be redeemed and, if applicable, that interest thereon shall cease to accrue on and after said date,</w:t>
      </w:r>
    </w:p>
    <w:p>
      <w:pPr>
        <w:spacing w:after="0" w:line="75" w:lineRule="exact"/>
        <w:rPr>
          <w:rFonts w:ascii="Arial" w:cs="Arial" w:eastAsia="Arial" w:hAnsi="Arial"/>
          <w:sz w:val="18"/>
          <w:szCs w:val="18"/>
          <w:color w:val="auto"/>
        </w:rPr>
      </w:pPr>
    </w:p>
    <w:p>
      <w:pPr>
        <w:ind w:left="980" w:right="40" w:firstLine="7"/>
        <w:spacing w:after="0" w:line="263" w:lineRule="auto"/>
        <w:tabs>
          <w:tab w:leader="none" w:pos="12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Place or Places of Payment where such Securities, together in the case of Bearer Securities with all coupons appertaining thereto, if any, maturing after the Redemption Date, are to be surrendered for payment of the Redemption Price and accrued interest, if any, or for conversion,</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w:t>
      </w:r>
    </w:p>
    <w:p>
      <w:pPr>
        <w:spacing w:after="0" w:line="117" w:lineRule="exact"/>
        <w:rPr>
          <w:rFonts w:ascii="Arial" w:cs="Arial" w:eastAsia="Arial" w:hAnsi="Arial"/>
          <w:sz w:val="18"/>
          <w:szCs w:val="18"/>
          <w:color w:val="auto"/>
        </w:rPr>
      </w:pPr>
    </w:p>
    <w:p>
      <w:pPr>
        <w:ind w:left="980" w:right="40" w:firstLine="7"/>
        <w:spacing w:after="0" w:line="259" w:lineRule="auto"/>
        <w:tabs>
          <w:tab w:leader="none" w:pos="12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that, unless otherwise specified in such notice, Bearer Securities of any series, if any, surrendered for redemption must be accompanied by all coupons maturing subsequent to the date fixed for redemption or the amount of any such missing coupon or coupons will be deducted from the Redemption Price, unless security or indemnity satisfactory to the Company, the Trustee for such series and any Paying Agent is furnished,</w:t>
      </w:r>
    </w:p>
    <w:p>
      <w:pPr>
        <w:spacing w:after="0" w:line="78" w:lineRule="exact"/>
        <w:rPr>
          <w:rFonts w:ascii="Arial" w:cs="Arial" w:eastAsia="Arial" w:hAnsi="Arial"/>
          <w:sz w:val="18"/>
          <w:szCs w:val="18"/>
          <w:color w:val="auto"/>
        </w:rPr>
      </w:pPr>
    </w:p>
    <w:p>
      <w:pPr>
        <w:ind w:left="980" w:right="100" w:firstLine="7"/>
        <w:spacing w:after="0" w:line="286" w:lineRule="auto"/>
        <w:tabs>
          <w:tab w:leader="none" w:pos="123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if Bearer Securities of any series are to be redeemed and any Registered Securities of such series are not to be redeemed, and if such Bearer Securities may be exchanged for Registered Securities not subject to redemption on this Redemption Date pursuant to Section 305 or otherwise, the last date, as determined by the Company, on which such exchanges may be made,</w:t>
      </w:r>
    </w:p>
    <w:p>
      <w:pPr>
        <w:spacing w:after="0" w:line="57" w:lineRule="exact"/>
        <w:rPr>
          <w:rFonts w:ascii="Arial" w:cs="Arial" w:eastAsia="Arial" w:hAnsi="Arial"/>
          <w:sz w:val="17"/>
          <w:szCs w:val="17"/>
          <w:color w:val="auto"/>
        </w:rPr>
      </w:pPr>
    </w:p>
    <w:p>
      <w:pPr>
        <w:ind w:left="1340" w:hanging="353"/>
        <w:spacing w:after="0"/>
        <w:tabs>
          <w:tab w:leader="none" w:pos="1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CUSIP number of such Security, if any, and</w:t>
      </w:r>
    </w:p>
    <w:p>
      <w:pPr>
        <w:spacing w:after="0" w:line="117" w:lineRule="exact"/>
        <w:rPr>
          <w:rFonts w:ascii="Arial" w:cs="Arial" w:eastAsia="Arial" w:hAnsi="Arial"/>
          <w:sz w:val="18"/>
          <w:szCs w:val="18"/>
          <w:color w:val="auto"/>
        </w:rPr>
      </w:pPr>
    </w:p>
    <w:p>
      <w:pPr>
        <w:ind w:left="980" w:right="20" w:firstLine="7"/>
        <w:spacing w:after="0" w:line="263" w:lineRule="auto"/>
        <w:tabs>
          <w:tab w:leader="none" w:pos="131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applicable, that a Holder of Securities who desires to convert Securities for redemption must satisfy the requirements for conversion contained in such Securities, the then existing conversion price or rate, the place or places where such Securities may be surrendered for conversion, and the date and time when the option to convert shall expire.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129" w:name="page130"/>
    <w:bookmarkEnd w:id="129"/>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redemption of Securities to be redeemed at the election of the Company shall be given by the Company or, at the Company’s request, by the Trustee in the name and at the expense of the Company.</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SECTION 1105. </w:t>
      </w:r>
      <w:r>
        <w:rPr>
          <w:rFonts w:ascii="Arial" w:cs="Arial" w:eastAsia="Arial" w:hAnsi="Arial"/>
          <w:sz w:val="17"/>
          <w:szCs w:val="17"/>
          <w:u w:val="single" w:color="auto"/>
          <w:color w:val="auto"/>
        </w:rPr>
        <w:t>Deposit of Redemption Price</w:t>
      </w:r>
      <w:r>
        <w:rPr>
          <w:rFonts w:ascii="Arial" w:cs="Arial" w:eastAsia="Arial" w:hAnsi="Arial"/>
          <w:sz w:val="17"/>
          <w:szCs w:val="17"/>
          <w:color w:val="auto"/>
        </w:rPr>
        <w:t>. On or prior to any Redemption Date, the Company shall deposit with the Trustee or with a Paying Agent (or, if the Company is acting as its own Paying Agent, which it may not do in the case of a sinking fund payment under Article Twelve,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on the Redemption Date the Redemption Price of, and (except if the Redemption Date shall be an Interest Payment Date) accrued interest on, all the Securities or portions thereof which are to be redeemed on that date.</w:t>
      </w:r>
    </w:p>
    <w:p>
      <w:pPr>
        <w:spacing w:after="0" w:line="17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If any Securities called for redemption are converted, any money deposited with the Trustee or with any Paying Agent or so segregated and held in trust for the redemption of such Security shall be paid to the Company upon Company Request or, if then held by the Company, shall be discharged from such trust.</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u w:val="single" w:color="auto"/>
          <w:color w:val="auto"/>
        </w:rPr>
        <w:t>Securities Payable on Redemption Date</w:t>
      </w:r>
      <w:r>
        <w:rPr>
          <w:rFonts w:ascii="Arial" w:cs="Arial" w:eastAsia="Arial" w:hAnsi="Arial"/>
          <w:sz w:val="16"/>
          <w:szCs w:val="16"/>
          <w:color w:val="auto"/>
        </w:rPr>
        <w:t xml:space="preserve">. Notice of redemption having been given as aforesaid, the Securities so to be redeemed shall, on the Redemption Date, become due and payable at the Redemption Price therein specified in the currency or currencies, currency unit or units or composite currency or currencies in which the Securities of such series are payable (except as otherwise specified pursuant to Section 301 for the Securities of such series) (together with accrued interest, if any, to the Redemption Date), and from and after such date (unless the Company shall default in the payment of the Redemption Price and accrued interest) such Securities shall, if the same were interest-bearing,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except as otherwise provided with respect to Securities convertible into the Company’s Ordinary Shares or Preference Shares,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premium or Make-Whole Amount, if any) shall, until paid, bear interest from the Redemption Date at the rate borne by the Security.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4" w:right="439" w:bottom="1440" w:gutter="0" w:footer="0" w:header="0"/>
        </w:sectPr>
      </w:pPr>
    </w:p>
    <w:bookmarkStart w:id="130" w:name="page131"/>
    <w:bookmarkEnd w:id="130"/>
    <w:p>
      <w:pPr>
        <w:ind w:right="1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1107. </w:t>
      </w:r>
      <w:r>
        <w:rPr>
          <w:rFonts w:ascii="Arial" w:cs="Arial" w:eastAsia="Arial" w:hAnsi="Arial"/>
          <w:sz w:val="16"/>
          <w:szCs w:val="16"/>
          <w:u w:val="single" w:color="auto"/>
          <w:color w:val="auto"/>
        </w:rPr>
        <w:t>Securities Redeemed in Part</w:t>
      </w:r>
      <w:r>
        <w:rPr>
          <w:rFonts w:ascii="Arial" w:cs="Arial" w:eastAsia="Arial" w:hAnsi="Arial"/>
          <w:sz w:val="16"/>
          <w:szCs w:val="16"/>
          <w:color w:val="auto"/>
        </w:rPr>
        <w:t>. Any Registered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 If a Global Security is so surrendered, the Company shall execute and the Trustee shall authenticate and deliver to the depository, without service charge, a new Global Security in a denomination equal to and in exchange for the unredeemed portion of the principal of the Global Security so surrendered.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TWELVE—SINKING FUNDS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The provisions of this Article shall be applicable to any sinking fund for the retirement of Securities of a series except as otherwise specified as contemplated by Section 301 for Securities of such series.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8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u w:val="single" w:color="auto"/>
          <w:color w:val="auto"/>
        </w:rPr>
        <w:t>Satisfaction of Sinking Fund Payments with Securities</w:t>
      </w:r>
      <w:r>
        <w:rPr>
          <w:rFonts w:ascii="Arial" w:cs="Arial" w:eastAsia="Arial" w:hAnsi="Arial"/>
          <w:sz w:val="16"/>
          <w:szCs w:val="16"/>
          <w:color w:val="auto"/>
        </w:rPr>
        <w:t xml:space="preserve">. The Company may, in satisfaction of all or any part of any mandatory sinking fund payment with respect to the Securities of a series, (1) deliver Outstanding Securities of such series (other than any previously called for redemption) together in the case of any Bearer Securities of such series with all unmatured coupons appertaining thereto and (2)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or which have otherwise been acquired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16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SECTION 1203. </w:t>
      </w:r>
      <w:r>
        <w:rPr>
          <w:rFonts w:ascii="Arial" w:cs="Arial" w:eastAsia="Arial" w:hAnsi="Arial"/>
          <w:sz w:val="17"/>
          <w:szCs w:val="17"/>
          <w:u w:val="single" w:color="auto"/>
          <w:color w:val="auto"/>
        </w:rPr>
        <w:t>Redemption of Securities for Sinking Fund</w:t>
      </w:r>
      <w:r>
        <w:rPr>
          <w:rFonts w:ascii="Arial" w:cs="Arial" w:eastAsia="Arial" w:hAnsi="Arial"/>
          <w:sz w:val="17"/>
          <w:szCs w:val="17"/>
          <w:color w:val="auto"/>
        </w:rPr>
        <w:t>. Not less than 60 calendar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or currencies, currency unit or units or composite currency or currencies in which the Securities of such series are payable (except as otherwise specified pursuant to Section 301 for the Securities of such series)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calendar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THIRTEEN—REPAYMENT AT THE OPTION OF HOLDERS</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Repayment of Securities of any series before their Stated Maturity at the option of Holders thereof shall be made in accordance with the terms of such Securities, if any, and (except as otherwise specified by the terms of such series established pursuant to Section 301) in accordance with this Article.</w:t>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SECTION 1302. </w:t>
      </w:r>
      <w:r>
        <w:rPr>
          <w:rFonts w:ascii="Arial" w:cs="Arial" w:eastAsia="Arial" w:hAnsi="Arial"/>
          <w:sz w:val="16"/>
          <w:szCs w:val="16"/>
          <w:u w:val="single" w:color="auto"/>
          <w:color w:val="auto"/>
        </w:rPr>
        <w:t>Repayment of Securities</w:t>
      </w:r>
      <w:r>
        <w:rPr>
          <w:rFonts w:ascii="Arial" w:cs="Arial" w:eastAsia="Arial" w:hAnsi="Arial"/>
          <w:sz w:val="16"/>
          <w:szCs w:val="16"/>
          <w:color w:val="auto"/>
        </w:rPr>
        <w:t>. Securities of any series subject to repayment in whole or in part at the option of the Holders thereof will, unless otherwise provided in the terms of such Securities, be repaid at a price equal to the principal amount thereof, together with interest, if any, thereon accrued to the Repayment Date specified in or pursuant to the terms of such Securities. The Company covenants that on or prior to the Repayment Date it will deposit with the Trustee or with a Paying Agent (or, if the Company is acting as its own Paying Agent,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the principal (or, if so provided by the terms of the Securities of any series, a percentage of the principal) of, and (except if the Repayment Date shall be an Interest Payment Date) accrued interest on, all the Securities or portions thereof, as the case may be, to be repaid on such date.</w:t>
      </w:r>
    </w:p>
    <w:p>
      <w:pPr>
        <w:spacing w:after="0" w:line="16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SECTION 1303. </w:t>
      </w:r>
      <w:r>
        <w:rPr>
          <w:rFonts w:ascii="Arial" w:cs="Arial" w:eastAsia="Arial" w:hAnsi="Arial"/>
          <w:sz w:val="16"/>
          <w:szCs w:val="16"/>
          <w:u w:val="single" w:color="auto"/>
          <w:color w:val="auto"/>
        </w:rPr>
        <w:t>Exercise of Option</w:t>
      </w:r>
      <w:r>
        <w:rPr>
          <w:rFonts w:ascii="Arial" w:cs="Arial" w:eastAsia="Arial" w:hAnsi="Arial"/>
          <w:sz w:val="16"/>
          <w:szCs w:val="16"/>
          <w:color w:val="auto"/>
        </w:rPr>
        <w:t xml:space="preserve">. Securities of any series subject to repayment at the option of the Holders thereof will contain an “Option to Elect Repayment” form on the reverse of such Securities. In order for any Security to be repaid at the option of the Holder, the Trustee must receive at the Place of Payment therefor specified in the terms of such Security (or at such other place or places of which the Company shall from time to time notify the Holders of such Securities) not earlier than 60 calendar days nor later than 30 calendar days prior to the Repayment Date (1) the Security so providing for such repayment together with the “Option to Elect Repayment” form on the reverse thereof duly completed by the Holder (or by the Holder’s attorney duly authorized in writing) or (2) electronic transmission, facsimile transmission or a letter from a member of a national securities exchange, or the FINRA, or a commercial bank or trust company in the United States setting forth the name of the Holder of the Security, the principal amount of the Security, the principal amount of the Security to be repaid, the CUSIP number, if any, or a description of the tenor and terms of the Security, a statement that the option to elect repayment is being exercised thereby and a guarantee that the Security to be repaid, together with the duly completed form entitled “Option to Elect Repayment” on the reverse of the Security, will be received by the Trustee not later than the fifth Business Day after the date of such electronic transmission, facsimile transmission or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electronic transmission, facsimile transmission or letter shall only be effective if such Security and form duly completed are received by the Trustee by such fifth Business Day.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16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 xml:space="preserve">SECTION 1304. </w:t>
      </w:r>
      <w:r>
        <w:rPr>
          <w:rFonts w:ascii="Arial" w:cs="Arial" w:eastAsia="Arial" w:hAnsi="Arial"/>
          <w:sz w:val="16"/>
          <w:szCs w:val="16"/>
          <w:u w:val="single" w:color="auto"/>
          <w:color w:val="auto"/>
        </w:rPr>
        <w:t>When Securities Presented for Repayment Become Due and Payable</w:t>
      </w:r>
      <w:r>
        <w:rPr>
          <w:rFonts w:ascii="Arial" w:cs="Arial" w:eastAsia="Arial" w:hAnsi="Arial"/>
          <w:sz w:val="16"/>
          <w:szCs w:val="16"/>
          <w:color w:val="auto"/>
        </w:rPr>
        <w:t xml:space="preserve"> . 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principal amount of such Security so to be repaid shall be paid by the Company, together with accrued interest, if any, to the Repayment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coupons whose Stated Maturity is on or prior to the Repayment Date shall be payable only at an office or agency located outside the United States (except as otherwise provided in Section 1002) and, unless otherwise specified pursuant to Section 301, only upon presentation and surrender of such coupons; and provided further that, in the case of Registered Securities, installments of interest, if any, whose Stated Maturity is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132" w:name="page133"/>
    <w:bookmarkEnd w:id="132"/>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or prior to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7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If the principal amount of any Security surrendered for repayment shall not be so repaid upon surrender thereof, such principal amount (together with interest, if any, thereon accrued to such Repayment Date) shall, until paid, bear interest from the Repayment Date at the rate of interest or Yield to Maturity (in the case of Original Issue Discount Securities) set forth in such Security.</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SECTION 1305. </w:t>
      </w:r>
      <w:r>
        <w:rPr>
          <w:rFonts w:ascii="Arial" w:cs="Arial" w:eastAsia="Arial" w:hAnsi="Arial"/>
          <w:sz w:val="17"/>
          <w:szCs w:val="17"/>
          <w:u w:val="single" w:color="auto"/>
          <w:color w:val="auto"/>
        </w:rPr>
        <w:t>Securities Repaid in Part</w:t>
      </w:r>
      <w:r>
        <w:rPr>
          <w:rFonts w:ascii="Arial" w:cs="Arial" w:eastAsia="Arial" w:hAnsi="Arial"/>
          <w:sz w:val="17"/>
          <w:szCs w:val="17"/>
          <w:color w:val="auto"/>
        </w:rPr>
        <w:t xml:space="preserve"> . Upon surrender of any Registered Security which is to be repaid in part only, the Company shall execute and the Trustee shall authenticate and deliver to the Holder of such Security, without service charge and at the expense of the Company, a new Registered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FOURTEEN—DEFEASANCE AND COVENANT DEFEASANCE</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SECTION 1401. </w:t>
      </w:r>
      <w:r>
        <w:rPr>
          <w:rFonts w:ascii="Arial" w:cs="Arial" w:eastAsia="Arial" w:hAnsi="Arial"/>
          <w:sz w:val="17"/>
          <w:szCs w:val="17"/>
          <w:u w:val="single" w:color="auto"/>
          <w:color w:val="auto"/>
        </w:rPr>
        <w:t>Applicability of Article; Company’s Option to Effect Defeasance or Covenant Defeasance</w:t>
      </w:r>
      <w:r>
        <w:rPr>
          <w:rFonts w:ascii="Arial" w:cs="Arial" w:eastAsia="Arial" w:hAnsi="Arial"/>
          <w:sz w:val="17"/>
          <w:szCs w:val="17"/>
          <w:color w:val="auto"/>
        </w:rPr>
        <w:t xml:space="preserve"> . If, pursuant to Section 301, provision is made for either or both of (a) Defeasance of the Securities of or within a series under Section 1402 or (b) 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any coupons appertaining thereto, and the Company may at its option by Board Resolution, at any time, with respect to such Securities and any coupons appertaining thereto, elect to have Section 1402 (if applicable) or Section 1403 (if applicable) be applied to such Outstanding Securities and any coupons appertaining thereto upon compliance with the conditions set forth below in this Article.</w:t>
      </w:r>
    </w:p>
    <w:p>
      <w:pPr>
        <w:spacing w:after="0" w:line="17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SECTION 1402. </w:t>
      </w:r>
      <w:r>
        <w:rPr>
          <w:rFonts w:ascii="Arial" w:cs="Arial" w:eastAsia="Arial" w:hAnsi="Arial"/>
          <w:sz w:val="17"/>
          <w:szCs w:val="17"/>
          <w:u w:val="single" w:color="auto"/>
          <w:color w:val="auto"/>
        </w:rPr>
        <w:t>Defeasance and Discharge</w:t>
      </w:r>
      <w:r>
        <w:rPr>
          <w:rFonts w:ascii="Arial" w:cs="Arial" w:eastAsia="Arial" w:hAnsi="Arial"/>
          <w:sz w:val="17"/>
          <w:szCs w:val="17"/>
          <w:color w:val="auto"/>
        </w:rPr>
        <w:t xml:space="preserve"> . Upon the Company’s exercise of the above option applicable to this Section with respect to any Securities of or within a series, the Company shall be deemed to have been discharged from its obligations with respect to such Outstanding Securities and any coupons appertaining thereto on the date the conditions set forth in Section 1404 are satisfied (hereinafter, “Defeasance”). For this purpose, such Defeasance means that the Company shall be deemed to have paid and discharged the entire indebtedness represented by such Outstanding Securities and any coupons appertaining thereto, which shall thereafter be deemed to be “Outstanding” only for the purposes of Section 1405 and the other Sections of this Indenture referred to in clauses (A) and (B) below, and to have satisfied all of its other obligations under such Securities and any coupons appertaining thereto and this Indenture insofar as such Securities and any coupons appertaining thereto are concerned (and the Trustee, at the expense of the Company, shall execute proper instruments acknowledging the same), except for the following which shall survive until otherwise terminated or discharged hereunder: (A) the rights of Holders of such Outstanding Securities and any coupons appertaining thereto to receive, solely from the trust fund described in Section 1404 and as more fully set forth in such Section, payments in respect of the principal of (and premium or Make-Whole Amount, if any) and interest, if any, on such Securities and any coupons appertaining thereto when such payments are due, (B) the Company’s obligations with respect to such Securities under Sections 305, 306, 1002 and 1003, and the Company’s obligations under Section 606 hereof (C) the rights, powers, trusts, duties and immunities of the Trustee hereunder and (D) this Article. Subject to compliance with this Article Fourteen, the Company may exercise its option under this Section notwithstanding the prior exercise of its option under Section 1403 with respect to such Securities and any coupons appertaining thereto.</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133" w:name="page134"/>
    <w:bookmarkEnd w:id="13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1403. </w:t>
      </w:r>
      <w:r>
        <w:rPr>
          <w:rFonts w:ascii="Arial" w:cs="Arial" w:eastAsia="Arial" w:hAnsi="Arial"/>
          <w:sz w:val="17"/>
          <w:szCs w:val="17"/>
          <w:u w:val="single" w:color="auto"/>
          <w:color w:val="auto"/>
        </w:rPr>
        <w:t>Covenant Defeasance</w:t>
      </w:r>
      <w:r>
        <w:rPr>
          <w:rFonts w:ascii="Arial" w:cs="Arial" w:eastAsia="Arial" w:hAnsi="Arial"/>
          <w:sz w:val="17"/>
          <w:szCs w:val="17"/>
          <w:color w:val="auto"/>
        </w:rPr>
        <w:t xml:space="preserve"> . Upon the Company’s exercise of the above option applicable to this Section with respect to any Securities of or within a series, the Company shall be released from its obligations under Sections 1004 and 1005, inclusive, and, if specified pursuant to Section 301, its obligations under any other covenant contained herein or in any indenture supplemental hereto,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Sections 1004 and 1005, or such other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501(8) or otherwise, as the case may be, but, except as specified above, the remainder of this Indenture and such Securities and any coupons appertaining thereto shall be unaffected thereby.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1404. </w:t>
      </w:r>
      <w:r>
        <w:rPr>
          <w:rFonts w:ascii="Arial" w:cs="Arial" w:eastAsia="Arial" w:hAnsi="Arial"/>
          <w:sz w:val="17"/>
          <w:szCs w:val="17"/>
          <w:u w:val="single" w:color="auto"/>
          <w:color w:val="auto"/>
        </w:rPr>
        <w:t>Conditions to Defeasance or Covenant Defeasance</w:t>
      </w:r>
      <w:r>
        <w:rPr>
          <w:rFonts w:ascii="Arial" w:cs="Arial" w:eastAsia="Arial" w:hAnsi="Arial"/>
          <w:sz w:val="17"/>
          <w:szCs w:val="17"/>
          <w:color w:val="auto"/>
        </w:rPr>
        <w:t xml:space="preserve"> . The following shall be the conditions to application of Section 1402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1403 to any Outstanding Securities of or within a series and any coupons appertaining thereto:</w:t>
      </w:r>
    </w:p>
    <w:p>
      <w:pPr>
        <w:spacing w:after="0" w:line="103" w:lineRule="exact"/>
        <w:rPr>
          <w:sz w:val="20"/>
          <w:szCs w:val="20"/>
          <w:color w:val="auto"/>
        </w:rPr>
      </w:pPr>
    </w:p>
    <w:p>
      <w:pPr>
        <w:ind w:right="20" w:firstLine="436"/>
        <w:spacing w:after="0" w:line="286" w:lineRule="auto"/>
        <w:tabs>
          <w:tab w:leader="none" w:pos="68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Company shall irrevocably have deposited or caused to be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and dedicated solely to, the benefit of the Holders of such Securities and any coupons appertaining thereto, (1) an amount in such currency, currencies or currency unit in which such Securities and any coupons appertaining thereto are then specified as payable at Stated Maturity, or (2) Government Obligations applicable to such Securities and coupons appertaining thereto (determined on the basis of the currency, currencies or currency unit in which such Securities and coupons appertaining thereto are then specified as payable at Stated Maturity) which through the scheduled payment of principal and interest in respect thereof in accordance with their terms will provide, not later than the due date of any payment of principal of (and premium or Make-Whole Amount, if any) and interest, if any, on such Securities and any coupons appertaining thereto, money in an amount, or (3) a combination thereof, in any case, in an amount, sufficient, without consideration of any reinvestment of such principal and interest,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or Make-Whole Amount,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167" w:lineRule="exact"/>
        <w:rPr>
          <w:rFonts w:ascii="Arial" w:cs="Arial" w:eastAsia="Arial" w:hAnsi="Arial"/>
          <w:sz w:val="16"/>
          <w:szCs w:val="16"/>
          <w:color w:val="auto"/>
        </w:rPr>
      </w:pPr>
    </w:p>
    <w:p>
      <w:pPr>
        <w:ind w:right="160" w:firstLine="436"/>
        <w:spacing w:after="0" w:line="277" w:lineRule="auto"/>
        <w:tabs>
          <w:tab w:leader="none" w:pos="69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170" w:lineRule="exact"/>
        <w:rPr>
          <w:rFonts w:ascii="Arial" w:cs="Arial" w:eastAsia="Arial" w:hAnsi="Arial"/>
          <w:sz w:val="18"/>
          <w:szCs w:val="18"/>
          <w:color w:val="auto"/>
        </w:rPr>
      </w:pPr>
    </w:p>
    <w:p>
      <w:pPr>
        <w:ind w:right="60" w:firstLine="436"/>
        <w:spacing w:after="0" w:line="259" w:lineRule="auto"/>
        <w:tabs>
          <w:tab w:leader="none" w:pos="68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 Event of Default or event which with notice or lapse of time or both would become an Event of Default with respect to such Securities and any coupons appertaining thereto shall have occurred and be continuing on the date of such deposit or, insofar as Sections 501(6) and 501(7) are concerned, at any time during the period ending on the 91st calendar day after the date of such deposit (it being understood that this condition shall not be deemed satisfied until the expiration of such period).</w:t>
      </w:r>
    </w:p>
    <w:p>
      <w:pPr>
        <w:spacing w:after="0" w:line="186" w:lineRule="exact"/>
        <w:rPr>
          <w:rFonts w:ascii="Arial" w:cs="Arial" w:eastAsia="Arial" w:hAnsi="Arial"/>
          <w:sz w:val="18"/>
          <w:szCs w:val="18"/>
          <w:color w:val="auto"/>
        </w:rPr>
      </w:pPr>
    </w:p>
    <w:p>
      <w:pPr>
        <w:ind w:right="180" w:firstLine="436"/>
        <w:spacing w:after="0" w:line="263" w:lineRule="auto"/>
        <w:tabs>
          <w:tab w:leader="none" w:pos="69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134" w:name="page135"/>
    <w:bookmarkEnd w:id="13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Federal income tax law, in either case to the effect that, and based thereon such opinion shall confirm that, the Holders of such Outstanding Securities and any coupons appertaining thereto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87" w:lineRule="exact"/>
        <w:rPr>
          <w:sz w:val="20"/>
          <w:szCs w:val="20"/>
          <w:color w:val="auto"/>
        </w:rPr>
      </w:pPr>
    </w:p>
    <w:p>
      <w:pPr>
        <w:ind w:firstLine="436"/>
        <w:spacing w:after="0" w:line="259" w:lineRule="auto"/>
        <w:tabs>
          <w:tab w:leader="none" w:pos="68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the case of an election under Section 1403, the Company shall have delivered to the Trustee an Opinion of Counsel to the effect that the Holders of such Outstanding Securities and any coupons appertaining thereto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ind w:right="20" w:firstLine="436"/>
        <w:spacing w:after="0" w:line="255" w:lineRule="auto"/>
        <w:tabs>
          <w:tab w:leader="none" w:pos="66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to the Defeasance under Section 1402 or the Covenant Defeasance under Section 1403 (as the case may be) have been complied with and an Opinion of Counsel to the effect that either (i) as a result of a deposit pursuant to subsection (a) above and the related exercise of the Company’s option under Section 1402 or Section 1403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192" w:lineRule="exact"/>
        <w:rPr>
          <w:rFonts w:ascii="Arial" w:cs="Arial" w:eastAsia="Arial" w:hAnsi="Arial"/>
          <w:sz w:val="18"/>
          <w:szCs w:val="18"/>
          <w:color w:val="auto"/>
        </w:rPr>
      </w:pPr>
    </w:p>
    <w:p>
      <w:pPr>
        <w:ind w:right="420" w:firstLine="436"/>
        <w:spacing w:after="0" w:line="342" w:lineRule="auto"/>
        <w:tabs>
          <w:tab w:leader="none" w:pos="69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123" w:lineRule="exact"/>
        <w:rPr>
          <w:rFonts w:ascii="Arial" w:cs="Arial" w:eastAsia="Arial" w:hAnsi="Arial"/>
          <w:sz w:val="16"/>
          <w:szCs w:val="16"/>
          <w:color w:val="auto"/>
        </w:rPr>
      </w:pPr>
    </w:p>
    <w:p>
      <w:pPr>
        <w:ind w:left="700" w:hanging="264"/>
        <w:spacing w:after="0"/>
        <w:tabs>
          <w:tab w:leader="none" w:pos="7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payment of amounts payable to the Trustee pursuant to this Indenture shall be paid or provided for to the reasonable satisfaction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21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SECTION 1405. </w:t>
      </w:r>
      <w:r>
        <w:rPr>
          <w:rFonts w:ascii="Arial" w:cs="Arial" w:eastAsia="Arial" w:hAnsi="Arial"/>
          <w:sz w:val="16"/>
          <w:szCs w:val="16"/>
          <w:u w:val="single" w:color="auto"/>
          <w:color w:val="auto"/>
        </w:rPr>
        <w:t>Deposited Money and Government Obligations to Be Held in Trust; Other Miscellaneous Provisions</w:t>
      </w:r>
      <w:r>
        <w:rPr>
          <w:rFonts w:ascii="Arial" w:cs="Arial" w:eastAsia="Arial" w:hAnsi="Arial"/>
          <w:sz w:val="16"/>
          <w:szCs w:val="16"/>
          <w:color w:val="auto"/>
        </w:rPr>
        <w:t xml:space="preserve"> . 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“Trustee”) pursuant to Section 1404 in respect of any Outstanding Securities of any series and any coupons appertaining thereto shall be held in trust and applied by the Trustee, in accordance with the provisions of such Securities and any coupons appertaining thereto and this Indenture, to the payment, either directly or through any Paying Agent (including the Company acting as its own Paying Agent) as the Trustee may determine, to the Holders of such Securities and any coupons appertaining thereto of all sums due and to become due thereon in respect of principal (and premium or Make-Whole Amount, if any) and interest, but such money need not be segregated from other funds except to the extent required by law.</w:t>
      </w:r>
    </w:p>
    <w:p>
      <w:pPr>
        <w:spacing w:after="0" w:line="16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Unless otherwise specified with respect to any Security pursuant to Section 301, if, after a deposit referred to in Section 1404(a) has been made, (a) the Holder of a Security in respect of which such deposit was made is entitled to, and does, elect pursuant to Section 301 or the terms of such Security to receive payment in a currency or currency unit other than that in which the deposit pursuant to Section 1404(a) has been made in respect of such Security, or (b) a Conversion Event occurs in respect of the currency or currency unit in which the deposit pursuant to Section 1404(a) has been made, the indebtedness represented by such Security and any coupons appertaining thereto shall be deemed to have been, and will be, fully discharged and satisfied through the payment of the principal of (and premium or Make-Whole Amount, if any), and interest, if any, on such Security as the same becomes due out of the proceeds yielded by converting (from time to time as specified below in the case of any such election) the amount or other property deposited in respect of such Security into the currency or currency unit in which such Security becomes payable as a result of such election or Conversion Event based on the applicable market exchange rate for such currency or currency unit in effect on the second Business Day prior to each payment date, except, with respect to a Conversion Event, for such currency or currency unit in effect (as nearly as feasible) at the time of the Conversion Event.</w:t>
      </w:r>
    </w:p>
    <w:p>
      <w:pPr>
        <w:spacing w:after="0" w:line="18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 shall pay and indemnify the Trustee against any tax, fee or other charge imposed on or assessed against the Government Obligations deposited pursuant to Section 1404 or the principal and interest received in respect thereof other than any such tax, fee or other charge which by law is for the account of the Holders of such Outstanding Securities and any coupons appertaining thereto.</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60"/>
          </w:cols>
          <w:pgMar w:left="440" w:top="274" w:right="499" w:bottom="1440" w:gutter="0" w:footer="0" w:header="0"/>
        </w:sectPr>
      </w:pPr>
    </w:p>
    <w:bookmarkStart w:id="135" w:name="page136"/>
    <w:bookmarkEnd w:id="135"/>
    <w:p>
      <w:pPr>
        <w:ind w:left="4"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Anything in this Article to the contrary notwithstanding, subject to Section 606,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FIFTEEN—MEETINGS OF HOLDERS OF SECURITIES</w:t>
      </w:r>
    </w:p>
    <w:p>
      <w:pPr>
        <w:spacing w:after="0" w:line="225"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 xml:space="preserve">SECTION 1501. </w:t>
      </w:r>
      <w:r>
        <w:rPr>
          <w:rFonts w:ascii="Arial" w:cs="Arial" w:eastAsia="Arial" w:hAnsi="Arial"/>
          <w:sz w:val="18"/>
          <w:szCs w:val="18"/>
          <w:u w:val="single" w:color="auto"/>
          <w:color w:val="auto"/>
        </w:rPr>
        <w:t>Purposes for Which Meetings May Be Called</w:t>
      </w:r>
      <w:r>
        <w:rPr>
          <w:rFonts w:ascii="Arial" w:cs="Arial" w:eastAsia="Arial" w:hAnsi="Arial"/>
          <w:sz w:val="18"/>
          <w:szCs w:val="18"/>
          <w:color w:val="auto"/>
        </w:rPr>
        <w:t xml:space="preserve"> . A meeting of Holders of Securities of any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u w:val="single" w:color="auto"/>
          <w:color w:val="auto"/>
        </w:rPr>
        <w:t>Call, Notice and Place of Meetings</w:t>
      </w:r>
    </w:p>
    <w:p>
      <w:pPr>
        <w:spacing w:after="0" w:line="225" w:lineRule="exact"/>
        <w:rPr>
          <w:sz w:val="20"/>
          <w:szCs w:val="20"/>
          <w:color w:val="auto"/>
        </w:rPr>
      </w:pPr>
    </w:p>
    <w:p>
      <w:pPr>
        <w:jc w:val="both"/>
        <w:ind w:left="4" w:right="80" w:firstLine="436"/>
        <w:spacing w:after="0" w:line="259" w:lineRule="auto"/>
        <w:tabs>
          <w:tab w:leader="none" w:pos="68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Trustee may at any time call a meeting of Holders of Securities of any series for any purpose specified in Section 1501, to be held at such time and at such place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20 nor more than 180 calendar days prior to the date fixed for the meeting.</w:t>
      </w:r>
    </w:p>
    <w:p>
      <w:pPr>
        <w:spacing w:after="0" w:line="186" w:lineRule="exact"/>
        <w:rPr>
          <w:rFonts w:ascii="Arial" w:cs="Arial" w:eastAsia="Arial" w:hAnsi="Arial"/>
          <w:sz w:val="18"/>
          <w:szCs w:val="18"/>
          <w:color w:val="auto"/>
        </w:rPr>
      </w:pPr>
    </w:p>
    <w:p>
      <w:pPr>
        <w:ind w:left="4" w:right="20" w:firstLine="436"/>
        <w:spacing w:after="0" w:line="254" w:lineRule="auto"/>
        <w:tabs>
          <w:tab w:leader="none" w:pos="69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case at any time the Company, pursuant to a Board Resolution, or the Holders of at least 25%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20 calendar days after receipt of such request or shall not thereafter proceed to cause the meeting to be held as provided herein, then the Company or the Holders of Securities of such series in the amount above specified, as the case may be, may determine the time and the place for such meeting and may call such meeting for such purposes by giving notice thereof as provided in subsection (a) of this Section.</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SECTION 1503. </w:t>
      </w:r>
      <w:r>
        <w:rPr>
          <w:rFonts w:ascii="Arial" w:cs="Arial" w:eastAsia="Arial" w:hAnsi="Arial"/>
          <w:sz w:val="16"/>
          <w:szCs w:val="16"/>
          <w:u w:val="single" w:color="auto"/>
          <w:color w:val="auto"/>
        </w:rPr>
        <w:t>Persons Entitled to Vote at Meetings</w:t>
      </w:r>
      <w:r>
        <w:rPr>
          <w:rFonts w:ascii="Arial" w:cs="Arial" w:eastAsia="Arial" w:hAnsi="Arial"/>
          <w:sz w:val="16"/>
          <w:szCs w:val="16"/>
          <w:color w:val="auto"/>
        </w:rPr>
        <w:t xml:space="preserve"> . To be entitled to vote at any meeting of Holders of Securities of any series, a Person shall be</w:t>
      </w:r>
    </w:p>
    <w:p>
      <w:pPr>
        <w:spacing w:after="0" w:line="46" w:lineRule="exact"/>
        <w:rPr>
          <w:sz w:val="20"/>
          <w:szCs w:val="20"/>
          <w:color w:val="auto"/>
        </w:rPr>
      </w:pPr>
    </w:p>
    <w:p>
      <w:pPr>
        <w:ind w:left="4" w:hanging="4"/>
        <w:spacing w:after="0" w:line="253" w:lineRule="auto"/>
        <w:tabs>
          <w:tab w:leader="none" w:pos="25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93"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 xml:space="preserve">SECTION 1504. </w:t>
      </w:r>
      <w:r>
        <w:rPr>
          <w:rFonts w:ascii="Arial" w:cs="Arial" w:eastAsia="Arial" w:hAnsi="Arial"/>
          <w:sz w:val="16"/>
          <w:szCs w:val="16"/>
          <w:u w:val="single" w:color="auto"/>
          <w:color w:val="auto"/>
        </w:rPr>
        <w:t>Quorum; Action</w:t>
      </w:r>
      <w:r>
        <w:rPr>
          <w:rFonts w:ascii="Arial" w:cs="Arial" w:eastAsia="Arial" w:hAnsi="Arial"/>
          <w:sz w:val="16"/>
          <w:szCs w:val="16"/>
          <w:color w:val="auto"/>
        </w:rPr>
        <w:t xml:space="preserve"> . The Persons entitled to vote a majority in principal amount of the Outstanding Securities of a series shall constitute a quorum for a meeting of Holders of Securities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after the time appointed for any such meeting, the meeting shall, if convened at the request of Holders of Securities of such series, be dissolved. In any other case the meeting may be adjourned for a period of not less than 10 calendar days as determined by the chairman of the meeting prior to the adjournment of such meeting. In the absence of a quorum at the reconvening of any such adjourned meeting, such adjourned meeting may be further adjourned for a period of not less than 10 calendar days; at the reconvening of any meeting adjourned or further adjourned for lack of a quorum, the Persons entitled to vote 25% in aggregate principal amount of the then Outstanding Securities shall constitute a quorum for the taking of any action set forth in the notice of the original meeting. Notice of the reconvening of any adjourned meeting shall be given as provided in Section 1502(a), except that such notice need be given only once not less than five calendar days prior to the date on which the meeting is scheduled to be reconvened.</w:t>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4"/>
          </w:cols>
          <w:pgMar w:left="436" w:top="274" w:right="459" w:bottom="1440" w:gutter="0" w:footer="0" w:header="0"/>
        </w:sectPr>
      </w:pPr>
    </w:p>
    <w:bookmarkStart w:id="136" w:name="page137"/>
    <w:bookmarkEnd w:id="136"/>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as limited by the proviso to Section 902, any resolution presented to a meeting or adjourned meeting duly reconvened at which a quorum is present as aforesaid may be adopted by the affirmative vote of the Persons entitled to vote a majority in aggregate principal amount of the Outstanding Securities represented at such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7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4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Notwithstanding the foregoing provisions of this Section 1504, if any action is to be taken at a meeting of Holders of Securities of any series with respect to any request, demand, authorization, direction, notice, consent, waiver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187" w:lineRule="exact"/>
        <w:rPr>
          <w:sz w:val="20"/>
          <w:szCs w:val="20"/>
          <w:color w:val="auto"/>
        </w:rPr>
      </w:pPr>
    </w:p>
    <w:p>
      <w:pPr>
        <w:ind w:left="660" w:hanging="224"/>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225" w:lineRule="exact"/>
        <w:rPr>
          <w:rFonts w:ascii="Arial" w:cs="Arial" w:eastAsia="Arial" w:hAnsi="Arial"/>
          <w:sz w:val="18"/>
          <w:szCs w:val="18"/>
          <w:color w:val="auto"/>
        </w:rPr>
      </w:pPr>
    </w:p>
    <w:p>
      <w:pPr>
        <w:ind w:right="220" w:firstLine="436"/>
        <w:spacing w:after="0" w:line="263" w:lineRule="auto"/>
        <w:tabs>
          <w:tab w:leader="none" w:pos="70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principal amount of the Outstanding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this Indenture.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1505. </w:t>
      </w:r>
      <w:r>
        <w:rPr>
          <w:rFonts w:ascii="Arial" w:cs="Arial" w:eastAsia="Arial" w:hAnsi="Arial"/>
          <w:sz w:val="18"/>
          <w:szCs w:val="18"/>
          <w:u w:val="single" w:color="auto"/>
          <w:color w:val="auto"/>
        </w:rPr>
        <w:t>Determination of Voting Rights; Conduct and Adjournment of Meetings</w:t>
      </w:r>
      <w:r>
        <w:rPr>
          <w:rFonts w:ascii="Arial" w:cs="Arial" w:eastAsia="Arial" w:hAnsi="Arial"/>
          <w:sz w:val="18"/>
          <w:szCs w:val="18"/>
          <w:color w:val="auto"/>
        </w:rPr>
        <w:t xml:space="preserve"> .</w:t>
      </w:r>
    </w:p>
    <w:p>
      <w:pPr>
        <w:spacing w:after="0" w:line="225" w:lineRule="exact"/>
        <w:rPr>
          <w:sz w:val="20"/>
          <w:szCs w:val="20"/>
          <w:color w:val="auto"/>
        </w:rPr>
      </w:pPr>
    </w:p>
    <w:p>
      <w:pPr>
        <w:ind w:firstLine="436"/>
        <w:spacing w:after="0" w:line="290" w:lineRule="auto"/>
        <w:tabs>
          <w:tab w:leader="none" w:pos="68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Notwithstanding any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65" w:lineRule="exact"/>
        <w:rPr>
          <w:rFonts w:ascii="Arial" w:cs="Arial" w:eastAsia="Arial" w:hAnsi="Arial"/>
          <w:sz w:val="16"/>
          <w:szCs w:val="16"/>
          <w:color w:val="auto"/>
        </w:rPr>
      </w:pPr>
    </w:p>
    <w:p>
      <w:pPr>
        <w:ind w:right="120" w:firstLine="436"/>
        <w:spacing w:after="0" w:line="301" w:lineRule="auto"/>
        <w:tabs>
          <w:tab w:leader="none" w:pos="69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57" w:lineRule="exact"/>
        <w:rPr>
          <w:rFonts w:ascii="Arial" w:cs="Arial" w:eastAsia="Arial" w:hAnsi="Arial"/>
          <w:sz w:val="16"/>
          <w:szCs w:val="16"/>
          <w:color w:val="auto"/>
        </w:rPr>
      </w:pPr>
    </w:p>
    <w:p>
      <w:pPr>
        <w:ind w:right="100" w:firstLine="436"/>
        <w:spacing w:after="0" w:line="259" w:lineRule="auto"/>
        <w:tabs>
          <w:tab w:leader="none" w:pos="68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At any meeting each Holder of a Security of such series or proxy shall be entitled to one vote for each $1,000 principal amount of the Outstanding Securities of such series held or represented by him;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440" w:top="274" w:right="479" w:bottom="1440" w:gutter="0" w:footer="0" w:header="0"/>
        </w:sectPr>
      </w:pPr>
    </w:p>
    <w:bookmarkStart w:id="137" w:name="page138"/>
    <w:bookmarkEnd w:id="137"/>
    <w:p>
      <w:pPr>
        <w:ind w:right="140" w:firstLine="436"/>
        <w:spacing w:after="0" w:line="263" w:lineRule="auto"/>
        <w:tabs>
          <w:tab w:leader="none" w:pos="695"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8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SECTION 1506. </w:t>
      </w:r>
      <w:r>
        <w:rPr>
          <w:rFonts w:ascii="Arial" w:cs="Arial" w:eastAsia="Arial" w:hAnsi="Arial"/>
          <w:sz w:val="16"/>
          <w:szCs w:val="16"/>
          <w:u w:val="single" w:color="auto"/>
          <w:color w:val="auto"/>
        </w:rPr>
        <w:t>Counting Votes and Recording Action of Meetings</w:t>
      </w:r>
      <w:r>
        <w:rPr>
          <w:rFonts w:ascii="Arial" w:cs="Arial" w:eastAsia="Arial" w:hAnsi="Arial"/>
          <w:sz w:val="16"/>
          <w:szCs w:val="16"/>
          <w:color w:val="auto"/>
        </w:rPr>
        <w:t xml:space="preserve"> . 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SIXTEEN—CONVERSION OF SECURITIES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SECTION 1601. </w:t>
      </w:r>
      <w:r>
        <w:rPr>
          <w:rFonts w:ascii="Arial" w:cs="Arial" w:eastAsia="Arial" w:hAnsi="Arial"/>
          <w:sz w:val="16"/>
          <w:szCs w:val="16"/>
          <w:u w:val="single" w:color="auto"/>
          <w:color w:val="auto"/>
        </w:rPr>
        <w:t>Applicability of Article; Conversion Privilege and Conversion Price</w:t>
      </w:r>
      <w:r>
        <w:rPr>
          <w:rFonts w:ascii="Arial" w:cs="Arial" w:eastAsia="Arial" w:hAnsi="Arial"/>
          <w:sz w:val="16"/>
          <w:szCs w:val="16"/>
          <w:color w:val="auto"/>
        </w:rPr>
        <w:t xml:space="preserve"> . Securities of any series which are convertible shall be convertible in accordance with their terms and (except as otherwise specified as contemplated by Section 301 for Securities of any series) in accordance with this Article Sixteen. Subject to and upon compliance with the provisions of this Article Sixteen, at any time during the period specified in the Securities, at the option of the Holder thereof, any Security or any portion of the principal amount thereof which is $1,000 or an integral multiple of $1,000 may be converted at the principal amount thereof, or of such portion thereof, into fully paid and nonassessable Ordinary Shares (calculated as to each conversion to the nearest 1/100 of a share) of the Company, at the Conversion Price, determined as hereinafter provided, in effect at the time of conversion. In case a Security or portion thereof is called for redemption, such conversion right in respect of the Security or portion so called shall expire at the close of business on the Business Day immediately preceding the Redemption Date, unless the Company defaults in making the payment due upon redemption, in which case such conversion right shall terminate on the date such default is cured.</w:t>
      </w:r>
    </w:p>
    <w:p>
      <w:pPr>
        <w:spacing w:after="0" w:line="166"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The price at which Ordinary Shares shall be delivered upon conversion (herein called the “Conversion Price”) of Securities of any series shall be specified in such Securities. The Conversion Price shall be adjusted in certain instances as provided in Section 1604.</w:t>
      </w:r>
    </w:p>
    <w:p>
      <w:pPr>
        <w:spacing w:after="0" w:line="14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 xml:space="preserve">In case the Company shall, by dividend or otherwise, declare or make a distribution on its Ordinary Shares referred to in paragraph (4) of Section 1604, the Holder of each Security, upon the conversion thereof pursuant to this Article Sixteen subsequent to the close of business on the date fixed for the determination of shareholders entitled to receive such distribution and prior to the effectiveness of the Conversion Price adjustment in respect of such distribution pursuant to paragraph (4) of Section 1604, shall be entitled to receive for each Ordinary Share into which such Security is converted, the portion of the evidence of indebtedness, Share Capital or assets so distributed applicable to one Ordinary Share;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the election of the Company (whose election shall be evidenced by a Board Resolution filed with the Trustee) with respect to all Holders so converting, the Company may, in lieu of distributing to such Holder any portion of such distribution not consisting of cash or securities of the Company, pay such Holder an amount in cash equal to the fair market value thereof (as determined in good faith by the Board of Directors, whose determination shall be conclusive and described in a Board Resolution filed with the Trustee). If any conversion of a Security entitled to the benefits described in the immediately preceding sentence occurs prior to the payment date for a distribution to holders of Ordinary Shares which the Holder of the Security so converted is entitled to receive in accordance with the immediately preceding sentence, the Company may elect (such election to be evidenced by a Board Resolution filed with the Trustee) to distribute to such Holder a due bill for the evidences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138" w:name="page139"/>
    <w:bookmarkEnd w:id="13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indebtedness, Share Capital or assets to which such Holder is so entitled, provided that such due bill (i) meets any applicable requirements of the principal over-the-counter market or national securities exchange or other market on which the Ordinary Share is then traded, and (ii) requires payment or delivery of such evidences of indebtedness or assets no later than the date of payment or delivery thereof to holders of Ordinary Shares receiving such distribution.</w:t>
      </w:r>
    </w:p>
    <w:p>
      <w:pPr>
        <w:spacing w:after="0" w:line="18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SECTION 1602. </w:t>
      </w:r>
      <w:r>
        <w:rPr>
          <w:rFonts w:ascii="Arial" w:cs="Arial" w:eastAsia="Arial" w:hAnsi="Arial"/>
          <w:sz w:val="16"/>
          <w:szCs w:val="16"/>
          <w:u w:val="single" w:color="auto"/>
          <w:color w:val="auto"/>
        </w:rPr>
        <w:t>Exercise of Conversion Privilege</w:t>
      </w:r>
      <w:r>
        <w:rPr>
          <w:rFonts w:ascii="Arial" w:cs="Arial" w:eastAsia="Arial" w:hAnsi="Arial"/>
          <w:sz w:val="16"/>
          <w:szCs w:val="16"/>
          <w:color w:val="auto"/>
        </w:rPr>
        <w:t xml:space="preserve"> . In order to exercise the conversion privilege, the Holder of any Security to be converted shall surrender such Security, duly endorsed or assigned to the Company or in blank, at any office or agency maintained by the Company pursuant to Section 1002, accompanied by written notice to the Company at such office or agency that the Holder elects to convert such Security or, if less than the entire principal amount thereof is to be converted, the portion thereof to be converted and shall comply with any additional requirements set forth in such Security. Securities surrendered for conversion during the period from the close of business on any Regular Record Date next preceding any Interest Payment Date to the opening of business on such Interest Payment Date shall (except for Securities the Maturity of which is prior to such Interest Payment Date) be accompanied by payment in funds acceptable to the Company of an amount equal to the interest payable on such Interest Payment Date on the principal amount of Securities being surrendered for conversion and such interest shall be paid on such Interest Payment Date as provided in Section 307. Except as provided in the preceding sentence, no payment or adjustment shall be made upon any conversion on account of any interest accrued on the Securities surrendered for conversion or on account of any dividends on the Ordinary Shares issued upon conversion.</w:t>
      </w:r>
    </w:p>
    <w:p>
      <w:pPr>
        <w:spacing w:after="0" w:line="1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delivery to the Holder of the fixed number of Ordinary Shares of the Company (and any cash in lieu of any fractional Ordinary Shares) into which the Security is convertible shall be deemed to satisfy the Company’s obligation to pay the principal amount of the Security and all accrued interest and original issue discount that has not previously been paid. The Ordinary Shares of the Company so delivered shall be treated as issued first in payment of accrued interest and original issue discount and then in payment of principal. Thus, accrued interest and original issue discount shall be treated as paid, rather than canceled, extinguished or forfeited.</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Securities shall be deemed to have been converted immediately prior to the close of business on the day of surrender of such Securities for conversion in accordance with the foregoing provisions, and at such time the rights of the Holders of such Securities as Holders shall cease, and the Person or Persons entitled to receive the Ordinary Shares issuable upon conversion shall be treated for all purposes as the record holder or holders of such Ordinary Shares at such time. As promptly as practicable on or after the conversion date, the Company shall issue and shall deliver at such office or agency a certificate or certificates for the number of full Ordinary Shares issuable upon conversion, together with payment in lieu of any fraction of a share, as provided in Section 1603.</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case of any Security which is converted in part only, as promptly as practicable on or after the conversion date the Company shall execute and the Trustee shall authenticate and make available for delivery to the Holder thereof (or the Depositary in the case of a Global Security), at the expense of the Company, a new Security or Securities, of authorized denominations in aggregate principal amount equal to the unconverted portion of the principal amount of such Security.</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SECTION 1603. </w:t>
      </w:r>
      <w:r>
        <w:rPr>
          <w:rFonts w:ascii="Arial" w:cs="Arial" w:eastAsia="Arial" w:hAnsi="Arial"/>
          <w:sz w:val="16"/>
          <w:szCs w:val="16"/>
          <w:u w:val="single" w:color="auto"/>
          <w:color w:val="auto"/>
        </w:rPr>
        <w:t>Fractions of Shares</w:t>
      </w:r>
      <w:r>
        <w:rPr>
          <w:rFonts w:ascii="Arial" w:cs="Arial" w:eastAsia="Arial" w:hAnsi="Arial"/>
          <w:sz w:val="16"/>
          <w:szCs w:val="16"/>
          <w:color w:val="auto"/>
        </w:rPr>
        <w:t xml:space="preserve"> . No fractional Ordinary Shares shall be issued upon conversion of Securities. If more than one Security shall be surrendered for conversion at one time by the same Holder, the number of full Ordinary Shares which shall be issuable upon conversion thereof shall be computed on the basis of the aggregate principal amount of the Securities (or specified portions thereof) so surrendered. Instead of any fractional Ordinary Shares which would otherwise be issuable upon conversion of any Security or Securities (or specified portions thereof), the Company shall pay a cash adjustment (rounded to the nearest cent) in respect of such fraction in an amount equal to the same fraction of the Closing Price per American Depositary Share on the day of conversion (or, if such day is not a Trading Day, on the Trading Day immediately preceding such day).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1604. </w:t>
      </w:r>
      <w:r>
        <w:rPr>
          <w:rFonts w:ascii="Arial" w:cs="Arial" w:eastAsia="Arial" w:hAnsi="Arial"/>
          <w:sz w:val="18"/>
          <w:szCs w:val="18"/>
          <w:u w:val="single" w:color="auto"/>
          <w:color w:val="auto"/>
        </w:rPr>
        <w:t>Adjustment of Conversion Price</w:t>
      </w:r>
      <w:r>
        <w:rPr>
          <w:rFonts w:ascii="Arial" w:cs="Arial" w:eastAsia="Arial" w:hAnsi="Arial"/>
          <w:sz w:val="18"/>
          <w:szCs w:val="18"/>
          <w:color w:val="auto"/>
        </w:rPr>
        <w:t xml:space="preserve"> . The Conversion Price shall be subject to adjustment from time to time as follows:</w:t>
      </w:r>
    </w:p>
    <w:p>
      <w:pPr>
        <w:spacing w:after="0" w:line="117" w:lineRule="exact"/>
        <w:rPr>
          <w:sz w:val="20"/>
          <w:szCs w:val="20"/>
          <w:color w:val="auto"/>
        </w:rPr>
      </w:pPr>
    </w:p>
    <w:p>
      <w:pPr>
        <w:jc w:val="both"/>
        <w:ind w:right="100" w:firstLine="436"/>
        <w:spacing w:after="0" w:line="259" w:lineRule="auto"/>
        <w:tabs>
          <w:tab w:leader="none" w:pos="69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the Company pays or makes a dividend or other distribution (a) on its Ordinary Shares exclusively in Ordinary Shares or (b) on any other class of Share Capital of the Company, which dividend or distribution includes Ordinary Shares of the Company, the Conversion Price in effect at the opening of business on the day following the date fixed for the determination of shareholders entitled to receive such dividend or other distribution (the “Dividend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139" w:name="page140"/>
    <w:bookmarkEnd w:id="139"/>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Record Date”) shall be reduced by multiplying such Conversion Price by a fraction of which the numerator shall be the number of shares of Ordinary Shares of the Company outstanding at the close of business on the Dividend Record Date and the denominator shall be the sum of such number of shares and the total number of shares constituting such dividend or other distribution. Such reduction shall become effective immediately after the opening of business on the day following the date fixed for such determination. For the purposes of this paragraph (1), the number of Ordinary Shares of the Company at any time outstanding shall not include shares held in the treasury of the Company, but shall include shares issuable in respect of scrip certificates issued in lieu of fractions of Ordinary Shares . The Company shall not pay any dividend or make any distribution on shares of Ordinary Shares held in the treasury of the Company.</w:t>
      </w:r>
    </w:p>
    <w:p>
      <w:pPr>
        <w:spacing w:after="0" w:line="195" w:lineRule="exact"/>
        <w:rPr>
          <w:sz w:val="20"/>
          <w:szCs w:val="20"/>
          <w:color w:val="auto"/>
        </w:rPr>
      </w:pPr>
    </w:p>
    <w:p>
      <w:pPr>
        <w:ind w:right="80" w:firstLine="436"/>
        <w:spacing w:after="0" w:line="286" w:lineRule="auto"/>
        <w:tabs>
          <w:tab w:leader="none" w:pos="69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Subject to paragraph (6) of this Section, if the Company pays or makes a dividend or other distribution on its Ordinary Shares consisting exclusively of Short Term Rights (as defined below), or otherwise issues Short Term Rights to all holders of its Ordinary Shares , the Conversion Price in effect at the opening of business on the day following the record date for the determination of holders of Ordinary Shares entitled to receive such Short Term Rights (the “Rights Record Date”) shall be reduced by multiplying such Conversion Price by a fraction of which the numerator shall be the number of Ordinary Shares of the Company outstanding at the close of business on the Rights Record Date plus the number of Ordinary Shares of the Company which the aggregate of the offering price of the total number Ordinary Shares so offered for subscription or purchase would purchase at such current market price and the denominator shall be the number Ordinary Shares of the Company outstanding at the close of business on the Rights Record Date plus the number of Ordinary Shares so offered for subscription or purchase. Such reduction shall become effective immediately after the opening of business on the day following the Rights Record Date. For the purposes of this paragraph (2), the number of Ordinary Shares of the Company at any time outstanding shall not include shares held in the treasury of the Company, but shall include shares issuable in respect of scrip certificates issued in lieu of fractions of Ordinary Shares of the Company. The Company shall not issue any rights, options or warrants in respect of its Ordinary Shares held in the treasury of the Company. When used in this Section 1604, the term “Short Term Rights” shall mean rights, warrants or options entitling the holders thereof (for a period commencing no earlier than the Rights Record Date and expiring not more than 45 calendar days after the Rights Record Date) to subscribe for or purchase Ordinary Shares of the Company at a price per share less than the current market price per share (determined as provided in paragraph (7) of this Section 1604) of the Ordinary Shares of the Company on the Rights Record Date.</w:t>
      </w:r>
    </w:p>
    <w:p>
      <w:pPr>
        <w:spacing w:after="0" w:line="167" w:lineRule="exact"/>
        <w:rPr>
          <w:rFonts w:ascii="Arial" w:cs="Arial" w:eastAsia="Arial" w:hAnsi="Arial"/>
          <w:sz w:val="16"/>
          <w:szCs w:val="16"/>
          <w:color w:val="auto"/>
        </w:rPr>
      </w:pPr>
    </w:p>
    <w:p>
      <w:pPr>
        <w:ind w:right="120" w:firstLine="436"/>
        <w:spacing w:after="0" w:line="255" w:lineRule="auto"/>
        <w:tabs>
          <w:tab w:leader="none" w:pos="69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case outstanding Ordinary Shares of the Company shall be subdivided into a greater number of Ordinary Shares , the Conversion Price in effect at the opening of business on the day following the day upon which such subdivision becomes effective shall be proportionately reduced, and, conversely, in case outstanding Ordinary Shares of the Company shall be combined into a smaller number of Ordinary Shares , the Conversion Price in effect at the opening of business on the day following the day upon which such combination becomes effective shall be proportionately increased, such reduction or increase, as the case may be, to become effective immediately after the opening of business on the day following the day upon which such subdivision or combination becomes effective.</w:t>
      </w:r>
    </w:p>
    <w:p>
      <w:pPr>
        <w:spacing w:after="0" w:line="192" w:lineRule="exact"/>
        <w:rPr>
          <w:rFonts w:ascii="Arial" w:cs="Arial" w:eastAsia="Arial" w:hAnsi="Arial"/>
          <w:sz w:val="18"/>
          <w:szCs w:val="18"/>
          <w:color w:val="auto"/>
        </w:rPr>
      </w:pPr>
    </w:p>
    <w:p>
      <w:pPr>
        <w:ind w:firstLine="436"/>
        <w:spacing w:after="0" w:line="268" w:lineRule="auto"/>
        <w:tabs>
          <w:tab w:leader="none" w:pos="695" w:val="left"/>
        </w:tabs>
        <w:numPr>
          <w:ilvl w:val="0"/>
          <w:numId w:val="132"/>
        </w:numPr>
        <w:rPr>
          <w:rFonts w:ascii="Arial" w:cs="Arial" w:eastAsia="Arial" w:hAnsi="Arial"/>
          <w:sz w:val="17"/>
          <w:szCs w:val="17"/>
          <w:color w:val="auto"/>
        </w:rPr>
      </w:pPr>
      <w:r>
        <w:rPr>
          <w:rFonts w:ascii="Arial" w:cs="Arial" w:eastAsia="Arial" w:hAnsi="Arial"/>
          <w:sz w:val="17"/>
          <w:szCs w:val="17"/>
          <w:color w:val="auto"/>
        </w:rPr>
        <w:t>Subject to the last sentence of this paragraph (4) of this Section, if the Company, by dividend or otherwise, (a) distributes to all holders of its Ordinary Shares evidences of its indebtedness, shares of any class of Share Capital of the Company or other assets (other than cash dividends out of current or retained earnings), or (b) distributes to substantially all holders of Ordinary Shares rights or warrants to subscribe for securities (other than Short Term Rights to which paragraph (2) of this Section 1604 applies), the Conversion Price shall be reduced by multiplying such Conversion Price by a fraction of which the numerator shall be the current market price per share (determined as provided in paragraph (7) of this Section 1604) of the Ordinary Shares of the Company on the Reference Date (as defined below) less the fair market value (as determined in good faith by the Board of Directors, whose determination shall be conclusive and described in a Board Resolution filed with the Trustee), on the Reference Date, of the portion of the evidences of indebtedness and other assets so distributed or of such subscription rights or warrants applicable to one Ordinary Shares (collectively, the “Market Value of the Distribution”) and the denominator shall be such current market price per share of the Ordinary Shares of the Company. Such reduction shall become effective immediately prior to the opening of business on the day (the “Reference Date”) following the later of (a) the date fixed for the payment of such distribution and (b) the date 20 calendar days after notice relating to such distribution is required to be given pursuant to Section 1606(a). If the Board of Directors determines the fair market value of any distribution for purposes of this paragraph (4) by reference to the actual or when issued trading market for any securities comprising such distribution, it must in doing so consider the prices in such market over the same period used in computing the current market price per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140" w:name="page141"/>
    <w:bookmarkEnd w:id="140"/>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 pursuant to paragraph (7) of this Section 1604. In the event that, with respect to any distribution to which this paragraph (4) of Section 1604 would otherwise apply, the Market Value of the Distribution is greater than the current market price per share of the Ordinary Shares (such distribution being referred to herein as an “Unadjusted Distribution”), then the adjustment provided by this paragraph (4) shall not be made and in lieu thereof the provisions of Section 1611 shall apply with respect to such Unadjusted Distribution.</w:t>
      </w:r>
    </w:p>
    <w:p>
      <w:pPr>
        <w:spacing w:after="0" w:line="171" w:lineRule="exact"/>
        <w:rPr>
          <w:sz w:val="20"/>
          <w:szCs w:val="20"/>
          <w:color w:val="auto"/>
        </w:rPr>
      </w:pPr>
    </w:p>
    <w:p>
      <w:pPr>
        <w:ind w:left="700" w:hanging="264"/>
        <w:spacing w:after="0"/>
        <w:tabs>
          <w:tab w:leader="none" w:pos="7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Company may, but shall not be required to, make such reductions in the Conversion Price, in addition to those required by paragraphs (1),</w:t>
      </w:r>
    </w:p>
    <w:p>
      <w:pPr>
        <w:spacing w:after="0" w:line="46" w:lineRule="exact"/>
        <w:rPr>
          <w:rFonts w:ascii="Arial" w:cs="Arial" w:eastAsia="Arial" w:hAnsi="Arial"/>
          <w:sz w:val="16"/>
          <w:szCs w:val="16"/>
          <w:color w:val="auto"/>
        </w:rPr>
      </w:pPr>
    </w:p>
    <w:p>
      <w:pPr>
        <w:ind w:right="40"/>
        <w:spacing w:after="0" w:line="273" w:lineRule="auto"/>
        <w:rPr>
          <w:rFonts w:ascii="Arial" w:cs="Arial" w:eastAsia="Arial" w:hAnsi="Arial"/>
          <w:sz w:val="16"/>
          <w:szCs w:val="16"/>
          <w:color w:val="auto"/>
        </w:rPr>
      </w:pPr>
      <w:r>
        <w:rPr>
          <w:rFonts w:ascii="Arial" w:cs="Arial" w:eastAsia="Arial" w:hAnsi="Arial"/>
          <w:sz w:val="17"/>
          <w:szCs w:val="17"/>
          <w:color w:val="auto"/>
        </w:rPr>
        <w:t>(2), (3), and (4) of this Section 1604, as it considers to be advisable in order that any event treated for federal income tax purposes as a dividend of share or share rights shall not be taxable to the recipients. In addition, the Company, from time to time, may decrease the Conversion Price by any amount and for any reason, temporarily or otherwise, including situations where the Board of Directors determines such decrease to be fair and appropriate with respect to transactions in which holders of Ordinary Shares have the right to participate.</w:t>
      </w:r>
    </w:p>
    <w:p>
      <w:pPr>
        <w:spacing w:after="0" w:line="176" w:lineRule="exact"/>
        <w:rPr>
          <w:rFonts w:ascii="Arial" w:cs="Arial" w:eastAsia="Arial" w:hAnsi="Arial"/>
          <w:sz w:val="16"/>
          <w:szCs w:val="16"/>
          <w:color w:val="auto"/>
        </w:rPr>
      </w:pPr>
    </w:p>
    <w:p>
      <w:pPr>
        <w:ind w:firstLine="436"/>
        <w:spacing w:after="0" w:line="269" w:lineRule="auto"/>
        <w:tabs>
          <w:tab w:leader="none" w:pos="69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Rights or warrants issued or distributed by the Company to all holders of its Ordinary Shares entitling the holders thereof to subscribe for or purchase Ordinary Shares or Preference Shares, which rights or warrants (i) are deemed to be transferred with such Ordinary Shares , (ii) are not exercisable and (iii) are also issued or distributed in respect of future issuances of Ordinary Shares , in each case in clauses (i) through (iii) until the occurrence of a specified event or events (“Trigger Events”), shall for purposes of this Section 1604 not be deemed issued or distributed until the occurrence of the earliest Trigger Event. Each Ordinary Share issued upon conversion of Securities pursuant to this Article Sixteen shall be entitled to receive the appropriate number of Ordinary Shares purchase rights (the “Rights”), if any, and the certificates representing the Ordinary Shares issued upon conversion shall bear such legends, if any. Notwithstanding anything to the contrary in this Article Sixteen, there shall not be any adjustment to the Conversion Price as a result of (i) the distribution of separate certificates representing the Rights; (ii) the occurrence of certain events entitling holders of Rights to receive, upon exercise thereof, Ordinary Shares or other securities of the Company or other securities of another corporation; or (iii) the exercise of such Rights. No adjustment in the Conversion Price need be made for rights to purchase or the sale of Ordinary Shares pursuant to a Company plan providing for reinvestment of dividends or interest.</w:t>
      </w:r>
    </w:p>
    <w:p>
      <w:pPr>
        <w:spacing w:after="0" w:line="181" w:lineRule="exact"/>
        <w:rPr>
          <w:rFonts w:ascii="Arial" w:cs="Arial" w:eastAsia="Arial" w:hAnsi="Arial"/>
          <w:sz w:val="17"/>
          <w:szCs w:val="17"/>
          <w:color w:val="auto"/>
        </w:rPr>
      </w:pPr>
    </w:p>
    <w:p>
      <w:pPr>
        <w:ind w:right="100" w:firstLine="436"/>
        <w:spacing w:after="0" w:line="263" w:lineRule="auto"/>
        <w:tabs>
          <w:tab w:leader="none" w:pos="69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For the purpose of any computation under paragraph (2), (4) or (5) of this Section 1604, the “current market price” per Ordinary Shares of the Company on any date shall be deemed to be the average of the daily Closing Prices for the 15 consecutive Trading Days selected by the Company commencing not more than 30 Trading Days before, and ending not later than, the date in question.</w:t>
      </w:r>
    </w:p>
    <w:p>
      <w:pPr>
        <w:spacing w:after="0" w:line="183" w:lineRule="exact"/>
        <w:rPr>
          <w:rFonts w:ascii="Arial" w:cs="Arial" w:eastAsia="Arial" w:hAnsi="Arial"/>
          <w:sz w:val="18"/>
          <w:szCs w:val="18"/>
          <w:color w:val="auto"/>
        </w:rPr>
      </w:pPr>
    </w:p>
    <w:p>
      <w:pPr>
        <w:ind w:right="220" w:firstLine="436"/>
        <w:spacing w:after="0" w:line="259" w:lineRule="auto"/>
        <w:tabs>
          <w:tab w:leader="none" w:pos="69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No adjustment in the Conversion Price shall be required unless such adjustment would require an increase or decrease of at least 1% in the Conversion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adjustments which by reason of this paragraph (8) are not required to be made shall be carried forward and taken into account in any subsequent adjustment. All calculations under this Article Sixteen shall be made to the nearest cent or to the nearest one-hundredth of an Ordinary Share, as the case may be.</w:t>
      </w:r>
    </w:p>
    <w:p>
      <w:pPr>
        <w:spacing w:after="0" w:line="186" w:lineRule="exact"/>
        <w:rPr>
          <w:rFonts w:ascii="Arial" w:cs="Arial" w:eastAsia="Arial" w:hAnsi="Arial"/>
          <w:sz w:val="18"/>
          <w:szCs w:val="18"/>
          <w:color w:val="auto"/>
        </w:rPr>
      </w:pPr>
    </w:p>
    <w:p>
      <w:pPr>
        <w:ind w:right="80" w:firstLine="436"/>
        <w:spacing w:after="0" w:line="255" w:lineRule="auto"/>
        <w:tabs>
          <w:tab w:leader="none" w:pos="69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Anything herein to the contrary notwithstanding, in the event the Company shall declare any dividend or distribution requiring an adjustment in the Conversion Price hereunder and shall, thereafter and before the payment of such dividend or distribution to shareholders, legally abandon its plan to pay such dividend or distribution, the Conversion Price then in effect hereunder, if changed to reflect such dividend or distribution, shall upon the legal abandonment of such plan be changed to the Conversion Price which would have been in effect at the time of such abandonment (after giving effect to all other adjustments not so legally abandoned pursuant to the provisions of this Article Sixteen) had such dividend or distribution never been declared.</w:t>
      </w:r>
    </w:p>
    <w:p>
      <w:pPr>
        <w:spacing w:after="0" w:line="192" w:lineRule="exact"/>
        <w:rPr>
          <w:rFonts w:ascii="Arial" w:cs="Arial" w:eastAsia="Arial" w:hAnsi="Arial"/>
          <w:sz w:val="18"/>
          <w:szCs w:val="18"/>
          <w:color w:val="auto"/>
        </w:rPr>
      </w:pPr>
    </w:p>
    <w:p>
      <w:pPr>
        <w:ind w:right="20" w:firstLine="436"/>
        <w:spacing w:after="0" w:line="301" w:lineRule="auto"/>
        <w:tabs>
          <w:tab w:leader="none" w:pos="78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1604, no adjustment to the Conversion Price shall reduce the Conversion Price below the then nominal value per share of the Ordinary Shares of the Company, and any such purported adjustment shall instead reduce the Conversion Price to such par value. Notwithstanding the foregoing sentence, the Company hereby covenants that it will from time to time take all such action as may be required to assure that the nominal value per share of the Ordinary Shares is at all times equal to or less than the Conversion Price.</w:t>
      </w:r>
    </w:p>
    <w:p>
      <w:pPr>
        <w:spacing w:after="0" w:line="157" w:lineRule="exact"/>
        <w:rPr>
          <w:rFonts w:ascii="Arial" w:cs="Arial" w:eastAsia="Arial" w:hAnsi="Arial"/>
          <w:sz w:val="16"/>
          <w:szCs w:val="16"/>
          <w:color w:val="auto"/>
        </w:rPr>
      </w:pPr>
    </w:p>
    <w:p>
      <w:pPr>
        <w:ind w:firstLine="436"/>
        <w:spacing w:after="0" w:line="259" w:lineRule="auto"/>
        <w:tabs>
          <w:tab w:leader="none" w:pos="77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the event that this Article Sixteen requires adjustments to the Conversion Price under more than one of paragraphs (1), (2), (3) or (4) of this Section 1604, and the record or effective dates for the transaction giving rise to such adjustments shall occur on the same date, then such adjustments shall be made by applying (to the extent they are applicable), first, the provisions of paragraph (3) of this Section 1604, second, the provisions of paragraph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141" w:name="page142"/>
    <w:bookmarkEnd w:id="141"/>
    <w:p>
      <w:pPr>
        <w:ind w:left="4" w:right="20" w:hanging="4"/>
        <w:spacing w:after="0" w:line="254" w:lineRule="auto"/>
        <w:tabs>
          <w:tab w:leader="none" w:pos="259"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this Section 1604, third, the provisions of paragraph (4) of this Section 1604 and, fourth, the provisions of paragraph (2) of this Section 1604. Anything herein to the contrary notwithstanding, no single event shall require or result in duplicative adjustments in the Conversion Price pursuant to this Section 1604. After an adjustment to the Conversion Price under this Article Sixteen, any subsequent event requiring an adjustment under this Article Sixteen shall cause an adjustment to the Conversion Price as so adjusted. If, after an adjustment, a Holder of a Security upon conversion of such Security receives shares of two or more classes of Share Capital of the Company, the Conversion Price shall thereafter be subject to adjustment upon the occurrence of an action taken with respect to any such class of Share Capital as is contemplated by this Article Sixteen with respect to the Ordinary Shares in this Article Sixteen.</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1605. </w:t>
      </w:r>
      <w:r>
        <w:rPr>
          <w:rFonts w:ascii="Arial" w:cs="Arial" w:eastAsia="Arial" w:hAnsi="Arial"/>
          <w:sz w:val="18"/>
          <w:szCs w:val="18"/>
          <w:u w:val="single" w:color="auto"/>
          <w:color w:val="auto"/>
        </w:rPr>
        <w:t>Notice of Adjustments of Conversion Price</w:t>
      </w:r>
      <w:r>
        <w:rPr>
          <w:rFonts w:ascii="Arial" w:cs="Arial" w:eastAsia="Arial" w:hAnsi="Arial"/>
          <w:sz w:val="18"/>
          <w:szCs w:val="18"/>
          <w:color w:val="auto"/>
        </w:rPr>
        <w:t xml:space="preserve"> . Whenever the Conversion Price is adjusted as herein provided:</w:t>
      </w:r>
    </w:p>
    <w:p>
      <w:pPr>
        <w:spacing w:after="0" w:line="117" w:lineRule="exact"/>
        <w:rPr>
          <w:sz w:val="20"/>
          <w:szCs w:val="20"/>
          <w:color w:val="auto"/>
        </w:rPr>
      </w:pPr>
    </w:p>
    <w:p>
      <w:pPr>
        <w:ind w:left="4" w:right="340" w:firstLine="436"/>
        <w:spacing w:after="0" w:line="259" w:lineRule="auto"/>
        <w:tabs>
          <w:tab w:leader="none" w:pos="69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Company shall compute the adjusted Conversion Price in accordance with Section 1604 or Section 1611 and shall prepare an Officer’s Certificate setting forth the adjusted Conversion Price and showing in reasonable detail the facts upon which such adjustment is based, and such certificate shall forthwith be filed (with a copy to the Trustee) at each office or agency maintained for the purpose of conversion of any Securities pursuant to Section 1002; and</w:t>
      </w:r>
    </w:p>
    <w:p>
      <w:pPr>
        <w:spacing w:after="0" w:line="186" w:lineRule="exact"/>
        <w:rPr>
          <w:rFonts w:ascii="Arial" w:cs="Arial" w:eastAsia="Arial" w:hAnsi="Arial"/>
          <w:sz w:val="18"/>
          <w:szCs w:val="18"/>
          <w:color w:val="auto"/>
        </w:rPr>
      </w:pPr>
    </w:p>
    <w:p>
      <w:pPr>
        <w:ind w:left="4" w:right="120" w:firstLine="436"/>
        <w:spacing w:after="0" w:line="263" w:lineRule="auto"/>
        <w:tabs>
          <w:tab w:leader="none" w:pos="69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notice stating that the Conversion Price has been adjusted and setting forth the adjusted Conversion Price shall forthwith be required, and as soon as practicable after it is required, such notice shall be mailed by the Company to all Holders at their last addresses as they shall appear in the Security Register.</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1606. </w:t>
      </w:r>
      <w:r>
        <w:rPr>
          <w:rFonts w:ascii="Arial" w:cs="Arial" w:eastAsia="Arial" w:hAnsi="Arial"/>
          <w:sz w:val="18"/>
          <w:szCs w:val="18"/>
          <w:u w:val="single" w:color="auto"/>
          <w:color w:val="auto"/>
        </w:rPr>
        <w:t>Notice of Certain Corporate Action</w:t>
      </w:r>
      <w:r>
        <w:rPr>
          <w:rFonts w:ascii="Arial" w:cs="Arial" w:eastAsia="Arial" w:hAnsi="Arial"/>
          <w:sz w:val="18"/>
          <w:szCs w:val="18"/>
          <w:color w:val="auto"/>
        </w:rPr>
        <w:t>. In case:</w:t>
      </w:r>
    </w:p>
    <w:p>
      <w:pPr>
        <w:spacing w:after="0" w:line="117" w:lineRule="exact"/>
        <w:rPr>
          <w:sz w:val="20"/>
          <w:szCs w:val="20"/>
          <w:color w:val="auto"/>
        </w:rPr>
      </w:pPr>
    </w:p>
    <w:p>
      <w:pPr>
        <w:ind w:left="704" w:hanging="264"/>
        <w:spacing w:after="0"/>
        <w:tabs>
          <w:tab w:leader="none" w:pos="704"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Company shall take any action that would require a Conversion Price adjustment pursuant to Section 1604 or Section 1611; or</w:t>
      </w:r>
    </w:p>
    <w:p>
      <w:pPr>
        <w:spacing w:after="0" w:line="236" w:lineRule="exact"/>
        <w:rPr>
          <w:rFonts w:ascii="Arial" w:cs="Arial" w:eastAsia="Arial" w:hAnsi="Arial"/>
          <w:sz w:val="17"/>
          <w:szCs w:val="17"/>
          <w:color w:val="auto"/>
        </w:rPr>
      </w:pPr>
    </w:p>
    <w:p>
      <w:pPr>
        <w:ind w:left="4" w:right="60" w:firstLine="436"/>
        <w:spacing w:after="0" w:line="263" w:lineRule="auto"/>
        <w:tabs>
          <w:tab w:leader="none" w:pos="69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there shall occur any reclassification of the Ordinary Shares of the Company (other than a subdivision or combination of its outstanding Ordinary Shares ), or any consolidation or merger to which the Company is a party, or the sale, transfer or lease of all or substantially all of the assets of the Company and for which approval of any shareholders of the Company is required; or</w:t>
      </w:r>
    </w:p>
    <w:p>
      <w:pPr>
        <w:spacing w:after="0" w:line="183" w:lineRule="exact"/>
        <w:rPr>
          <w:rFonts w:ascii="Arial" w:cs="Arial" w:eastAsia="Arial" w:hAnsi="Arial"/>
          <w:sz w:val="18"/>
          <w:szCs w:val="18"/>
          <w:color w:val="auto"/>
        </w:rPr>
      </w:pPr>
    </w:p>
    <w:p>
      <w:pPr>
        <w:ind w:left="4" w:firstLine="436"/>
        <w:spacing w:after="0" w:line="270" w:lineRule="auto"/>
        <w:tabs>
          <w:tab w:leader="none" w:pos="699"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there shall occur the voluntary or involuntary dissolution, liquidation or winding up of the Company, then the Company shall cause to be filed at each office or agency maintained for the purpose of conversion of Securities pursuant to Section 1002, and shall cause to be mailed to all Holders at their last addresses as they shall appear in the Security Register, at least 10 calendar days prior to the applicable record, effective or expiration date hereinafter specified, a notice stating (x) the date on which a record is to be taken for the purpose of any dividend, distribution or granting of rights, warrants or options, or, if a record is not to be taken, the date as of which the holders of Ordinary Shares of record to be entitled to such dividend, distribution, rights, options or warrants are to be determined, or (y) the date on which such reclassification, consolidation, merger, sale, transfer, dissolution, liquidation or winding up is expected to become effective, and, if applicable, the date as of which it is expected that holders of Ordinary Shares of record shall be entitled to exchange their shares of Ordinary Shares for securities, cash or other property deliverable upon such reclassification, consolidation, merger, sale, transfer, dissolution, liquidation or winding up.</w:t>
      </w:r>
    </w:p>
    <w:p>
      <w:pPr>
        <w:spacing w:after="0" w:line="181"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 xml:space="preserve">SECTION 1607. </w:t>
      </w:r>
      <w:r>
        <w:rPr>
          <w:rFonts w:ascii="Arial" w:cs="Arial" w:eastAsia="Arial" w:hAnsi="Arial"/>
          <w:sz w:val="18"/>
          <w:szCs w:val="18"/>
          <w:u w:val="single" w:color="auto"/>
          <w:color w:val="auto"/>
        </w:rPr>
        <w:t>Company to Reserve Ordinary Shares</w:t>
      </w:r>
      <w:r>
        <w:rPr>
          <w:rFonts w:ascii="Arial" w:cs="Arial" w:eastAsia="Arial" w:hAnsi="Arial"/>
          <w:sz w:val="18"/>
          <w:szCs w:val="18"/>
          <w:color w:val="auto"/>
        </w:rPr>
        <w:t xml:space="preserve"> . The Company shall at all times reserve and keep available, free from preemptive rights, out of its authorized but unissued Ordinary Shares, for the purpose of effecting the conversion of Securities, a number of shares of Ordinary Shares for the conversion of all outstanding Securities of any series which is convertible into Ordinary Shares .</w:t>
      </w:r>
    </w:p>
    <w:p>
      <w:pPr>
        <w:spacing w:after="0" w:line="184"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color w:val="auto"/>
        </w:rPr>
        <w:t xml:space="preserve">SECTION 1608. </w:t>
      </w:r>
      <w:r>
        <w:rPr>
          <w:rFonts w:ascii="Arial" w:cs="Arial" w:eastAsia="Arial" w:hAnsi="Arial"/>
          <w:sz w:val="18"/>
          <w:szCs w:val="18"/>
          <w:u w:val="single" w:color="auto"/>
          <w:color w:val="auto"/>
        </w:rPr>
        <w:t>Taxes on Conversion</w:t>
      </w:r>
      <w:r>
        <w:rPr>
          <w:rFonts w:ascii="Arial" w:cs="Arial" w:eastAsia="Arial" w:hAnsi="Arial"/>
          <w:sz w:val="18"/>
          <w:szCs w:val="18"/>
          <w:color w:val="auto"/>
        </w:rPr>
        <w:t xml:space="preserve"> . The Company will pay any and all taxes that may be payable in respect of the issue or delivery Ordinary Shares on conversion of Securities pursuant hereto. The Company shall not, however, be required to pay any tax which may be payable in respect of any transfer involved in the issue and delivery of Ordinary Shares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4"/>
          </w:cols>
          <w:pgMar w:left="436" w:top="274" w:right="459" w:bottom="1440" w:gutter="0" w:footer="0" w:header="0"/>
        </w:sectPr>
      </w:pPr>
    </w:p>
    <w:bookmarkStart w:id="142" w:name="page143"/>
    <w:bookmarkEnd w:id="142"/>
    <w:p>
      <w:pPr>
        <w:ind w:left="4"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1609. Covenants as to Ordinary Shares . The Company covenants that all Ordinary Shares which may be issued upon conversion of Securities will upon issue be duly and validly issued, fully paid and nonassessable, free of preemptive or any similar rights, and, except as provided in Section 1608, the Company will pay all taxes, liens and charges with respect to the issue thereof.</w:t>
      </w:r>
    </w:p>
    <w:p>
      <w:pPr>
        <w:spacing w:after="0" w:line="184" w:lineRule="exact"/>
        <w:rPr>
          <w:sz w:val="20"/>
          <w:szCs w:val="20"/>
          <w:color w:val="auto"/>
        </w:rPr>
      </w:pPr>
    </w:p>
    <w:p>
      <w:pPr>
        <w:ind w:left="4" w:right="320"/>
        <w:spacing w:after="0" w:line="263" w:lineRule="auto"/>
        <w:rPr>
          <w:sz w:val="20"/>
          <w:szCs w:val="20"/>
          <w:color w:val="auto"/>
        </w:rPr>
      </w:pPr>
      <w:r>
        <w:rPr>
          <w:rFonts w:ascii="Arial" w:cs="Arial" w:eastAsia="Arial" w:hAnsi="Arial"/>
          <w:sz w:val="18"/>
          <w:szCs w:val="18"/>
          <w:color w:val="auto"/>
        </w:rPr>
        <w:t>The Company will endeavor promptly to comply with all Federal and state securities laws regulating the offer and delivery of Ordinary Shares upon conversion of Securities, if any, and will list or cause to have quoted such shares of Ordinary Shares on each national securities exchange or in the over-the-counter market or such other market on which the Ordinary Shares is then listed or quoted.</w:t>
      </w:r>
    </w:p>
    <w:p>
      <w:pPr>
        <w:spacing w:after="0" w:line="184"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 xml:space="preserve">SECTION 1610. </w:t>
      </w:r>
      <w:r>
        <w:rPr>
          <w:rFonts w:ascii="Arial" w:cs="Arial" w:eastAsia="Arial" w:hAnsi="Arial"/>
          <w:sz w:val="18"/>
          <w:szCs w:val="18"/>
          <w:u w:val="single" w:color="auto"/>
          <w:color w:val="auto"/>
        </w:rPr>
        <w:t>Cancellation of Converted Securities</w:t>
      </w:r>
      <w:r>
        <w:rPr>
          <w:rFonts w:ascii="Arial" w:cs="Arial" w:eastAsia="Arial" w:hAnsi="Arial"/>
          <w:sz w:val="18"/>
          <w:szCs w:val="18"/>
          <w:color w:val="auto"/>
        </w:rPr>
        <w:t xml:space="preserve"> . All Securities delivered for conversion shall be delivered to the Trustee to be cancelled by or at the direction of the Trustee, which shall dispose of the same as provided in Section 309.</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SECTION 1611. </w:t>
      </w:r>
      <w:r>
        <w:rPr>
          <w:rFonts w:ascii="Arial" w:cs="Arial" w:eastAsia="Arial" w:hAnsi="Arial"/>
          <w:sz w:val="17"/>
          <w:szCs w:val="17"/>
          <w:u w:val="single" w:color="auto"/>
          <w:color w:val="auto"/>
        </w:rPr>
        <w:t>Provisions in Case of Consolidation, Merger or Sale of Assets; Special Distributions</w:t>
      </w:r>
      <w:r>
        <w:rPr>
          <w:rFonts w:ascii="Arial" w:cs="Arial" w:eastAsia="Arial" w:hAnsi="Arial"/>
          <w:sz w:val="17"/>
          <w:szCs w:val="17"/>
          <w:color w:val="auto"/>
        </w:rPr>
        <w:t xml:space="preserve"> . If any of the following shall occur, namely:</w:t>
      </w:r>
    </w:p>
    <w:p>
      <w:pPr>
        <w:spacing w:after="0" w:line="35" w:lineRule="exact"/>
        <w:rPr>
          <w:sz w:val="20"/>
          <w:szCs w:val="20"/>
          <w:color w:val="auto"/>
        </w:rPr>
      </w:pPr>
    </w:p>
    <w:p>
      <w:pPr>
        <w:ind w:left="4" w:right="60" w:hanging="4"/>
        <w:spacing w:after="0" w:line="285" w:lineRule="auto"/>
        <w:tabs>
          <w:tab w:leader="none" w:pos="219"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any reclassification or change of outstanding Ordinary Shares issuable upon conversion of Securities (other than a change in par value, or from par value to no par value, or from no par value to par value, or as a result of a subdivision or combination), (ii) any consolidation or merger to which the Company is a party other than a merger in which the Company is the continuing corporation and which does not result in any reclassification of, or change (other than a change in name, or par value, or from par value to no par value, or from no par value to par value or as a result of a subdivision or combination) in, outstanding Ordinary Shares or (iii) any sale or conveyance of all or substantially all of the property or business of the Company as an entirety, then the Person formed by such consolidation or resulting from such merger or which acquires such properties or assets, as the case may be, shall as a condition precedent to such transaction execute and deliver to the Trustee a supplemental indenture providing that the Holder of each Security then outstanding shall have the right thereafter, during the period such Security shall be convertible as specified in Section 1601, to convert such Security only into the kind and amount of securities, cash and other property receivable, if any, upon such consolidation, merger, sale, transfer or lease by a holder of the number of Ordinary Shares of the Company into which such Security might have been converted immediately prior to such consolidation, merger, sale, transfer or lease; provided that the kind and amount of securities, cash and other property so receivable shall be determined on the basis of the following assumptions. The holder of Ordinary Shares referred to in the foregoing sentence:</w:t>
      </w:r>
    </w:p>
    <w:p>
      <w:pPr>
        <w:spacing w:after="0" w:line="63" w:lineRule="exact"/>
        <w:rPr>
          <w:rFonts w:ascii="Arial" w:cs="Arial" w:eastAsia="Arial" w:hAnsi="Arial"/>
          <w:sz w:val="16"/>
          <w:szCs w:val="16"/>
          <w:color w:val="auto"/>
        </w:rPr>
      </w:pPr>
    </w:p>
    <w:p>
      <w:pPr>
        <w:ind w:left="704" w:hanging="264"/>
        <w:spacing w:after="0"/>
        <w:tabs>
          <w:tab w:leader="none" w:pos="704" w:val="left"/>
        </w:tabs>
        <w:numPr>
          <w:ilvl w:val="1"/>
          <w:numId w:val="137"/>
        </w:numPr>
        <w:rPr>
          <w:rFonts w:ascii="Arial" w:cs="Arial" w:eastAsia="Arial" w:hAnsi="Arial"/>
          <w:sz w:val="16"/>
          <w:szCs w:val="16"/>
          <w:color w:val="auto"/>
        </w:rPr>
      </w:pPr>
      <w:r>
        <w:rPr>
          <w:rFonts w:ascii="Arial" w:cs="Arial" w:eastAsia="Arial" w:hAnsi="Arial"/>
          <w:sz w:val="16"/>
          <w:szCs w:val="16"/>
          <w:color w:val="auto"/>
        </w:rPr>
        <w:t>is not (a) a Person with which the Company consolidated, (b) a Person into which the Company merged or which merged into the Company, or</w:t>
      </w:r>
    </w:p>
    <w:p>
      <w:pPr>
        <w:spacing w:after="0" w:line="46" w:lineRule="exact"/>
        <w:rPr>
          <w:rFonts w:ascii="Arial" w:cs="Arial" w:eastAsia="Arial" w:hAnsi="Arial"/>
          <w:sz w:val="16"/>
          <w:szCs w:val="16"/>
          <w:color w:val="auto"/>
        </w:rPr>
      </w:pPr>
    </w:p>
    <w:p>
      <w:pPr>
        <w:ind w:left="444" w:right="40"/>
        <w:spacing w:after="0" w:line="260" w:lineRule="auto"/>
        <w:rPr>
          <w:rFonts w:ascii="Arial" w:cs="Arial" w:eastAsia="Arial" w:hAnsi="Arial"/>
          <w:sz w:val="16"/>
          <w:szCs w:val="16"/>
          <w:color w:val="auto"/>
        </w:rPr>
      </w:pPr>
      <w:r>
        <w:rPr>
          <w:rFonts w:ascii="Arial" w:cs="Arial" w:eastAsia="Arial" w:hAnsi="Arial"/>
          <w:sz w:val="18"/>
          <w:szCs w:val="18"/>
          <w:color w:val="auto"/>
        </w:rPr>
        <w:t>(c) a Person to which such sale, transfer or lease was made (any Person described in the foregoing clauses (a), (b), or (c), hereinafter referred to as a “Constituent Person”), or (d) an Affiliate of a Constituent Person; and</w:t>
      </w:r>
    </w:p>
    <w:p>
      <w:pPr>
        <w:spacing w:after="0" w:line="77" w:lineRule="exact"/>
        <w:rPr>
          <w:rFonts w:ascii="Arial" w:cs="Arial" w:eastAsia="Arial" w:hAnsi="Arial"/>
          <w:sz w:val="16"/>
          <w:szCs w:val="16"/>
          <w:color w:val="auto"/>
        </w:rPr>
      </w:pPr>
    </w:p>
    <w:p>
      <w:pPr>
        <w:ind w:left="444" w:hanging="4"/>
        <w:spacing w:after="0" w:line="255" w:lineRule="auto"/>
        <w:tabs>
          <w:tab w:leader="none" w:pos="699" w:val="left"/>
        </w:tabs>
        <w:numPr>
          <w:ilvl w:val="1"/>
          <w:numId w:val="137"/>
        </w:numPr>
        <w:rPr>
          <w:rFonts w:ascii="Arial" w:cs="Arial" w:eastAsia="Arial" w:hAnsi="Arial"/>
          <w:sz w:val="18"/>
          <w:szCs w:val="18"/>
          <w:color w:val="auto"/>
        </w:rPr>
      </w:pPr>
      <w:r>
        <w:rPr>
          <w:rFonts w:ascii="Arial" w:cs="Arial" w:eastAsia="Arial" w:hAnsi="Arial"/>
          <w:sz w:val="18"/>
          <w:szCs w:val="18"/>
          <w:color w:val="auto"/>
        </w:rPr>
        <w:t>failed to exercise his rights of election, if any, as to the kind or amount of securities, cash and other property receivable upon such consolidation, merger, sale, transfer or lease (provided that if the kind or amount of securities, cash and other property receivable upon such consolidation, merger, sale transfer or lease is not the same for each Ordinary Share of the Company in respect of which such rights of election shall not have been exercised, then for the purpose of this Section 1611 the kind and amount of securities, cash and other property receivable upon such consolidation, merger, sale, transfer or lease shall be deemed to be the kind and amount so receivable per share by a plurality of such shares of Ordinary Shares ).</w:t>
      </w:r>
    </w:p>
    <w:p>
      <w:pPr>
        <w:spacing w:after="0" w:line="192"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Such supplemental indenture shall provide for adjustments which, for events subsequent to the effective date of such supplemental indenture, shall be as nearly equivalent as may be practicable to the adjustments provided for in this Article Sixteen. If, in the case of any such consolidation, merger, sale transfer or lease the shares or other securities and property (including cash) receivable thereupon by a holder of Ordinary Shares includes shares or other securities and property of a corporation other than the successor or purchasing corporation, as the case may be, in such consolidation, merger, sale, transfer or lease then such supplemental indenture shall also be executed by such other corporation and shall contain such additional provisions to protect the interests of the Holders of the Securities as the Board of Directors of the Company shall reasonably consider necessary by reason of the foregoing. The above provisions of this Section 1611 shall similarly apply to successive consolidations, mergers, sales, transfers or leases.</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4"/>
          </w:cols>
          <w:pgMar w:left="436" w:top="274" w:right="479" w:bottom="1440" w:gutter="0" w:footer="0" w:header="0"/>
        </w:sectPr>
      </w:pPr>
    </w:p>
    <w:bookmarkStart w:id="143" w:name="page144"/>
    <w:bookmarkEnd w:id="143"/>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the Company shall execute a supplemental indenture pursuant to this Section 1611, the Company shall promptly file with the Trustee an Officers’ Certificate briefly stating the reasons therefor, the kind or amount of shares or securities or property (including cash) receivable by Holders of the Securities upon the conversion of their Securities after any such reclassification, change, consolidation, merger, sale, transfer or lease and any adjustment to be made with respect thereto.</w:t>
      </w:r>
    </w:p>
    <w:p>
      <w:pPr>
        <w:spacing w:after="0" w:line="18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If the Company makes a distribution to all holders of its Ordinary Shares that constitutes an Unadjusted Distribution pursuant to the last sentence of paragraph (4) of Section 1604, then, from and after the record date for determining the holders of Ordinary Shares entitled to receive such distribution (the “Distribution Record Date”), a Holder of a Security who converts such Security in accordance with the provisions of this Indenture shall, upon conversion, be entitled to receive, in addition to the Ordinary Shares into which the Security is convertible, the kind and amount of evidences of indebtedness, Share Capital, or other assets or subscription rights or warrants, as the case may be, comprising the distribution that such Holder would have received if such Holder had converted the Security immediately prior to the Distribution Record Date.</w:t>
      </w:r>
    </w:p>
    <w:p>
      <w:pPr>
        <w:spacing w:after="0" w:line="178"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 xml:space="preserve">SECTION 1612. </w:t>
      </w:r>
      <w:r>
        <w:rPr>
          <w:rFonts w:ascii="Arial" w:cs="Arial" w:eastAsia="Arial" w:hAnsi="Arial"/>
          <w:sz w:val="17"/>
          <w:szCs w:val="17"/>
          <w:u w:val="single" w:color="auto"/>
          <w:color w:val="auto"/>
        </w:rPr>
        <w:t>Trustee Adjustment Disclaimer; Company Determination Final</w:t>
      </w:r>
      <w:r>
        <w:rPr>
          <w:rFonts w:ascii="Arial" w:cs="Arial" w:eastAsia="Arial" w:hAnsi="Arial"/>
          <w:sz w:val="17"/>
          <w:szCs w:val="17"/>
          <w:color w:val="auto"/>
        </w:rPr>
        <w:t>. The Trustee has no duty to determine when an adjustment under this Article Sixteen should be made, how it should be made or what it should be. The Trustee has no duty to determine whether a supplemental indenture under Section 1611 need be entered into or whether any provisions of any supplemental indenture are correct. The Trustee shall not be accountable for and makes no representation as to the validity or value of any securities or assets issued upon conversion of Securities. The Trustee shall not be responsible for the Company’s failure to comply with this Article Sixteen. Any determination that the Company or the Board of Directors must make pursuant to this Article Sixteen is conclusive, absent manifest error.</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SECTION 1613. </w:t>
      </w:r>
      <w:r>
        <w:rPr>
          <w:rFonts w:ascii="Arial" w:cs="Arial" w:eastAsia="Arial" w:hAnsi="Arial"/>
          <w:sz w:val="18"/>
          <w:szCs w:val="18"/>
          <w:u w:val="single" w:color="auto"/>
          <w:color w:val="auto"/>
        </w:rPr>
        <w:t>When No Adjustment Required</w:t>
      </w:r>
      <w:r>
        <w:rPr>
          <w:rFonts w:ascii="Arial" w:cs="Arial" w:eastAsia="Arial" w:hAnsi="Arial"/>
          <w:sz w:val="18"/>
          <w:szCs w:val="18"/>
          <w:color w:val="auto"/>
        </w:rPr>
        <w:t xml:space="preserve"> . Except as expressly set forth in Section 1604, no adjustment in the Conversion Price shall be made because the Company issues, in exchange for cash, property or services, shares of its Ordinary Shares, or any securities convertible into or exchangeable for its Ordinary Shares, or securities (including warrants, rights and options) carrying the right to subscribe for or purchase shares of its Ordinary Shares or such convertible or exchangeable securities.</w:t>
      </w:r>
    </w:p>
    <w:p>
      <w:pPr>
        <w:spacing w:after="0" w:line="187" w:lineRule="exact"/>
        <w:rPr>
          <w:sz w:val="20"/>
          <w:szCs w:val="20"/>
          <w:color w:val="auto"/>
        </w:rPr>
      </w:pPr>
    </w:p>
    <w:p>
      <w:pPr>
        <w:jc w:val="both"/>
        <w:ind w:right="180" w:firstLine="436"/>
        <w:spacing w:after="0" w:line="259" w:lineRule="auto"/>
        <w:tabs>
          <w:tab w:leader="none" w:pos="69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Notwithstanding anything herein to the contrary, no adjustment in the Conversion Price shall be made pursuant to Section 1604 in respect of any dividend or distribution if the Holders may participate therein (on a basis to be determined in good faith by the Board of Directors) and receive the same consideration they would have received if they had converted the Securities immediately prior to the record date with respect to such dividend or distribution.</w:t>
      </w:r>
    </w:p>
    <w:p>
      <w:pPr>
        <w:spacing w:after="0" w:line="18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 xml:space="preserve">SECTION 1614. </w:t>
      </w:r>
      <w:r>
        <w:rPr>
          <w:rFonts w:ascii="Arial" w:cs="Arial" w:eastAsia="Arial" w:hAnsi="Arial"/>
          <w:sz w:val="16"/>
          <w:szCs w:val="16"/>
          <w:u w:val="single" w:color="auto"/>
          <w:color w:val="auto"/>
        </w:rPr>
        <w:t>Equivalent Adjustments</w:t>
      </w:r>
      <w:r>
        <w:rPr>
          <w:rFonts w:ascii="Arial" w:cs="Arial" w:eastAsia="Arial" w:hAnsi="Arial"/>
          <w:sz w:val="16"/>
          <w:szCs w:val="16"/>
          <w:color w:val="auto"/>
        </w:rPr>
        <w:t xml:space="preserve"> . In the event that, as a result of an adjustment made pursuant to Section 1604 above, the holder of any Security thereafter surrendered for conversion shall become entitled to receive any Share Capital of the Company other than shares of its Ordinary Shares, thereafter the Conversion Price of such other shares so receivable upon conversion of any Securities shall be subject to adjustment from time to time in a manner and on terms as nearly equivalent as practicable to the provisions with respect to Ordinary Shares contained in this Article Sixteen.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caused this Indenture to be duly executed all as of the day and year first above written.</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CENTESSA PHARMACEUTICALS PLC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4821555</wp:posOffset>
            </wp:positionH>
            <wp:positionV relativeFrom="paragraph">
              <wp:posOffset>254635</wp:posOffset>
            </wp:positionV>
            <wp:extent cx="217106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21710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6193155</wp:posOffset>
            </wp:positionH>
            <wp:positionV relativeFrom="paragraph">
              <wp:posOffset>-10160</wp:posOffset>
            </wp:positionV>
            <wp:extent cx="770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77089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20"/>
          </w:cols>
          <w:pgMar w:left="440" w:top="274" w:right="43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REDEEMABLE OR NON-REDEEMABLE SENIOR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[Face of Security]</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the Holder of this Security (as indicated below) is The Depository Trust Company (“DTC”) or a nominee of DTC, this Security is a Global Security and the following two legends apply:</w:t>
      </w:r>
    </w:p>
    <w:p>
      <w:pPr>
        <w:spacing w:after="0" w:line="58"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b w:val="1"/>
          <w:bCs w:val="1"/>
          <w:color w:val="auto"/>
        </w:rPr>
        <w:t>Unless this Security is presented by an authorized representative of The Depository Trust Company, a New York Corporation (“DTC”) to the Company or its agent for registration of transfer, conversion, exchange or payment, and such Security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5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Unless and until this Security is exchanged in whole or in part for Securities in certificated form, this Security may not be transferred except as a whole by DTC to a nominee thereof or by a nominee thereof to DTC or another nominee of DTC or by DTC or any such nominee to a successor of DTC or a nominee of such successor.</w:t>
      </w:r>
      <w:r>
        <w:rPr>
          <w:rFonts w:ascii="Arial" w:cs="Arial" w:eastAsia="Arial" w:hAnsi="Arial"/>
          <w:sz w:val="18"/>
          <w:szCs w:val="18"/>
          <w:color w:val="auto"/>
        </w:rPr>
        <w:t>]</w:t>
      </w:r>
    </w:p>
    <w:p>
      <w:pPr>
        <w:spacing w:after="0" w:line="180"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If this Security is an Original Issue Discount Security, insert</w:t>
      </w:r>
      <w:r>
        <w:rPr>
          <w:rFonts w:ascii="Arial" w:cs="Arial" w:eastAsia="Arial" w:hAnsi="Arial"/>
          <w:sz w:val="17"/>
          <w:szCs w:val="17"/>
          <w:color w:val="auto"/>
        </w:rPr>
        <w:t xml:space="preserve"> — FOR PURPOSES OF SECTION 1273 and 1275 OF THE UNITED STATES INTERNAL REVENUE CODE, THE AMOUNT OF ORIGINAL ISSUE DISCOUNT ON THIS SECURITY IS ___% OF ITS PRINCIPAL AMOUNT, THE ISSUE DATE IS __________, 20__, AND THE YIELD TO MATURITY IS ___%. THE METHOD USED TO DETERMINE THE</w:t>
      </w:r>
    </w:p>
    <w:p>
      <w:pPr>
        <w:spacing w:after="0"/>
        <w:rPr>
          <w:sz w:val="20"/>
          <w:szCs w:val="20"/>
          <w:color w:val="auto"/>
        </w:rPr>
      </w:pPr>
      <w:r>
        <w:rPr>
          <w:rFonts w:ascii="Arial" w:cs="Arial" w:eastAsia="Arial" w:hAnsi="Arial"/>
          <w:sz w:val="17"/>
          <w:szCs w:val="17"/>
          <w:color w:val="auto"/>
        </w:rPr>
        <w:t>AMOUNT OF ORIGINAL ISSUE DISCOUNT APPLICABLE TO THE SHORT ACCRUAL PERIOD OF __________, 20__ TO __________, 20__,</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IS ___% OF THE PRINCIPAL AMOUNT OF THIS SECURITY.]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CENTESSA PHARMACEUTICALS PLC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[Designation of Series]</w:t>
      </w:r>
    </w:p>
    <w:p>
      <w:pPr>
        <w:sectPr>
          <w:pgSz w:w="11900" w:h="16838" w:orient="portrait"/>
          <w:cols w:equalWidth="0" w:num="1">
            <w:col w:w="11000"/>
          </w:cols>
          <w:pgMar w:left="440" w:top="274" w:right="45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No. __________</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0" w:lineRule="exact"/>
        <w:rPr>
          <w:sz w:val="20"/>
          <w:szCs w:val="20"/>
          <w:color w:val="auto"/>
        </w:rPr>
      </w:pPr>
    </w:p>
    <w:p>
      <w:pPr>
        <w:sectPr>
          <w:pgSz w:w="11900" w:h="16838" w:orient="portrait"/>
          <w:cols w:equalWidth="0" w:num="2">
            <w:col w:w="9240" w:space="720"/>
            <w:col w:w="1040"/>
          </w:cols>
          <w:pgMar w:left="440" w:top="274" w:right="4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CUSIP No. __________</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CENTESSA PHARMACEUTICALS PLC, a company incorporated under the laws of England and Wales (herein referred to as the “Company,” which term includes any successor corporation under the Indenture referred to on the reverse hereof), for value received, hereby promises to pay to</w:t>
      </w:r>
    </w:p>
    <w:p>
      <w:pPr>
        <w:spacing w:after="0"/>
        <w:rPr>
          <w:sz w:val="20"/>
          <w:szCs w:val="20"/>
          <w:color w:val="auto"/>
        </w:rPr>
      </w:pPr>
      <w:r>
        <w:rPr>
          <w:rFonts w:ascii="Arial" w:cs="Arial" w:eastAsia="Arial" w:hAnsi="Arial"/>
          <w:sz w:val="16"/>
          <w:szCs w:val="16"/>
          <w:color w:val="auto"/>
        </w:rPr>
        <w:t xml:space="preserve">__________ or registered assigns the principal sum of __________ Dollars on __________ (the “Stated Maturity Date”) [or </w:t>
      </w:r>
      <w:r>
        <w:rPr>
          <w:rFonts w:ascii="Arial" w:cs="Arial" w:eastAsia="Arial" w:hAnsi="Arial"/>
          <w:sz w:val="16"/>
          <w:szCs w:val="16"/>
          <w:u w:val="single" w:color="auto"/>
          <w:color w:val="auto"/>
        </w:rPr>
        <w:t>insert date fixed for earlier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redemption</w:t>
      </w:r>
      <w:r>
        <w:rPr>
          <w:rFonts w:ascii="Arial" w:cs="Arial" w:eastAsia="Arial" w:hAnsi="Arial"/>
          <w:sz w:val="16"/>
          <w:szCs w:val="16"/>
          <w:color w:val="auto"/>
        </w:rPr>
        <w:t xml:space="preserve"> (the “Redemption Date,” and together with the Stated Maturity Date with respect to principal repayable on such date, the “Maturity Date.”)]</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If the Security is to bear interest prior to Maturity, insert</w:t>
      </w:r>
      <w:r>
        <w:rPr>
          <w:rFonts w:ascii="Arial" w:cs="Arial" w:eastAsia="Arial" w:hAnsi="Arial"/>
          <w:sz w:val="16"/>
          <w:szCs w:val="16"/>
          <w:color w:val="auto"/>
        </w:rPr>
        <w:t xml:space="preserve"> — and to pay interest thereon from __________ or from the most recent Interest Payment Date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which interest has been paid or duly provided for, semi-annually on __________ and __________ in each year (each, an “Interest Payment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commencing __________, at the rate of ___% per annum, until the principal hereof is paid or duly provided for. The interest so payable, and punctually</w:t>
      </w:r>
    </w:p>
    <w:p>
      <w:pPr>
        <w:spacing w:after="0" w:line="3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paid or duly provided for, on any Interest Payment Date will, as provided in such Indenture, be paid to the Holder in whose name this Security (or one or more Predecessor Securities) is registered at the close of business on the Regular Record Date for such interest, which shall be the __________ 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__________ (whether or not a Business Day), as the case may be, next preceding such Interest Payment Date [at the office or agency of the Company</w:t>
      </w:r>
    </w:p>
    <w:p>
      <w:pPr>
        <w:spacing w:after="0" w:line="3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maintained for such purpose;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interest may be paid, at the Company’s option, by mailing a check to such Holder at its registered address or by transfer of funds to an account maintained by such Holder within the United States]. Any such interest not so punctually paid or duly provided for shall forthwith cease to be payable to the Holder on such Regular Record Date, and may be paid to the Holder in whose name this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type w:val="continuous"/>
        </w:sectPr>
      </w:pPr>
    </w:p>
    <w:bookmarkStart w:id="145" w:name="page146"/>
    <w:bookmarkEnd w:id="145"/>
    <w:p>
      <w:pPr>
        <w:ind w:right="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 (or one or more Predecessor Securities) is registered at the close of business on a Special Record Date for the payment of such Defaulted Interest to be fixed by the Trustee, notice whereof shall be given to Holders of Securities of this series not less than 10 calendar days prior to such Special Record Date, or may be paid at any time in any other lawful manner not inconsistent with the requirements of any over-the-counter market or securities exchange on which the Securities of this series may be quoted or listed, and upon such notice as may be required by such market or exchange, all as more fully provided in the Indenture. Interest will be computed on the basis of a 360-day year of twelve 30-day months.]</w:t>
      </w:r>
    </w:p>
    <w:p>
      <w:pPr>
        <w:spacing w:after="0" w:line="16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If the Security is not to bear interest prior to Maturity, insert</w:t>
      </w:r>
      <w:r>
        <w:rPr>
          <w:rFonts w:ascii="Arial" w:cs="Arial" w:eastAsia="Arial" w:hAnsi="Arial"/>
          <w:sz w:val="17"/>
          <w:szCs w:val="17"/>
          <w:color w:val="auto"/>
        </w:rPr>
        <w:t xml:space="preserve"> — The principal of this Security shall not bear interest except in the case of a default in payment of principal upon acceleration, upon redemption or at the [Stated] Maturity Date and in such case the overdue principal of this Security shall bear interest at the rate of ___%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 Any such interest on any overdue principal that is not so paid on demand shall bear interest at the rate of ___% per annum (to the extent that the payment of such interest shall be legally enforceable), which shall accrue from the date of such demand for payment to the date payment of such interest has been made or duly provided for, and such interest shall also be payable on demand.]</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principal of this Security payable on the Stated Maturity Date [or the principal of, premium or Make-Whole Amount, if any, and, if the Redemption Date is not an Interest Payment Date, interest on this Security payable on the Redemption Date] will be paid against presentation of this Security at the office or agency of the Company maintained for that purpose in __________, in such coin or currency of the United States of America as at the time of payment is legal tender for the payment of public and private debts.</w:t>
      </w:r>
    </w:p>
    <w:p>
      <w:pPr>
        <w:spacing w:after="0" w:line="18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Interest payable on this Security on any Interest Payment Date and on the [Stated] Maturity Date [or Redemption Date, as the case may be,] will include interest accrued from and including the next preceding Interest Payment Date in respect of which interest has been paid or duly provided for (or from and including __________, if no interest has been paid on this Security) to but excluding such Interest Payment Date or the [Stated] Maturity Date [or</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Redemption Date, as the case may be.] If any Interest Payment Date or the [Stated] Maturity Date or [Redemption Date] falls on a day that is not a Business Day, as defined below, principal, premium or Make-Whole Amount, if any, and/or interest payable with respect to such Interest Payment Date or [Stated] Maturity Date [or Redemption Date, as the case may be,] will be paid on the next succeeding Business Day with the same force and effect as if it were paid on the date such payment was due, and no interest shall accrue on the amount so payable for the period from and after such Interest Payment Date or [Stated] Maturity Date [or Redemption Date, as the case may be.] “Business Day” means any day, other than a Saturday or Sunday, that is neither a legal holiday nor a day on which banking institutions in The City of New York are required or authorized by law, regulation or executive order to close.</w:t>
      </w:r>
    </w:p>
    <w:p>
      <w:pPr>
        <w:spacing w:after="0" w:line="19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 this Security is a Global Security, insert</w:t>
      </w:r>
      <w:r>
        <w:rPr>
          <w:rFonts w:ascii="Arial" w:cs="Arial" w:eastAsia="Arial" w:hAnsi="Arial"/>
          <w:sz w:val="18"/>
          <w:szCs w:val="18"/>
          <w:color w:val="auto"/>
        </w:rPr>
        <w:t xml:space="preserve"> — All payments of principal, premium or Make-Whole Amount, if any, and interest in respect of this Security will be made by the Company in immediately available funds.]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Security shall not be entitled to any benefit under the Indenture, or be valid or obligatory for any purpose.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instrument to be duly executed under its facsimile corporate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CENTESSA PHARMACEUTICALS PLC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146" w:name="page147"/>
    <w:bookmarkEnd w:id="14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CENTESSA PHARMACEUTICALS PLC</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Security is one of a duly authorized issue of securities of the Company (herein called the “Securities”), issued and to be issued in one or more series under an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Indenture, dated as of __________, 20__ (herein called the “Indenture”) between the Company and ______________________, as Trustee (herein</w:t>
      </w:r>
    </w:p>
    <w:p>
      <w:pPr>
        <w:spacing w:after="0" w:line="46"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called the “Trustee,” which term includes any successor trustee under the Indenture with respect to the series of which this Security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duly authorized series of Securities designated on the face hereof (collectively, the “Securities”), [</w:t>
      </w:r>
      <w:r>
        <w:rPr>
          <w:rFonts w:ascii="Arial" w:cs="Arial" w:eastAsia="Arial" w:hAnsi="Arial"/>
          <w:sz w:val="16"/>
          <w:szCs w:val="16"/>
          <w:u w:val="single" w:color="auto"/>
          <w:color w:val="auto"/>
        </w:rPr>
        <w:t>if applicable, insert</w:t>
      </w:r>
      <w:r>
        <w:rPr>
          <w:rFonts w:ascii="Arial" w:cs="Arial" w:eastAsia="Arial" w:hAnsi="Arial"/>
          <w:sz w:val="16"/>
          <w:szCs w:val="16"/>
          <w:color w:val="auto"/>
        </w:rPr>
        <w:t xml:space="preserve"> — and the aggregate principal amount of the Securities to be issued under such series is limited to $__________ (except for</w:t>
      </w:r>
    </w:p>
    <w:p>
      <w:pPr>
        <w:spacing w:after="0" w:line="3"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Securities authenticated and delivered upon transfer of, or in exchange for, or in lieu of other Securities).] All terms used in this Security which are defined in the Indenture shall have the meanings assigned to them in the Indenture.</w:t>
      </w:r>
    </w:p>
    <w:p>
      <w:pPr>
        <w:spacing w:after="0" w:line="1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 applicable, insert</w:t>
      </w:r>
      <w:r>
        <w:rPr>
          <w:rFonts w:ascii="Arial" w:cs="Arial" w:eastAsia="Arial" w:hAnsi="Arial"/>
          <w:sz w:val="18"/>
          <w:szCs w:val="18"/>
          <w:color w:val="auto"/>
        </w:rPr>
        <w:t xml:space="preserve"> — The Securities may not be redeemed prior to the Stated 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If applicable, insert</w:t>
      </w:r>
      <w:r>
        <w:rPr>
          <w:rFonts w:ascii="Arial" w:cs="Arial" w:eastAsia="Arial" w:hAnsi="Arial"/>
          <w:sz w:val="17"/>
          <w:szCs w:val="17"/>
          <w:color w:val="auto"/>
        </w:rPr>
        <w:t xml:space="preserve"> — The Securities are subject to redemption [ (l) </w:t>
      </w:r>
      <w:r>
        <w:rPr>
          <w:rFonts w:ascii="Arial" w:cs="Arial" w:eastAsia="Arial" w:hAnsi="Arial"/>
          <w:sz w:val="17"/>
          <w:szCs w:val="17"/>
          <w:u w:val="single" w:color="auto"/>
          <w:color w:val="auto"/>
        </w:rPr>
        <w:t>(If applicable, insert</w:t>
      </w:r>
      <w:r>
        <w:rPr>
          <w:rFonts w:ascii="Arial" w:cs="Arial" w:eastAsia="Arial" w:hAnsi="Arial"/>
          <w:sz w:val="17"/>
          <w:szCs w:val="17"/>
          <w:color w:val="auto"/>
        </w:rPr>
        <w:t xml:space="preserve"> — on __________ in any year commencing with the year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__________ and ending with the year __________ through operation of the sinking fund for this series at a Redemption Price equal to 100%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and (2) ] [</w:t>
      </w:r>
      <w:r>
        <w:rPr>
          <w:rFonts w:ascii="Arial" w:cs="Arial" w:eastAsia="Arial" w:hAnsi="Arial"/>
          <w:sz w:val="16"/>
          <w:szCs w:val="16"/>
          <w:u w:val="single" w:color="auto"/>
          <w:color w:val="auto"/>
        </w:rPr>
        <w:t>If applicable, insert</w:t>
      </w:r>
      <w:r>
        <w:rPr>
          <w:rFonts w:ascii="Arial" w:cs="Arial" w:eastAsia="Arial" w:hAnsi="Arial"/>
          <w:sz w:val="16"/>
          <w:szCs w:val="16"/>
          <w:color w:val="auto"/>
        </w:rPr>
        <w:t xml:space="preserve"> — at any time [on or after __________], as a whole or in part, at the election of the Company, at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following Redemption Prices (expressed as percentages of the principal amount):</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If redeemed on or before __________, ___% and if redeemed during the 12-month period beginning __________ of the years indicated at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Redemption Prices indicated below.</w:t>
      </w:r>
    </w:p>
    <w:p>
      <w:pPr>
        <w:spacing w:after="0" w:line="233" w:lineRule="exact"/>
        <w:rPr>
          <w:sz w:val="20"/>
          <w:szCs w:val="20"/>
          <w:color w:val="auto"/>
        </w:rPr>
      </w:pPr>
    </w:p>
    <w:p>
      <w:pPr>
        <w:ind w:left="1400"/>
        <w:spacing w:after="0"/>
        <w:tabs>
          <w:tab w:leader="none" w:pos="3960" w:val="left"/>
          <w:tab w:leader="none" w:pos="7080" w:val="left"/>
          <w:tab w:leader="none" w:pos="9320" w:val="left"/>
        </w:tabs>
        <w:rPr>
          <w:sz w:val="20"/>
          <w:szCs w:val="20"/>
          <w:color w:val="auto"/>
        </w:rPr>
      </w:pPr>
      <w:r>
        <w:rPr>
          <w:rFonts w:ascii="Arial" w:cs="Arial" w:eastAsia="Arial" w:hAnsi="Arial"/>
          <w:sz w:val="14"/>
          <w:szCs w:val="14"/>
          <w:color w:val="auto"/>
        </w:rPr>
        <w:t>Year</w:t>
      </w:r>
      <w:r>
        <w:rPr>
          <w:sz w:val="20"/>
          <w:szCs w:val="20"/>
          <w:color w:val="auto"/>
        </w:rPr>
        <w:tab/>
      </w:r>
      <w:r>
        <w:rPr>
          <w:rFonts w:ascii="Arial" w:cs="Arial" w:eastAsia="Arial" w:hAnsi="Arial"/>
          <w:sz w:val="14"/>
          <w:szCs w:val="14"/>
          <w:color w:val="auto"/>
        </w:rPr>
        <w:t>Redemption Price</w:t>
      </w:r>
      <w:r>
        <w:rPr>
          <w:sz w:val="20"/>
          <w:szCs w:val="20"/>
          <w:color w:val="auto"/>
        </w:rPr>
        <w:tab/>
      </w:r>
      <w:r>
        <w:rPr>
          <w:rFonts w:ascii="Arial" w:cs="Arial" w:eastAsia="Arial" w:hAnsi="Arial"/>
          <w:sz w:val="14"/>
          <w:szCs w:val="14"/>
          <w:color w:val="auto"/>
        </w:rPr>
        <w:t>Year</w:t>
      </w:r>
      <w:r>
        <w:rPr>
          <w:sz w:val="20"/>
          <w:szCs w:val="20"/>
          <w:color w:val="auto"/>
        </w:rPr>
        <w:tab/>
      </w:r>
      <w:r>
        <w:rPr>
          <w:rFonts w:ascii="Arial" w:cs="Arial" w:eastAsia="Arial" w:hAnsi="Arial"/>
          <w:sz w:val="13"/>
          <w:szCs w:val="13"/>
          <w:color w:val="auto"/>
        </w:rPr>
        <w:t>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6995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5"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and thereafter at a Redemption Price equal to ___% of the principal amount, together in the case of any such redemption [</w:t>
      </w:r>
      <w:r>
        <w:rPr>
          <w:rFonts w:ascii="Arial" w:cs="Arial" w:eastAsia="Arial" w:hAnsi="Arial"/>
          <w:sz w:val="16"/>
          <w:szCs w:val="16"/>
          <w:u w:val="single" w:color="auto"/>
          <w:color w:val="auto"/>
        </w:rPr>
        <w:t>If applicable, insert</w:t>
      </w:r>
      <w:r>
        <w:rPr>
          <w:rFonts w:ascii="Arial" w:cs="Arial" w:eastAsia="Arial" w:hAnsi="Arial"/>
          <w:sz w:val="16"/>
          <w:szCs w:val="16"/>
          <w:color w:val="auto"/>
        </w:rPr>
        <w:t xml:space="preserve"> — (whether through operation of the sinking fund or otherwise)] with accrued interest to the Redemption Date;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If applicable, insert</w:t>
      </w:r>
      <w:r>
        <w:rPr>
          <w:rFonts w:ascii="Arial" w:cs="Arial" w:eastAsia="Arial" w:hAnsi="Arial"/>
          <w:sz w:val="16"/>
          <w:szCs w:val="16"/>
          <w:color w:val="auto"/>
        </w:rPr>
        <w:t xml:space="preserve"> — The Securities are subject to redemption (1) on __________ in any year commencing with the year __________ and ending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year __________ through operation of the sinking fund for this series at the Redemption Prices for redemption through operation of the sinking fund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(expressed as percentages of the principal amount) set forth in the table below, and (2) at any time [on or after __________], as a whole or in part, at the</w:t>
      </w:r>
    </w:p>
    <w:p>
      <w:pPr>
        <w:spacing w:after="0" w:line="32"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election of the Company, at the Redemption Prices for redemption otherwise than through operation of the sinking fund (expressed as percentages of the principal amount) set forth in the table below: If redeemed during the 12-month period beginning __________ of the years indicated,</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147" w:name="page148"/>
    <w:bookmarkEnd w:id="147"/>
    <w:tbl>
      <w:tblPr>
        <w:tblLayout w:type="fixed"/>
        <w:tblInd w:w="4"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color w:val="auto"/>
                <w:w w:val="94"/>
              </w:rPr>
              <w:t>Redemption Price for</w:t>
            </w:r>
          </w:p>
        </w:tc>
      </w:tr>
      <w:tr>
        <w:trPr>
          <w:trHeight w:val="148"/>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Redemption Price for</w:t>
            </w:r>
          </w:p>
        </w:tc>
        <w:tc>
          <w:tcPr>
            <w:tcW w:w="3420" w:type="dxa"/>
            <w:vAlign w:val="bottom"/>
          </w:tcPr>
          <w:p>
            <w:pPr>
              <w:jc w:val="center"/>
              <w:spacing w:after="0" w:line="149" w:lineRule="exact"/>
              <w:rPr>
                <w:sz w:val="20"/>
                <w:szCs w:val="20"/>
                <w:color w:val="auto"/>
              </w:rPr>
            </w:pPr>
            <w:r>
              <w:rPr>
                <w:rFonts w:ascii="Arial" w:cs="Arial" w:eastAsia="Arial" w:hAnsi="Arial"/>
                <w:sz w:val="14"/>
                <w:szCs w:val="14"/>
                <w:color w:val="auto"/>
                <w:w w:val="93"/>
              </w:rPr>
              <w:t>Redemption Otherwise Than</w:t>
            </w:r>
          </w:p>
        </w:tc>
      </w:tr>
      <w:tr>
        <w:trPr>
          <w:trHeight w:val="148"/>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Redemption Through</w:t>
            </w:r>
          </w:p>
        </w:tc>
        <w:tc>
          <w:tcPr>
            <w:tcW w:w="3420" w:type="dxa"/>
            <w:vAlign w:val="bottom"/>
          </w:tcPr>
          <w:p>
            <w:pPr>
              <w:jc w:val="center"/>
              <w:spacing w:after="0" w:line="149" w:lineRule="exact"/>
              <w:rPr>
                <w:sz w:val="20"/>
                <w:szCs w:val="20"/>
                <w:color w:val="auto"/>
              </w:rPr>
            </w:pPr>
            <w:r>
              <w:rPr>
                <w:rFonts w:ascii="Arial" w:cs="Arial" w:eastAsia="Arial" w:hAnsi="Arial"/>
                <w:sz w:val="14"/>
                <w:szCs w:val="14"/>
                <w:color w:val="auto"/>
                <w:w w:val="93"/>
              </w:rPr>
              <w:t>Through Operation of the</w:t>
            </w:r>
          </w:p>
        </w:tc>
      </w:tr>
      <w:tr>
        <w:trPr>
          <w:trHeight w:val="181"/>
        </w:trPr>
        <w:tc>
          <w:tcPr>
            <w:tcW w:w="3860" w:type="dxa"/>
            <w:vAlign w:val="bottom"/>
            <w:tcBorders>
              <w:bottom w:val="single" w:sz="8" w:color="auto"/>
            </w:tcBorders>
          </w:tcPr>
          <w:p>
            <w:pPr>
              <w:ind w:left="1800"/>
              <w:spacing w:after="0"/>
              <w:rPr>
                <w:sz w:val="20"/>
                <w:szCs w:val="20"/>
                <w:color w:val="auto"/>
              </w:rPr>
            </w:pPr>
            <w:r>
              <w:rPr>
                <w:rFonts w:ascii="Arial" w:cs="Arial" w:eastAsia="Arial" w:hAnsi="Arial"/>
                <w:sz w:val="14"/>
                <w:szCs w:val="14"/>
                <w:color w:val="auto"/>
              </w:rPr>
              <w:t>Year</w:t>
            </w:r>
          </w:p>
        </w:tc>
        <w:tc>
          <w:tcPr>
            <w:tcW w:w="120" w:type="dxa"/>
            <w:vAlign w:val="bottom"/>
          </w:tcPr>
          <w:p>
            <w:pPr>
              <w:spacing w:after="0"/>
              <w:rPr>
                <w:sz w:val="15"/>
                <w:szCs w:val="15"/>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Operation of the Sinking Fund</w:t>
            </w:r>
          </w:p>
        </w:tc>
        <w:tc>
          <w:tcPr>
            <w:tcW w:w="100" w:type="dxa"/>
            <w:vAlign w:val="bottom"/>
          </w:tcPr>
          <w:p>
            <w:pPr>
              <w:spacing w:after="0"/>
              <w:rPr>
                <w:sz w:val="15"/>
                <w:szCs w:val="15"/>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Sinking Fund</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right="40"/>
        <w:spacing w:after="0" w:line="279" w:lineRule="auto"/>
        <w:rPr>
          <w:sz w:val="20"/>
          <w:szCs w:val="20"/>
          <w:color w:val="auto"/>
        </w:rPr>
      </w:pPr>
      <w:r>
        <w:rPr>
          <w:rFonts w:ascii="Arial" w:cs="Arial" w:eastAsia="Arial" w:hAnsi="Arial"/>
          <w:sz w:val="17"/>
          <w:szCs w:val="17"/>
          <w:color w:val="auto"/>
        </w:rPr>
        <w:t xml:space="preserve">and thereafter at a Redemption Price equal to ___% of the principal amount, together in the case of any such redemption (whether through operation of the sinking fund or otherwise) with accrued interest to the Redemption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If applicable, insert</w:t>
      </w:r>
      <w:r>
        <w:rPr>
          <w:rFonts w:ascii="Arial" w:cs="Arial" w:eastAsia="Arial" w:hAnsi="Arial"/>
          <w:sz w:val="16"/>
          <w:szCs w:val="16"/>
          <w:color w:val="auto"/>
        </w:rPr>
        <w:t xml:space="preserve"> — Notwithstanding the foregoing, the Company may not, prior to __________, redeem any Securities as contemplated by [Clause</w:t>
      </w:r>
    </w:p>
    <w:p>
      <w:pPr>
        <w:spacing w:after="0" w:line="46" w:lineRule="exact"/>
        <w:rPr>
          <w:sz w:val="20"/>
          <w:szCs w:val="20"/>
          <w:color w:val="auto"/>
        </w:rPr>
      </w:pPr>
    </w:p>
    <w:p>
      <w:pPr>
        <w:ind w:left="4" w:right="140" w:hanging="4"/>
        <w:spacing w:after="0" w:line="323" w:lineRule="auto"/>
        <w:tabs>
          <w:tab w:leader="none" w:pos="259" w:val="left"/>
        </w:tabs>
        <w:numPr>
          <w:ilvl w:val="0"/>
          <w:numId w:val="139"/>
        </w:numPr>
        <w:rPr>
          <w:rFonts w:ascii="Arial" w:cs="Arial" w:eastAsia="Arial" w:hAnsi="Arial"/>
          <w:sz w:val="16"/>
          <w:szCs w:val="16"/>
          <w:color w:val="auto"/>
        </w:rPr>
      </w:pPr>
      <w:r>
        <w:rPr>
          <w:rFonts w:ascii="Arial" w:cs="Arial" w:eastAsia="Arial" w:hAnsi="Arial"/>
          <w:sz w:val="16"/>
          <w:szCs w:val="16"/>
          <w:color w:val="auto"/>
        </w:rPr>
        <w:t>of] the preceding paragraph as a part of, or in anticipation of, any refunding operation by the application, directly or indirectly, of moneys borrowed having an interest cost to the Company (calculated in accordance with generally accepted financial practice) of less than ___% per annum.]</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If applicable, insert</w:t>
      </w:r>
      <w:r>
        <w:rPr>
          <w:rFonts w:ascii="Arial" w:cs="Arial" w:eastAsia="Arial" w:hAnsi="Arial"/>
          <w:sz w:val="17"/>
          <w:szCs w:val="17"/>
          <w:color w:val="auto"/>
        </w:rPr>
        <w:t xml:space="preserve"> — The sinking fund for the Securities provides for the redemption on __________ in each year, beginning with the year</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7"/>
          <w:szCs w:val="17"/>
          <w:color w:val="auto"/>
        </w:rPr>
        <w:t>__________ and ending with the year __________, of [not less than] $__________] [(“mandatory sinking fund”) and not more than $__________]</w:t>
      </w:r>
    </w:p>
    <w:p>
      <w:pPr>
        <w:spacing w:after="0" w:line="21" w:lineRule="exact"/>
        <w:rPr>
          <w:sz w:val="20"/>
          <w:szCs w:val="20"/>
          <w:color w:val="auto"/>
        </w:rPr>
      </w:pPr>
    </w:p>
    <w:p>
      <w:pPr>
        <w:jc w:val="both"/>
        <w:ind w:left="4" w:right="160"/>
        <w:spacing w:after="0" w:line="255" w:lineRule="auto"/>
        <w:rPr>
          <w:sz w:val="20"/>
          <w:szCs w:val="20"/>
          <w:color w:val="auto"/>
        </w:rPr>
      </w:pPr>
      <w:r>
        <w:rPr>
          <w:rFonts w:ascii="Arial" w:cs="Arial" w:eastAsia="Arial" w:hAnsi="Arial"/>
          <w:sz w:val="18"/>
          <w:szCs w:val="18"/>
          <w:color w:val="auto"/>
        </w:rPr>
        <w:t>aggregate principal amount of the Securities. [The Securities acquired or redeemed by the Company otherwise than through [mandatory] sinking fund payments may be credited against subsequent [mandatory] sinking fund payments otherwise required to be made in the [</w:t>
      </w:r>
      <w:r>
        <w:rPr>
          <w:rFonts w:ascii="Arial" w:cs="Arial" w:eastAsia="Arial" w:hAnsi="Arial"/>
          <w:sz w:val="18"/>
          <w:szCs w:val="18"/>
          <w:u w:val="single" w:color="auto"/>
          <w:color w:val="auto"/>
        </w:rPr>
        <w:t>describe order</w:t>
      </w:r>
      <w:r>
        <w:rPr>
          <w:rFonts w:ascii="Arial" w:cs="Arial" w:eastAsia="Arial" w:hAnsi="Arial"/>
          <w:sz w:val="18"/>
          <w:szCs w:val="18"/>
          <w:color w:val="auto"/>
        </w:rPr>
        <w:t>] order in which they become due.]]</w:t>
      </w:r>
    </w:p>
    <w:p>
      <w:pPr>
        <w:spacing w:after="0" w:line="190"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Notice of redemption will be given by mail to Holders of Securities, not less than 30 nor more than 60 calendar days prior to the Redemption Date, all as provided in the Indenture.</w:t>
      </w:r>
    </w:p>
    <w:p>
      <w:pPr>
        <w:spacing w:after="0" w:line="170"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In the event of redemption of this Security in part only, a new Security or Securities for the unredeemed portion hereof shall be issued in the name of the Holder hereof upon the cancellation hereof.</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applicable, insert conversion provisions set forth in any Board Resolution or indenture supplemental to the Indenture.]</w:t>
      </w:r>
    </w:p>
    <w:p>
      <w:pPr>
        <w:spacing w:after="0" w:line="225" w:lineRule="exact"/>
        <w:rPr>
          <w:sz w:val="20"/>
          <w:szCs w:val="20"/>
          <w:color w:val="auto"/>
        </w:rPr>
      </w:pPr>
    </w:p>
    <w:p>
      <w:pPr>
        <w:ind w:left="4" w:right="40"/>
        <w:spacing w:after="0" w:line="269"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Security shall be conclusive and binding upon such Holder and upon all future Holders of this Security and other Securities issued upon the registration of transfer hereof or conversion or in exchange herefor or in lieu hereof, whether or not notation of such consent or waiver is made upon this Security.</w:t>
      </w:r>
    </w:p>
    <w:p>
      <w:pPr>
        <w:spacing w:after="0" w:line="185" w:lineRule="exact"/>
        <w:rPr>
          <w:sz w:val="20"/>
          <w:szCs w:val="20"/>
          <w:color w:val="auto"/>
        </w:rPr>
      </w:pPr>
    </w:p>
    <w:p>
      <w:pPr>
        <w:jc w:val="both"/>
        <w:ind w:left="4" w:right="180"/>
        <w:spacing w:after="0" w:line="263"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premium or Make-Whole Amount, if any) and interest on this Security at the times, places and rate, and in the coin or currency, herein prescribed.</w:t>
      </w:r>
    </w:p>
    <w:p>
      <w:pPr>
        <w:spacing w:after="0" w:line="184" w:lineRule="exact"/>
        <w:rPr>
          <w:sz w:val="20"/>
          <w:szCs w:val="20"/>
          <w:color w:val="auto"/>
        </w:rPr>
      </w:pPr>
    </w:p>
    <w:p>
      <w:pPr>
        <w:ind w:left="4" w:right="340"/>
        <w:spacing w:after="0" w:line="255" w:lineRule="auto"/>
        <w:rPr>
          <w:sz w:val="20"/>
          <w:szCs w:val="20"/>
          <w:color w:val="auto"/>
        </w:rPr>
      </w:pPr>
      <w:r>
        <w:rPr>
          <w:rFonts w:ascii="Arial" w:cs="Arial" w:eastAsia="Arial" w:hAnsi="Arial"/>
          <w:sz w:val="18"/>
          <w:szCs w:val="18"/>
          <w:color w:val="auto"/>
        </w:rPr>
        <w:t>As provided in the Indenture and subject to certain limitations therein [and herein] set forth, the transfer of this Security is registrable in the Security Register of the Company upon surrender of this Security for registration of transfer at the office or agency of the Company in any place where the principal of (and premium or Make-Whole Amount, if any) and interest on this Security are payable, duly endorsed by, or accompanied by a written instrument of transfer in form satisfactory to the Company and the Security Registrar duly executed by, the Holder hereof or by his attorney duly authorized in writing, and thereupon one or more new Securities, of authorized denominations and for the same aggregate principal amount, will be issued to the designated transferee or transferees.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24"/>
          </w:cols>
          <w:pgMar w:left="436" w:top="257" w:right="439" w:bottom="1440" w:gutter="0" w:footer="0" w:header="0"/>
        </w:sectPr>
      </w:pPr>
    </w:p>
    <w:bookmarkStart w:id="148" w:name="page149"/>
    <w:bookmarkEnd w:id="148"/>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provided in the Indenture and subject to certain limitations therein [and herein] set forth, this Security is exchangeable for a like aggregate principal amount of Securities of different authorized denominations but otherwise having the same terms and conditions, as requested by the Holder hereof surrendering the same.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of this series are issuable only in registered form [without coupons] in denominations of $__________ and any integral multiple thereof.</w:t>
      </w:r>
    </w:p>
    <w:p>
      <w:pPr>
        <w:spacing w:after="0" w:line="24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conversion or exchange, but the Company may require payment of a sum sufficient to cover any tax or other governmental charge payable in connection therewith,</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No recourse shall be had for the payment of the principal of or premium or Make-Whole Amount, if any, or the interest on this Security, or for any claim based hereon, or otherwise in respect hereof, or based on or in respect of the Indenture or any indenture supplemental thereto, against any past, present or future shareholder, employee, officer or director, as such, of the Company or of any successor, either directly or through the Company or any successor,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Indenture and the Securities shall be governed by and construed in accordance with the laws of the State of New York applicable to agreements made and to be performed entirely in such State.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FORMS OF CERTIFICATION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TO BE GIVEN BY PERSON ENTITLED TO RECEIVE BEARER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SECURITY OR TO OBTAIN INTEREST PAYABLE PRIOR TO THE EXCHANGE 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[Insert title or sufficient description of Securities to be delivered]</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 (a) foreign branches of United States financial institutions (financial institutions, as defined in United States Treasury Regulations</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Section 2.165-12(c)(1)(v)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Centessa Pharmaceuticals plc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7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70"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We undertake to advise you promptly by tested telex or by telecopy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This certificate excepts and does not relate to [U.S.$] of such interest in the above-captioned Securities in respect of which we are 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18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150" w:name="page151"/>
    <w:bookmarkEnd w:id="15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be dated no earlier than the 15th calendar day prior to (i) the Exchange Date or (ii) the relevant Interest Payment Date occurring prior to the Exchange Date, as applicable]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Person Making Certification]</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340"/>
          </w:cols>
          <w:pgMar w:left="440" w:top="274" w:right="1119"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B-2</w:t>
      </w:r>
    </w:p>
    <w:p>
      <w:pPr>
        <w:spacing w:after="0" w:line="225" w:lineRule="exact"/>
        <w:rPr>
          <w:sz w:val="20"/>
          <w:szCs w:val="20"/>
          <w:color w:val="auto"/>
        </w:rPr>
      </w:pPr>
    </w:p>
    <w:p>
      <w:pPr>
        <w:jc w:val="center"/>
        <w:spacing w:after="0" w:line="286" w:lineRule="auto"/>
        <w:rPr>
          <w:sz w:val="20"/>
          <w:szCs w:val="20"/>
          <w:color w:val="auto"/>
        </w:rPr>
      </w:pPr>
      <w:r>
        <w:rPr>
          <w:rFonts w:ascii="Arial" w:cs="Arial" w:eastAsia="Arial" w:hAnsi="Arial"/>
          <w:sz w:val="17"/>
          <w:szCs w:val="17"/>
          <w:color w:val="auto"/>
        </w:rPr>
        <w:t>FORM OF CERTIFICATE TO BE GIVEN BY EUROCLEAR AND CLEARSTREAM S.A. IN CONNECTION WITH THE EXCHANGE OF A PORTION OF A TEMPORARY GLOBAL SECURITY OR TO OBTAIN INTEREST PAYABLE PRIOR TO THE EXCHANGE DATE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[Insert title or sufficient description of Securities to be delivered]</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(financial institutions, as defined in U.S.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Centessa Pharmaceuticals plc or its agent that such financial institution will comply with the requirements of Section 165(j)(3)(A), (B) or (C) of the Internal Revenue Code of 1986, as amended, and the regulations thereunder), or (iii) is owned by United States or foreign financial institution(s) for purposes of resale during the restricted period (as defined in United States Treasury Regulations Section 1.163-5(c)(2)(i)(D)(7)),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7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8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[To be dated no earlier than the Exchange Date or the relevant Interest Payment Date occurring prior to the Exchange Date, as applicable]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[Morgan Guaranty Trust Company of New York, Brussels Office, as Operator of the Euroclear System Clearstream Banking Luxembourg]</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4.6</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CENTESSA PHARMACEUTICALS PLC</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Trustee</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as of __________, 20__</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Subordinated Debt Securities</w:t>
      </w:r>
    </w:p>
    <w:p>
      <w:pPr>
        <w:sectPr>
          <w:pgSz w:w="11900" w:h="16838" w:orient="portrait"/>
          <w:cols w:equalWidth="0" w:num="1">
            <w:col w:w="10020"/>
          </w:cols>
          <w:pgMar w:left="1440" w:top="121" w:right="439" w:bottom="1440" w:gutter="0" w:footer="0" w:header="0"/>
        </w:sectPr>
      </w:pPr>
    </w:p>
    <w:bookmarkStart w:id="153" w:name="page154"/>
    <w:bookmarkEnd w:id="15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680" w:type="dxa"/>
            <w:vAlign w:val="bottom"/>
            <w:gridSpan w:val="2"/>
            <w:vMerge w:val="restart"/>
          </w:tcPr>
          <w:p>
            <w:pPr>
              <w:spacing w:after="0"/>
              <w:rPr>
                <w:sz w:val="20"/>
                <w:szCs w:val="20"/>
                <w:color w:val="auto"/>
              </w:rPr>
            </w:pPr>
            <w:r>
              <w:rPr>
                <w:rFonts w:ascii="Arial" w:cs="Arial" w:eastAsia="Arial" w:hAnsi="Arial"/>
                <w:sz w:val="18"/>
                <w:szCs w:val="18"/>
                <w:color w:val="auto"/>
              </w:rPr>
              <w:t>ARTICLE ONE—DEFINITIONS AND OTHER PROVISIONS OF GENERAL APPLICATION</w:t>
            </w: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95"/>
        </w:trPr>
        <w:tc>
          <w:tcPr>
            <w:tcW w:w="10680" w:type="dxa"/>
            <w:vAlign w:val="bottom"/>
            <w:gridSpan w:val="2"/>
            <w:vMerge w:val="continue"/>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898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8980" w:type="dxa"/>
            <w:vAlign w:val="bottom"/>
          </w:tcPr>
          <w:p>
            <w:pPr>
              <w:ind w:left="240"/>
              <w:spacing w:after="0"/>
              <w:rPr>
                <w:sz w:val="20"/>
                <w:szCs w:val="20"/>
                <w:color w:val="auto"/>
              </w:rPr>
            </w:pPr>
            <w:r>
              <w:rPr>
                <w:rFonts w:ascii="Arial" w:cs="Arial" w:eastAsia="Arial" w:hAnsi="Arial"/>
                <w:sz w:val="18"/>
                <w:szCs w:val="18"/>
                <w:color w:val="auto"/>
              </w:rPr>
              <w:t>Compliance Certificates and Opinions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8980" w:type="dxa"/>
            <w:vAlign w:val="bottom"/>
          </w:tcPr>
          <w:p>
            <w:pPr>
              <w:ind w:left="240"/>
              <w:spacing w:after="0"/>
              <w:rPr>
                <w:sz w:val="20"/>
                <w:szCs w:val="20"/>
                <w:color w:val="auto"/>
              </w:rPr>
            </w:pPr>
            <w:r>
              <w:rPr>
                <w:rFonts w:ascii="Arial" w:cs="Arial" w:eastAsia="Arial" w:hAnsi="Arial"/>
                <w:sz w:val="18"/>
                <w:szCs w:val="18"/>
                <w:color w:val="auto"/>
              </w:rPr>
              <w:t>Form of Documents Delivered to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8980" w:type="dxa"/>
            <w:vAlign w:val="bottom"/>
          </w:tcPr>
          <w:p>
            <w:pPr>
              <w:ind w:left="240"/>
              <w:spacing w:after="0"/>
              <w:rPr>
                <w:sz w:val="20"/>
                <w:szCs w:val="20"/>
                <w:color w:val="auto"/>
              </w:rPr>
            </w:pPr>
            <w:r>
              <w:rPr>
                <w:rFonts w:ascii="Arial" w:cs="Arial" w:eastAsia="Arial" w:hAnsi="Arial"/>
                <w:sz w:val="18"/>
                <w:szCs w:val="18"/>
                <w:color w:val="auto"/>
              </w:rPr>
              <w:t>Acts of 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8980" w:type="dxa"/>
            <w:vAlign w:val="bottom"/>
          </w:tcPr>
          <w:p>
            <w:pPr>
              <w:ind w:left="240"/>
              <w:spacing w:after="0"/>
              <w:rPr>
                <w:sz w:val="20"/>
                <w:szCs w:val="20"/>
                <w:color w:val="auto"/>
              </w:rPr>
            </w:pPr>
            <w:r>
              <w:rPr>
                <w:rFonts w:ascii="Arial" w:cs="Arial" w:eastAsia="Arial" w:hAnsi="Arial"/>
                <w:sz w:val="18"/>
                <w:szCs w:val="18"/>
                <w:color w:val="auto"/>
              </w:rPr>
              <w:t>Notices, etc., to Trustee and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8980" w:type="dxa"/>
            <w:vAlign w:val="bottom"/>
          </w:tcPr>
          <w:p>
            <w:pPr>
              <w:ind w:left="240"/>
              <w:spacing w:after="0"/>
              <w:rPr>
                <w:sz w:val="20"/>
                <w:szCs w:val="20"/>
                <w:color w:val="auto"/>
              </w:rPr>
            </w:pPr>
            <w:r>
              <w:rPr>
                <w:rFonts w:ascii="Arial" w:cs="Arial" w:eastAsia="Arial" w:hAnsi="Arial"/>
                <w:sz w:val="18"/>
                <w:szCs w:val="18"/>
                <w:color w:val="auto"/>
              </w:rPr>
              <w:t>Notice to Holders; Waiver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8980" w:type="dxa"/>
            <w:vAlign w:val="bottom"/>
          </w:tcPr>
          <w:p>
            <w:pPr>
              <w:ind w:left="240"/>
              <w:spacing w:after="0"/>
              <w:rPr>
                <w:sz w:val="20"/>
                <w:szCs w:val="20"/>
                <w:color w:val="auto"/>
              </w:rPr>
            </w:pPr>
            <w:r>
              <w:rPr>
                <w:rFonts w:ascii="Arial" w:cs="Arial" w:eastAsia="Arial" w:hAnsi="Arial"/>
                <w:sz w:val="18"/>
                <w:szCs w:val="18"/>
                <w:color w:val="auto"/>
              </w:rPr>
              <w:t>Counterparts; Effect of Headings and Table of Contents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108.</w:t>
            </w:r>
          </w:p>
        </w:tc>
        <w:tc>
          <w:tcPr>
            <w:tcW w:w="8980" w:type="dxa"/>
            <w:vAlign w:val="bottom"/>
          </w:tcPr>
          <w:p>
            <w:pPr>
              <w:ind w:left="240"/>
              <w:spacing w:after="0"/>
              <w:rPr>
                <w:sz w:val="20"/>
                <w:szCs w:val="20"/>
                <w:color w:val="auto"/>
              </w:rPr>
            </w:pPr>
            <w:r>
              <w:rPr>
                <w:rFonts w:ascii="Arial" w:cs="Arial" w:eastAsia="Arial" w:hAnsi="Arial"/>
                <w:sz w:val="18"/>
                <w:szCs w:val="18"/>
                <w:color w:val="auto"/>
              </w:rPr>
              <w:t>Successors and Assigns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109.</w:t>
            </w:r>
          </w:p>
        </w:tc>
        <w:tc>
          <w:tcPr>
            <w:tcW w:w="8980" w:type="dxa"/>
            <w:vAlign w:val="bottom"/>
          </w:tcPr>
          <w:p>
            <w:pPr>
              <w:ind w:left="240"/>
              <w:spacing w:after="0"/>
              <w:rPr>
                <w:sz w:val="20"/>
                <w:szCs w:val="20"/>
                <w:color w:val="auto"/>
              </w:rPr>
            </w:pPr>
            <w:r>
              <w:rPr>
                <w:rFonts w:ascii="Arial" w:cs="Arial" w:eastAsia="Arial" w:hAnsi="Arial"/>
                <w:sz w:val="18"/>
                <w:szCs w:val="18"/>
                <w:color w:val="auto"/>
              </w:rPr>
              <w:t>Severability Clause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110.</w:t>
            </w:r>
          </w:p>
        </w:tc>
        <w:tc>
          <w:tcPr>
            <w:tcW w:w="8980" w:type="dxa"/>
            <w:vAlign w:val="bottom"/>
          </w:tcPr>
          <w:p>
            <w:pPr>
              <w:ind w:left="240"/>
              <w:spacing w:after="0"/>
              <w:rPr>
                <w:sz w:val="20"/>
                <w:szCs w:val="20"/>
                <w:color w:val="auto"/>
              </w:rPr>
            </w:pPr>
            <w:r>
              <w:rPr>
                <w:rFonts w:ascii="Arial" w:cs="Arial" w:eastAsia="Arial" w:hAnsi="Arial"/>
                <w:sz w:val="18"/>
                <w:szCs w:val="18"/>
                <w:color w:val="auto"/>
              </w:rPr>
              <w:t>Benefits of Indenture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8980" w:type="dxa"/>
            <w:vAlign w:val="bottom"/>
          </w:tcPr>
          <w:p>
            <w:pPr>
              <w:ind w:left="240"/>
              <w:spacing w:after="0"/>
              <w:rPr>
                <w:sz w:val="20"/>
                <w:szCs w:val="20"/>
                <w:color w:val="auto"/>
              </w:rPr>
            </w:pPr>
            <w:r>
              <w:rPr>
                <w:rFonts w:ascii="Arial" w:cs="Arial" w:eastAsia="Arial" w:hAnsi="Arial"/>
                <w:sz w:val="18"/>
                <w:szCs w:val="18"/>
                <w:color w:val="auto"/>
              </w:rPr>
              <w:t>Governing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8980" w:type="dxa"/>
            <w:vAlign w:val="bottom"/>
          </w:tcPr>
          <w:p>
            <w:pPr>
              <w:ind w:left="240"/>
              <w:spacing w:after="0"/>
              <w:rPr>
                <w:sz w:val="20"/>
                <w:szCs w:val="20"/>
                <w:color w:val="auto"/>
              </w:rPr>
            </w:pPr>
            <w:r>
              <w:rPr>
                <w:rFonts w:ascii="Arial" w:cs="Arial" w:eastAsia="Arial" w:hAnsi="Arial"/>
                <w:sz w:val="18"/>
                <w:szCs w:val="18"/>
                <w:color w:val="auto"/>
              </w:rPr>
              <w:t>Legal Holidays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8980" w:type="dxa"/>
            <w:vAlign w:val="bottom"/>
          </w:tcPr>
          <w:p>
            <w:pPr>
              <w:ind w:left="240"/>
              <w:spacing w:after="0"/>
              <w:rPr>
                <w:sz w:val="20"/>
                <w:szCs w:val="20"/>
                <w:color w:val="auto"/>
              </w:rPr>
            </w:pPr>
            <w:r>
              <w:rPr>
                <w:rFonts w:ascii="Arial" w:cs="Arial" w:eastAsia="Arial" w:hAnsi="Arial"/>
                <w:sz w:val="18"/>
                <w:szCs w:val="18"/>
                <w:color w:val="auto"/>
              </w:rPr>
              <w:t>Limited Liability; Immunity of Shareholders, Directors, Officers and Agents of the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114.</w:t>
            </w:r>
          </w:p>
        </w:tc>
        <w:tc>
          <w:tcPr>
            <w:tcW w:w="8980" w:type="dxa"/>
            <w:vAlign w:val="bottom"/>
          </w:tcPr>
          <w:p>
            <w:pPr>
              <w:ind w:left="240"/>
              <w:spacing w:after="0"/>
              <w:rPr>
                <w:sz w:val="20"/>
                <w:szCs w:val="20"/>
                <w:color w:val="auto"/>
              </w:rPr>
            </w:pPr>
            <w:r>
              <w:rPr>
                <w:rFonts w:ascii="Arial" w:cs="Arial" w:eastAsia="Arial" w:hAnsi="Arial"/>
                <w:sz w:val="18"/>
                <w:szCs w:val="18"/>
                <w:color w:val="auto"/>
              </w:rPr>
              <w:t>Conflict with Trust Indenture Act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TWO—SECURITIES FORMS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0"/>
        </w:trPr>
        <w:tc>
          <w:tcPr>
            <w:tcW w:w="170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8980" w:type="dxa"/>
            <w:vAlign w:val="bottom"/>
          </w:tcPr>
          <w:p>
            <w:pPr>
              <w:ind w:left="240"/>
              <w:spacing w:after="0"/>
              <w:rPr>
                <w:sz w:val="20"/>
                <w:szCs w:val="20"/>
                <w:color w:val="auto"/>
              </w:rPr>
            </w:pPr>
            <w:r>
              <w:rPr>
                <w:rFonts w:ascii="Arial" w:cs="Arial" w:eastAsia="Arial" w:hAnsi="Arial"/>
                <w:sz w:val="18"/>
                <w:szCs w:val="18"/>
                <w:color w:val="auto"/>
              </w:rPr>
              <w:t>Forms of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8980" w:type="dxa"/>
            <w:vAlign w:val="bottom"/>
          </w:tcPr>
          <w:p>
            <w:pPr>
              <w:ind w:left="240"/>
              <w:spacing w:after="0"/>
              <w:rPr>
                <w:sz w:val="20"/>
                <w:szCs w:val="20"/>
                <w:color w:val="auto"/>
              </w:rPr>
            </w:pPr>
            <w:r>
              <w:rPr>
                <w:rFonts w:ascii="Arial" w:cs="Arial" w:eastAsia="Arial" w:hAnsi="Arial"/>
                <w:sz w:val="18"/>
                <w:szCs w:val="18"/>
                <w:color w:val="auto"/>
              </w:rPr>
              <w:t>Form of Trustee’s Certificate of Authentication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8980" w:type="dxa"/>
            <w:vAlign w:val="bottom"/>
          </w:tcPr>
          <w:p>
            <w:pPr>
              <w:ind w:left="240"/>
              <w:spacing w:after="0"/>
              <w:rPr>
                <w:sz w:val="20"/>
                <w:szCs w:val="20"/>
                <w:color w:val="auto"/>
              </w:rPr>
            </w:pPr>
            <w:r>
              <w:rPr>
                <w:rFonts w:ascii="Arial" w:cs="Arial" w:eastAsia="Arial" w:hAnsi="Arial"/>
                <w:sz w:val="18"/>
                <w:szCs w:val="18"/>
                <w:color w:val="auto"/>
              </w:rPr>
              <w:t>Securities Issuable in Global Form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0"/>
        </w:trPr>
        <w:tc>
          <w:tcPr>
            <w:tcW w:w="10680" w:type="dxa"/>
            <w:vAlign w:val="bottom"/>
            <w:gridSpan w:val="2"/>
          </w:tcPr>
          <w:p>
            <w:pPr>
              <w:spacing w:after="0"/>
              <w:rPr>
                <w:sz w:val="20"/>
                <w:szCs w:val="20"/>
                <w:color w:val="auto"/>
              </w:rPr>
            </w:pPr>
            <w:r>
              <w:rPr>
                <w:rFonts w:ascii="Arial" w:cs="Arial" w:eastAsia="Arial" w:hAnsi="Arial"/>
                <w:sz w:val="18"/>
                <w:szCs w:val="18"/>
                <w:color w:val="auto"/>
              </w:rPr>
              <w:t>ARTICLE THREE—THE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8980" w:type="dxa"/>
            <w:vAlign w:val="bottom"/>
          </w:tcPr>
          <w:p>
            <w:pPr>
              <w:ind w:left="240"/>
              <w:spacing w:after="0"/>
              <w:rPr>
                <w:sz w:val="20"/>
                <w:szCs w:val="20"/>
                <w:color w:val="auto"/>
              </w:rPr>
            </w:pPr>
            <w:r>
              <w:rPr>
                <w:rFonts w:ascii="Arial" w:cs="Arial" w:eastAsia="Arial" w:hAnsi="Arial"/>
                <w:sz w:val="18"/>
                <w:szCs w:val="18"/>
                <w:color w:val="auto"/>
              </w:rPr>
              <w:t>Amount Unlimited; Issuable in Series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8980" w:type="dxa"/>
            <w:vAlign w:val="bottom"/>
          </w:tcPr>
          <w:p>
            <w:pPr>
              <w:ind w:left="240"/>
              <w:spacing w:after="0"/>
              <w:rPr>
                <w:sz w:val="20"/>
                <w:szCs w:val="20"/>
                <w:color w:val="auto"/>
              </w:rPr>
            </w:pPr>
            <w:r>
              <w:rPr>
                <w:rFonts w:ascii="Arial" w:cs="Arial" w:eastAsia="Arial" w:hAnsi="Arial"/>
                <w:sz w:val="18"/>
                <w:szCs w:val="18"/>
                <w:color w:val="auto"/>
              </w:rPr>
              <w:t>Denominations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8980" w:type="dxa"/>
            <w:vAlign w:val="bottom"/>
          </w:tcPr>
          <w:p>
            <w:pPr>
              <w:ind w:left="240"/>
              <w:spacing w:after="0"/>
              <w:rPr>
                <w:sz w:val="20"/>
                <w:szCs w:val="20"/>
                <w:color w:val="auto"/>
              </w:rPr>
            </w:pPr>
            <w:r>
              <w:rPr>
                <w:rFonts w:ascii="Arial" w:cs="Arial" w:eastAsia="Arial" w:hAnsi="Arial"/>
                <w:sz w:val="18"/>
                <w:szCs w:val="18"/>
                <w:color w:val="auto"/>
              </w:rPr>
              <w:t>Execution, Authentication, Delivery and Dating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8980" w:type="dxa"/>
            <w:vAlign w:val="bottom"/>
          </w:tcPr>
          <w:p>
            <w:pPr>
              <w:ind w:left="240"/>
              <w:spacing w:after="0"/>
              <w:rPr>
                <w:sz w:val="20"/>
                <w:szCs w:val="20"/>
                <w:color w:val="auto"/>
              </w:rPr>
            </w:pPr>
            <w:r>
              <w:rPr>
                <w:rFonts w:ascii="Arial" w:cs="Arial" w:eastAsia="Arial" w:hAnsi="Arial"/>
                <w:sz w:val="18"/>
                <w:szCs w:val="18"/>
                <w:color w:val="auto"/>
              </w:rPr>
              <w:t>Temporary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305.</w:t>
            </w:r>
          </w:p>
        </w:tc>
        <w:tc>
          <w:tcPr>
            <w:tcW w:w="8980" w:type="dxa"/>
            <w:vAlign w:val="bottom"/>
          </w:tcPr>
          <w:p>
            <w:pPr>
              <w:ind w:left="240"/>
              <w:spacing w:after="0"/>
              <w:rPr>
                <w:sz w:val="20"/>
                <w:szCs w:val="20"/>
                <w:color w:val="auto"/>
              </w:rPr>
            </w:pPr>
            <w:r>
              <w:rPr>
                <w:rFonts w:ascii="Arial" w:cs="Arial" w:eastAsia="Arial" w:hAnsi="Arial"/>
                <w:sz w:val="18"/>
                <w:szCs w:val="18"/>
                <w:color w:val="auto"/>
              </w:rPr>
              <w:t>Registration, Registration of Transfer, Conversion and Exchange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306.</w:t>
            </w:r>
          </w:p>
        </w:tc>
        <w:tc>
          <w:tcPr>
            <w:tcW w:w="8980" w:type="dxa"/>
            <w:vAlign w:val="bottom"/>
          </w:tcPr>
          <w:p>
            <w:pPr>
              <w:ind w:left="240"/>
              <w:spacing w:after="0"/>
              <w:rPr>
                <w:sz w:val="20"/>
                <w:szCs w:val="20"/>
                <w:color w:val="auto"/>
              </w:rPr>
            </w:pPr>
            <w:r>
              <w:rPr>
                <w:rFonts w:ascii="Arial" w:cs="Arial" w:eastAsia="Arial" w:hAnsi="Arial"/>
                <w:sz w:val="18"/>
                <w:szCs w:val="18"/>
                <w:color w:val="auto"/>
              </w:rPr>
              <w:t>Mutilated, Destroyed, Lost and Stolen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307.</w:t>
            </w:r>
          </w:p>
        </w:tc>
        <w:tc>
          <w:tcPr>
            <w:tcW w:w="8980" w:type="dxa"/>
            <w:vAlign w:val="bottom"/>
          </w:tcPr>
          <w:p>
            <w:pPr>
              <w:ind w:left="240"/>
              <w:spacing w:after="0"/>
              <w:rPr>
                <w:sz w:val="20"/>
                <w:szCs w:val="20"/>
                <w:color w:val="auto"/>
              </w:rPr>
            </w:pPr>
            <w:r>
              <w:rPr>
                <w:rFonts w:ascii="Arial" w:cs="Arial" w:eastAsia="Arial" w:hAnsi="Arial"/>
                <w:sz w:val="18"/>
                <w:szCs w:val="18"/>
                <w:color w:val="auto"/>
              </w:rPr>
              <w:t>Payment of Interest; Interest Rights Preserved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308.</w:t>
            </w:r>
          </w:p>
        </w:tc>
        <w:tc>
          <w:tcPr>
            <w:tcW w:w="8980" w:type="dxa"/>
            <w:vAlign w:val="bottom"/>
          </w:tcPr>
          <w:p>
            <w:pPr>
              <w:ind w:left="240"/>
              <w:spacing w:after="0"/>
              <w:rPr>
                <w:sz w:val="20"/>
                <w:szCs w:val="20"/>
                <w:color w:val="auto"/>
              </w:rPr>
            </w:pPr>
            <w:r>
              <w:rPr>
                <w:rFonts w:ascii="Arial" w:cs="Arial" w:eastAsia="Arial" w:hAnsi="Arial"/>
                <w:sz w:val="18"/>
                <w:szCs w:val="18"/>
                <w:color w:val="auto"/>
              </w:rPr>
              <w:t>Persons Deemed Owners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309.</w:t>
            </w:r>
          </w:p>
        </w:tc>
        <w:tc>
          <w:tcPr>
            <w:tcW w:w="8980" w:type="dxa"/>
            <w:vAlign w:val="bottom"/>
          </w:tcPr>
          <w:p>
            <w:pPr>
              <w:ind w:left="240"/>
              <w:spacing w:after="0"/>
              <w:rPr>
                <w:sz w:val="20"/>
                <w:szCs w:val="20"/>
                <w:color w:val="auto"/>
              </w:rPr>
            </w:pPr>
            <w:r>
              <w:rPr>
                <w:rFonts w:ascii="Arial" w:cs="Arial" w:eastAsia="Arial" w:hAnsi="Arial"/>
                <w:sz w:val="18"/>
                <w:szCs w:val="18"/>
                <w:color w:val="auto"/>
              </w:rPr>
              <w:t>Cancellation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8980" w:type="dxa"/>
            <w:vAlign w:val="bottom"/>
          </w:tcPr>
          <w:p>
            <w:pPr>
              <w:ind w:left="240"/>
              <w:spacing w:after="0"/>
              <w:rPr>
                <w:sz w:val="20"/>
                <w:szCs w:val="20"/>
                <w:color w:val="auto"/>
              </w:rPr>
            </w:pPr>
            <w:r>
              <w:rPr>
                <w:rFonts w:ascii="Arial" w:cs="Arial" w:eastAsia="Arial" w:hAnsi="Arial"/>
                <w:sz w:val="18"/>
                <w:szCs w:val="18"/>
                <w:color w:val="auto"/>
              </w:rPr>
              <w:t>Computation of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311.</w:t>
            </w:r>
          </w:p>
        </w:tc>
        <w:tc>
          <w:tcPr>
            <w:tcW w:w="8980" w:type="dxa"/>
            <w:vAlign w:val="bottom"/>
          </w:tcPr>
          <w:p>
            <w:pPr>
              <w:ind w:left="240"/>
              <w:spacing w:after="0"/>
              <w:rPr>
                <w:sz w:val="20"/>
                <w:szCs w:val="20"/>
                <w:color w:val="auto"/>
              </w:rPr>
            </w:pPr>
            <w:r>
              <w:rPr>
                <w:rFonts w:ascii="Arial" w:cs="Arial" w:eastAsia="Arial" w:hAnsi="Arial"/>
                <w:sz w:val="18"/>
                <w:szCs w:val="18"/>
                <w:color w:val="auto"/>
              </w:rPr>
              <w:t>CUSIP Numbers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0"/>
        </w:trPr>
        <w:tc>
          <w:tcPr>
            <w:tcW w:w="10680" w:type="dxa"/>
            <w:vAlign w:val="bottom"/>
            <w:gridSpan w:val="2"/>
          </w:tcPr>
          <w:p>
            <w:pPr>
              <w:spacing w:after="0"/>
              <w:rPr>
                <w:sz w:val="20"/>
                <w:szCs w:val="20"/>
                <w:color w:val="auto"/>
              </w:rPr>
            </w:pPr>
            <w:r>
              <w:rPr>
                <w:rFonts w:ascii="Arial" w:cs="Arial" w:eastAsia="Arial" w:hAnsi="Arial"/>
                <w:sz w:val="18"/>
                <w:szCs w:val="18"/>
                <w:color w:val="auto"/>
              </w:rPr>
              <w:t>ARTICLE FOUR—SATISFACTION AND DISCHARGE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8980" w:type="dxa"/>
            <w:vAlign w:val="bottom"/>
          </w:tcPr>
          <w:p>
            <w:pPr>
              <w:ind w:left="240"/>
              <w:spacing w:after="0"/>
              <w:rPr>
                <w:sz w:val="20"/>
                <w:szCs w:val="20"/>
                <w:color w:val="auto"/>
              </w:rPr>
            </w:pPr>
            <w:r>
              <w:rPr>
                <w:rFonts w:ascii="Arial" w:cs="Arial" w:eastAsia="Arial" w:hAnsi="Arial"/>
                <w:sz w:val="18"/>
                <w:szCs w:val="18"/>
                <w:color w:val="auto"/>
              </w:rPr>
              <w:t>Satisfaction and Discharge of Indenture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8980" w:type="dxa"/>
            <w:vAlign w:val="bottom"/>
          </w:tcPr>
          <w:p>
            <w:pPr>
              <w:ind w:left="240"/>
              <w:spacing w:after="0"/>
              <w:rPr>
                <w:sz w:val="20"/>
                <w:szCs w:val="20"/>
                <w:color w:val="auto"/>
              </w:rPr>
            </w:pPr>
            <w:r>
              <w:rPr>
                <w:rFonts w:ascii="Arial" w:cs="Arial" w:eastAsia="Arial" w:hAnsi="Arial"/>
                <w:sz w:val="18"/>
                <w:szCs w:val="18"/>
                <w:color w:val="auto"/>
              </w:rPr>
              <w:t>Application of Trust Funds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ectPr>
          <w:pgSz w:w="11900" w:h="16838" w:orient="portrait"/>
          <w:cols w:equalWidth="0" w:num="1">
            <w:col w:w="10960"/>
          </w:cols>
          <w:pgMar w:left="440" w:top="274" w:right="499" w:bottom="1440" w:gutter="0" w:footer="0" w:header="0"/>
        </w:sectPr>
      </w:pPr>
    </w:p>
    <w:bookmarkStart w:id="154" w:name="page155"/>
    <w:bookmarkEnd w:id="1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ARTICLE FIVE—REMEDIES</w:t>
            </w: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8900" w:type="dxa"/>
            <w:vAlign w:val="bottom"/>
          </w:tcPr>
          <w:p>
            <w:pPr>
              <w:ind w:left="220"/>
              <w:spacing w:after="0"/>
              <w:rPr>
                <w:sz w:val="20"/>
                <w:szCs w:val="20"/>
                <w:color w:val="auto"/>
              </w:rPr>
            </w:pPr>
            <w:r>
              <w:rPr>
                <w:rFonts w:ascii="Arial" w:cs="Arial" w:eastAsia="Arial" w:hAnsi="Arial"/>
                <w:sz w:val="18"/>
                <w:szCs w:val="18"/>
                <w:color w:val="auto"/>
              </w:rPr>
              <w:t>Events of Default</w:t>
            </w: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8900" w:type="dxa"/>
            <w:vAlign w:val="bottom"/>
          </w:tcPr>
          <w:p>
            <w:pPr>
              <w:ind w:left="220"/>
              <w:spacing w:after="0"/>
              <w:rPr>
                <w:sz w:val="20"/>
                <w:szCs w:val="20"/>
                <w:color w:val="auto"/>
              </w:rPr>
            </w:pPr>
            <w:r>
              <w:rPr>
                <w:rFonts w:ascii="Arial" w:cs="Arial" w:eastAsia="Arial" w:hAnsi="Arial"/>
                <w:sz w:val="18"/>
                <w:szCs w:val="18"/>
                <w:color w:val="auto"/>
              </w:rPr>
              <w:t>Acceleration of Maturity; Rescission and Annulment</w:t>
            </w: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8900" w:type="dxa"/>
            <w:vAlign w:val="bottom"/>
          </w:tcPr>
          <w:p>
            <w:pPr>
              <w:ind w:left="220"/>
              <w:spacing w:after="0"/>
              <w:rPr>
                <w:sz w:val="20"/>
                <w:szCs w:val="20"/>
                <w:color w:val="auto"/>
              </w:rPr>
            </w:pPr>
            <w:r>
              <w:rPr>
                <w:rFonts w:ascii="Arial" w:cs="Arial" w:eastAsia="Arial" w:hAnsi="Arial"/>
                <w:sz w:val="18"/>
                <w:szCs w:val="18"/>
                <w:color w:val="auto"/>
              </w:rPr>
              <w:t>Collection of Indebtedness and Suits for Enforcement by Trustee</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8900" w:type="dxa"/>
            <w:vAlign w:val="bottom"/>
          </w:tcPr>
          <w:p>
            <w:pPr>
              <w:ind w:left="220"/>
              <w:spacing w:after="0"/>
              <w:rPr>
                <w:sz w:val="20"/>
                <w:szCs w:val="20"/>
                <w:color w:val="auto"/>
              </w:rPr>
            </w:pPr>
            <w:r>
              <w:rPr>
                <w:rFonts w:ascii="Arial" w:cs="Arial" w:eastAsia="Arial" w:hAnsi="Arial"/>
                <w:sz w:val="18"/>
                <w:szCs w:val="18"/>
                <w:color w:val="auto"/>
              </w:rPr>
              <w:t>Trustee May File Proofs of Claim</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505.</w:t>
            </w:r>
          </w:p>
        </w:tc>
        <w:tc>
          <w:tcPr>
            <w:tcW w:w="8900" w:type="dxa"/>
            <w:vAlign w:val="bottom"/>
          </w:tcPr>
          <w:p>
            <w:pPr>
              <w:ind w:left="220"/>
              <w:spacing w:after="0"/>
              <w:rPr>
                <w:sz w:val="20"/>
                <w:szCs w:val="20"/>
                <w:color w:val="auto"/>
              </w:rPr>
            </w:pPr>
            <w:r>
              <w:rPr>
                <w:rFonts w:ascii="Arial" w:cs="Arial" w:eastAsia="Arial" w:hAnsi="Arial"/>
                <w:sz w:val="18"/>
                <w:szCs w:val="18"/>
                <w:color w:val="auto"/>
              </w:rPr>
              <w:t>Trustee May Enforce Claims Without Possession of Securities or Coupons</w:t>
            </w: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506.</w:t>
            </w:r>
          </w:p>
        </w:tc>
        <w:tc>
          <w:tcPr>
            <w:tcW w:w="8900" w:type="dxa"/>
            <w:vAlign w:val="bottom"/>
          </w:tcPr>
          <w:p>
            <w:pPr>
              <w:ind w:left="220"/>
              <w:spacing w:after="0"/>
              <w:rPr>
                <w:sz w:val="20"/>
                <w:szCs w:val="20"/>
                <w:color w:val="auto"/>
              </w:rPr>
            </w:pPr>
            <w:r>
              <w:rPr>
                <w:rFonts w:ascii="Arial" w:cs="Arial" w:eastAsia="Arial" w:hAnsi="Arial"/>
                <w:sz w:val="18"/>
                <w:szCs w:val="18"/>
                <w:color w:val="auto"/>
              </w:rPr>
              <w:t>Application of Money Collected</w:t>
            </w: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507.</w:t>
            </w:r>
          </w:p>
        </w:tc>
        <w:tc>
          <w:tcPr>
            <w:tcW w:w="8900" w:type="dxa"/>
            <w:vAlign w:val="bottom"/>
          </w:tcPr>
          <w:p>
            <w:pPr>
              <w:ind w:left="220"/>
              <w:spacing w:after="0"/>
              <w:rPr>
                <w:sz w:val="20"/>
                <w:szCs w:val="20"/>
                <w:color w:val="auto"/>
              </w:rPr>
            </w:pPr>
            <w:r>
              <w:rPr>
                <w:rFonts w:ascii="Arial" w:cs="Arial" w:eastAsia="Arial" w:hAnsi="Arial"/>
                <w:sz w:val="18"/>
                <w:szCs w:val="18"/>
                <w:color w:val="auto"/>
              </w:rPr>
              <w:t>Limitation on Suits</w:t>
            </w: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508.</w:t>
            </w:r>
          </w:p>
        </w:tc>
        <w:tc>
          <w:tcPr>
            <w:tcW w:w="8900" w:type="dxa"/>
            <w:vAlign w:val="bottom"/>
          </w:tcPr>
          <w:p>
            <w:pPr>
              <w:ind w:left="220"/>
              <w:spacing w:after="0"/>
              <w:rPr>
                <w:sz w:val="20"/>
                <w:szCs w:val="20"/>
                <w:color w:val="auto"/>
              </w:rPr>
            </w:pPr>
            <w:r>
              <w:rPr>
                <w:rFonts w:ascii="Arial" w:cs="Arial" w:eastAsia="Arial" w:hAnsi="Arial"/>
                <w:sz w:val="18"/>
                <w:szCs w:val="18"/>
                <w:color w:val="auto"/>
              </w:rPr>
              <w:t>Unconditional Right of Holders to Receive Principal, Premium or Make-Whole Amount, if any, and Interest</w:t>
            </w: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509.</w:t>
            </w:r>
          </w:p>
        </w:tc>
        <w:tc>
          <w:tcPr>
            <w:tcW w:w="8900" w:type="dxa"/>
            <w:vAlign w:val="bottom"/>
          </w:tcPr>
          <w:p>
            <w:pPr>
              <w:ind w:left="220"/>
              <w:spacing w:after="0"/>
              <w:rPr>
                <w:sz w:val="20"/>
                <w:szCs w:val="20"/>
                <w:color w:val="auto"/>
              </w:rPr>
            </w:pPr>
            <w:r>
              <w:rPr>
                <w:rFonts w:ascii="Arial" w:cs="Arial" w:eastAsia="Arial" w:hAnsi="Arial"/>
                <w:sz w:val="18"/>
                <w:szCs w:val="18"/>
                <w:color w:val="auto"/>
              </w:rPr>
              <w:t>Restoration of Rights and Remedies</w:t>
            </w: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8900" w:type="dxa"/>
            <w:vAlign w:val="bottom"/>
          </w:tcPr>
          <w:p>
            <w:pPr>
              <w:ind w:left="220"/>
              <w:spacing w:after="0"/>
              <w:rPr>
                <w:sz w:val="20"/>
                <w:szCs w:val="20"/>
                <w:color w:val="auto"/>
              </w:rPr>
            </w:pPr>
            <w:r>
              <w:rPr>
                <w:rFonts w:ascii="Arial" w:cs="Arial" w:eastAsia="Arial" w:hAnsi="Arial"/>
                <w:sz w:val="18"/>
                <w:szCs w:val="18"/>
                <w:color w:val="auto"/>
              </w:rPr>
              <w:t>Rights and Remedies Cumulative</w:t>
            </w: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8900" w:type="dxa"/>
            <w:vAlign w:val="bottom"/>
          </w:tcPr>
          <w:p>
            <w:pPr>
              <w:ind w:left="220"/>
              <w:spacing w:after="0"/>
              <w:rPr>
                <w:sz w:val="20"/>
                <w:szCs w:val="20"/>
                <w:color w:val="auto"/>
              </w:rPr>
            </w:pPr>
            <w:r>
              <w:rPr>
                <w:rFonts w:ascii="Arial" w:cs="Arial" w:eastAsia="Arial" w:hAnsi="Arial"/>
                <w:sz w:val="18"/>
                <w:szCs w:val="18"/>
                <w:color w:val="auto"/>
              </w:rPr>
              <w:t>Delay or Omission Not Waiver</w:t>
            </w: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8900" w:type="dxa"/>
            <w:vAlign w:val="bottom"/>
          </w:tcPr>
          <w:p>
            <w:pPr>
              <w:ind w:left="220"/>
              <w:spacing w:after="0"/>
              <w:rPr>
                <w:sz w:val="20"/>
                <w:szCs w:val="20"/>
                <w:color w:val="auto"/>
              </w:rPr>
            </w:pPr>
            <w:r>
              <w:rPr>
                <w:rFonts w:ascii="Arial" w:cs="Arial" w:eastAsia="Arial" w:hAnsi="Arial"/>
                <w:sz w:val="18"/>
                <w:szCs w:val="18"/>
                <w:color w:val="auto"/>
              </w:rPr>
              <w:t>Control by Holders of Securities</w:t>
            </w: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8900" w:type="dxa"/>
            <w:vAlign w:val="bottom"/>
          </w:tcPr>
          <w:p>
            <w:pPr>
              <w:ind w:left="220"/>
              <w:spacing w:after="0"/>
              <w:rPr>
                <w:sz w:val="20"/>
                <w:szCs w:val="20"/>
                <w:color w:val="auto"/>
              </w:rPr>
            </w:pPr>
            <w:r>
              <w:rPr>
                <w:rFonts w:ascii="Arial" w:cs="Arial" w:eastAsia="Arial" w:hAnsi="Arial"/>
                <w:sz w:val="18"/>
                <w:szCs w:val="18"/>
                <w:color w:val="auto"/>
              </w:rPr>
              <w:t>Waiver of Past Defaults</w:t>
            </w: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8900" w:type="dxa"/>
            <w:vAlign w:val="bottom"/>
          </w:tcPr>
          <w:p>
            <w:pPr>
              <w:ind w:left="220"/>
              <w:spacing w:after="0"/>
              <w:rPr>
                <w:sz w:val="20"/>
                <w:szCs w:val="20"/>
                <w:color w:val="auto"/>
              </w:rPr>
            </w:pPr>
            <w:r>
              <w:rPr>
                <w:rFonts w:ascii="Arial" w:cs="Arial" w:eastAsia="Arial" w:hAnsi="Arial"/>
                <w:sz w:val="18"/>
                <w:szCs w:val="18"/>
                <w:color w:val="auto"/>
              </w:rPr>
              <w:t>Waiver of Usury, Stay or Extension Laws</w:t>
            </w: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515.</w:t>
            </w:r>
          </w:p>
        </w:tc>
        <w:tc>
          <w:tcPr>
            <w:tcW w:w="8900" w:type="dxa"/>
            <w:vAlign w:val="bottom"/>
          </w:tcPr>
          <w:p>
            <w:pPr>
              <w:ind w:left="220"/>
              <w:spacing w:after="0"/>
              <w:rPr>
                <w:sz w:val="20"/>
                <w:szCs w:val="20"/>
                <w:color w:val="auto"/>
              </w:rPr>
            </w:pPr>
            <w:r>
              <w:rPr>
                <w:rFonts w:ascii="Arial" w:cs="Arial" w:eastAsia="Arial" w:hAnsi="Arial"/>
                <w:sz w:val="18"/>
                <w:szCs w:val="18"/>
                <w:color w:val="auto"/>
              </w:rPr>
              <w:t>Undertaking for Costs</w:t>
            </w: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10600" w:type="dxa"/>
            <w:vAlign w:val="bottom"/>
            <w:gridSpan w:val="2"/>
          </w:tcPr>
          <w:p>
            <w:pPr>
              <w:spacing w:after="0"/>
              <w:rPr>
                <w:sz w:val="20"/>
                <w:szCs w:val="20"/>
                <w:color w:val="auto"/>
              </w:rPr>
            </w:pPr>
            <w:r>
              <w:rPr>
                <w:rFonts w:ascii="Arial" w:cs="Arial" w:eastAsia="Arial" w:hAnsi="Arial"/>
                <w:sz w:val="18"/>
                <w:szCs w:val="18"/>
                <w:color w:val="auto"/>
              </w:rPr>
              <w:t>ARTICLE SIX—THE TRUSTEE</w:t>
            </w: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8900" w:type="dxa"/>
            <w:vAlign w:val="bottom"/>
          </w:tcPr>
          <w:p>
            <w:pPr>
              <w:ind w:left="220"/>
              <w:spacing w:after="0"/>
              <w:rPr>
                <w:sz w:val="20"/>
                <w:szCs w:val="20"/>
                <w:color w:val="auto"/>
              </w:rPr>
            </w:pPr>
            <w:r>
              <w:rPr>
                <w:rFonts w:ascii="Arial" w:cs="Arial" w:eastAsia="Arial" w:hAnsi="Arial"/>
                <w:sz w:val="18"/>
                <w:szCs w:val="18"/>
                <w:color w:val="auto"/>
              </w:rPr>
              <w:t>Notice of Defaults</w:t>
            </w: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8900" w:type="dxa"/>
            <w:vAlign w:val="bottom"/>
          </w:tcPr>
          <w:p>
            <w:pPr>
              <w:ind w:left="220"/>
              <w:spacing w:after="0"/>
              <w:rPr>
                <w:sz w:val="20"/>
                <w:szCs w:val="20"/>
                <w:color w:val="auto"/>
              </w:rPr>
            </w:pPr>
            <w:r>
              <w:rPr>
                <w:rFonts w:ascii="Arial" w:cs="Arial" w:eastAsia="Arial" w:hAnsi="Arial"/>
                <w:sz w:val="18"/>
                <w:szCs w:val="18"/>
                <w:color w:val="auto"/>
              </w:rPr>
              <w:t>Certain Rights of Trustee</w:t>
            </w: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8900" w:type="dxa"/>
            <w:vAlign w:val="bottom"/>
          </w:tcPr>
          <w:p>
            <w:pPr>
              <w:ind w:left="220"/>
              <w:spacing w:after="0"/>
              <w:rPr>
                <w:sz w:val="20"/>
                <w:szCs w:val="20"/>
                <w:color w:val="auto"/>
              </w:rPr>
            </w:pPr>
            <w:r>
              <w:rPr>
                <w:rFonts w:ascii="Arial" w:cs="Arial" w:eastAsia="Arial" w:hAnsi="Arial"/>
                <w:sz w:val="18"/>
                <w:szCs w:val="18"/>
                <w:color w:val="auto"/>
              </w:rPr>
              <w:t>Not Responsible for Recitals or Issuance of Securities</w:t>
            </w: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8900" w:type="dxa"/>
            <w:vAlign w:val="bottom"/>
          </w:tcPr>
          <w:p>
            <w:pPr>
              <w:ind w:left="220"/>
              <w:spacing w:after="0"/>
              <w:rPr>
                <w:sz w:val="20"/>
                <w:szCs w:val="20"/>
                <w:color w:val="auto"/>
              </w:rPr>
            </w:pPr>
            <w:r>
              <w:rPr>
                <w:rFonts w:ascii="Arial" w:cs="Arial" w:eastAsia="Arial" w:hAnsi="Arial"/>
                <w:sz w:val="18"/>
                <w:szCs w:val="18"/>
                <w:color w:val="auto"/>
              </w:rPr>
              <w:t>May Hold Securities</w:t>
            </w: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8900" w:type="dxa"/>
            <w:vAlign w:val="bottom"/>
          </w:tcPr>
          <w:p>
            <w:pPr>
              <w:ind w:left="220"/>
              <w:spacing w:after="0"/>
              <w:rPr>
                <w:sz w:val="20"/>
                <w:szCs w:val="20"/>
                <w:color w:val="auto"/>
              </w:rPr>
            </w:pPr>
            <w:r>
              <w:rPr>
                <w:rFonts w:ascii="Arial" w:cs="Arial" w:eastAsia="Arial" w:hAnsi="Arial"/>
                <w:sz w:val="18"/>
                <w:szCs w:val="18"/>
                <w:color w:val="auto"/>
              </w:rPr>
              <w:t>Money Held in Trust</w:t>
            </w: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8900" w:type="dxa"/>
            <w:vAlign w:val="bottom"/>
          </w:tcPr>
          <w:p>
            <w:pPr>
              <w:ind w:left="220"/>
              <w:spacing w:after="0"/>
              <w:rPr>
                <w:sz w:val="20"/>
                <w:szCs w:val="20"/>
                <w:color w:val="auto"/>
              </w:rPr>
            </w:pPr>
            <w:r>
              <w:rPr>
                <w:rFonts w:ascii="Arial" w:cs="Arial" w:eastAsia="Arial" w:hAnsi="Arial"/>
                <w:sz w:val="18"/>
                <w:szCs w:val="18"/>
                <w:color w:val="auto"/>
              </w:rPr>
              <w:t>Compensation and Reimbursement</w:t>
            </w: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8900" w:type="dxa"/>
            <w:vAlign w:val="bottom"/>
          </w:tcPr>
          <w:p>
            <w:pPr>
              <w:ind w:left="220"/>
              <w:spacing w:after="0"/>
              <w:rPr>
                <w:sz w:val="20"/>
                <w:szCs w:val="20"/>
                <w:color w:val="auto"/>
              </w:rPr>
            </w:pPr>
            <w:r>
              <w:rPr>
                <w:rFonts w:ascii="Arial" w:cs="Arial" w:eastAsia="Arial" w:hAnsi="Arial"/>
                <w:sz w:val="18"/>
                <w:szCs w:val="18"/>
                <w:color w:val="auto"/>
              </w:rPr>
              <w:t>Corporate Trustee Required; Eligibility; Conflicting Interests</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608.</w:t>
            </w:r>
          </w:p>
        </w:tc>
        <w:tc>
          <w:tcPr>
            <w:tcW w:w="8900" w:type="dxa"/>
            <w:vAlign w:val="bottom"/>
          </w:tcPr>
          <w:p>
            <w:pPr>
              <w:ind w:left="220"/>
              <w:spacing w:after="0"/>
              <w:rPr>
                <w:sz w:val="20"/>
                <w:szCs w:val="20"/>
                <w:color w:val="auto"/>
              </w:rPr>
            </w:pPr>
            <w:r>
              <w:rPr>
                <w:rFonts w:ascii="Arial" w:cs="Arial" w:eastAsia="Arial" w:hAnsi="Arial"/>
                <w:sz w:val="18"/>
                <w:szCs w:val="18"/>
                <w:color w:val="auto"/>
              </w:rPr>
              <w:t>Resignation and Removal; Appointment of Successor</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609.</w:t>
            </w:r>
          </w:p>
        </w:tc>
        <w:tc>
          <w:tcPr>
            <w:tcW w:w="8900" w:type="dxa"/>
            <w:vAlign w:val="bottom"/>
          </w:tcPr>
          <w:p>
            <w:pPr>
              <w:ind w:left="220"/>
              <w:spacing w:after="0"/>
              <w:rPr>
                <w:sz w:val="20"/>
                <w:szCs w:val="20"/>
                <w:color w:val="auto"/>
              </w:rPr>
            </w:pPr>
            <w:r>
              <w:rPr>
                <w:rFonts w:ascii="Arial" w:cs="Arial" w:eastAsia="Arial" w:hAnsi="Arial"/>
                <w:sz w:val="18"/>
                <w:szCs w:val="18"/>
                <w:color w:val="auto"/>
              </w:rPr>
              <w:t>Acceptance of Appointment by Successor</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8900" w:type="dxa"/>
            <w:vAlign w:val="bottom"/>
          </w:tcPr>
          <w:p>
            <w:pPr>
              <w:ind w:left="220"/>
              <w:spacing w:after="0"/>
              <w:rPr>
                <w:sz w:val="20"/>
                <w:szCs w:val="20"/>
                <w:color w:val="auto"/>
              </w:rPr>
            </w:pPr>
            <w:r>
              <w:rPr>
                <w:rFonts w:ascii="Arial" w:cs="Arial" w:eastAsia="Arial" w:hAnsi="Arial"/>
                <w:sz w:val="18"/>
                <w:szCs w:val="18"/>
                <w:color w:val="auto"/>
              </w:rPr>
              <w:t>Merger, Conversion, Consolidation or Succession to Business</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8900" w:type="dxa"/>
            <w:vAlign w:val="bottom"/>
          </w:tcPr>
          <w:p>
            <w:pPr>
              <w:ind w:left="220"/>
              <w:spacing w:after="0"/>
              <w:rPr>
                <w:sz w:val="20"/>
                <w:szCs w:val="20"/>
                <w:color w:val="auto"/>
              </w:rPr>
            </w:pPr>
            <w:r>
              <w:rPr>
                <w:rFonts w:ascii="Arial" w:cs="Arial" w:eastAsia="Arial" w:hAnsi="Arial"/>
                <w:sz w:val="18"/>
                <w:szCs w:val="18"/>
                <w:color w:val="auto"/>
              </w:rPr>
              <w:t>Appointment of Authenticating Agent</w:t>
            </w: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8900" w:type="dxa"/>
            <w:vAlign w:val="bottom"/>
          </w:tcPr>
          <w:p>
            <w:pPr>
              <w:ind w:left="220"/>
              <w:spacing w:after="0"/>
              <w:rPr>
                <w:sz w:val="20"/>
                <w:szCs w:val="20"/>
                <w:color w:val="auto"/>
              </w:rPr>
            </w:pPr>
            <w:r>
              <w:rPr>
                <w:rFonts w:ascii="Arial" w:cs="Arial" w:eastAsia="Arial" w:hAnsi="Arial"/>
                <w:sz w:val="18"/>
                <w:szCs w:val="18"/>
                <w:color w:val="auto"/>
              </w:rPr>
              <w:t>Certain Duties and Responsibilities of the Trustee</w:t>
            </w: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0"/>
        </w:trPr>
        <w:tc>
          <w:tcPr>
            <w:tcW w:w="10600" w:type="dxa"/>
            <w:vAlign w:val="bottom"/>
            <w:gridSpan w:val="2"/>
          </w:tcPr>
          <w:p>
            <w:pPr>
              <w:spacing w:after="0"/>
              <w:rPr>
                <w:sz w:val="20"/>
                <w:szCs w:val="20"/>
                <w:color w:val="auto"/>
              </w:rPr>
            </w:pPr>
            <w:r>
              <w:rPr>
                <w:rFonts w:ascii="Arial" w:cs="Arial" w:eastAsia="Arial" w:hAnsi="Arial"/>
                <w:sz w:val="18"/>
                <w:szCs w:val="18"/>
                <w:color w:val="auto"/>
              </w:rPr>
              <w:t>ARTICLE SEVEN—HOLDERS’ LISTS AND REPORTS BY TRUSTEE AND COMPANY</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8900" w:type="dxa"/>
            <w:vAlign w:val="bottom"/>
          </w:tcPr>
          <w:p>
            <w:pPr>
              <w:ind w:left="220"/>
              <w:spacing w:after="0"/>
              <w:rPr>
                <w:sz w:val="20"/>
                <w:szCs w:val="20"/>
                <w:color w:val="auto"/>
              </w:rPr>
            </w:pPr>
            <w:r>
              <w:rPr>
                <w:rFonts w:ascii="Arial" w:cs="Arial" w:eastAsia="Arial" w:hAnsi="Arial"/>
                <w:sz w:val="18"/>
                <w:szCs w:val="18"/>
                <w:color w:val="auto"/>
              </w:rPr>
              <w:t>Disclosure of Names and Addresses of Holders</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8900" w:type="dxa"/>
            <w:vAlign w:val="bottom"/>
          </w:tcPr>
          <w:p>
            <w:pPr>
              <w:ind w:left="220"/>
              <w:spacing w:after="0"/>
              <w:rPr>
                <w:sz w:val="20"/>
                <w:szCs w:val="20"/>
                <w:color w:val="auto"/>
              </w:rPr>
            </w:pPr>
            <w:r>
              <w:rPr>
                <w:rFonts w:ascii="Arial" w:cs="Arial" w:eastAsia="Arial" w:hAnsi="Arial"/>
                <w:sz w:val="18"/>
                <w:szCs w:val="18"/>
                <w:color w:val="auto"/>
              </w:rPr>
              <w:t>Reports by Trustee</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8900" w:type="dxa"/>
            <w:vAlign w:val="bottom"/>
          </w:tcPr>
          <w:p>
            <w:pPr>
              <w:ind w:left="220"/>
              <w:spacing w:after="0"/>
              <w:rPr>
                <w:sz w:val="20"/>
                <w:szCs w:val="20"/>
                <w:color w:val="auto"/>
              </w:rPr>
            </w:pPr>
            <w:r>
              <w:rPr>
                <w:rFonts w:ascii="Arial" w:cs="Arial" w:eastAsia="Arial" w:hAnsi="Arial"/>
                <w:sz w:val="18"/>
                <w:szCs w:val="18"/>
                <w:color w:val="auto"/>
              </w:rPr>
              <w:t>Reports by Company</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8900" w:type="dxa"/>
            <w:vAlign w:val="bottom"/>
          </w:tcPr>
          <w:p>
            <w:pPr>
              <w:ind w:left="220"/>
              <w:spacing w:after="0"/>
              <w:rPr>
                <w:sz w:val="20"/>
                <w:szCs w:val="20"/>
                <w:color w:val="auto"/>
              </w:rPr>
            </w:pPr>
            <w:r>
              <w:rPr>
                <w:rFonts w:ascii="Arial" w:cs="Arial" w:eastAsia="Arial" w:hAnsi="Arial"/>
                <w:sz w:val="18"/>
                <w:szCs w:val="18"/>
                <w:color w:val="auto"/>
              </w:rPr>
              <w:t>Company to Furnish Trustee Names and Addresses of Holders</w:t>
            </w: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0"/>
        </w:trPr>
        <w:tc>
          <w:tcPr>
            <w:tcW w:w="10600" w:type="dxa"/>
            <w:vAlign w:val="bottom"/>
            <w:gridSpan w:val="2"/>
          </w:tcPr>
          <w:p>
            <w:pPr>
              <w:spacing w:after="0"/>
              <w:rPr>
                <w:sz w:val="20"/>
                <w:szCs w:val="20"/>
                <w:color w:val="auto"/>
              </w:rPr>
            </w:pPr>
            <w:r>
              <w:rPr>
                <w:rFonts w:ascii="Arial" w:cs="Arial" w:eastAsia="Arial" w:hAnsi="Arial"/>
                <w:sz w:val="18"/>
                <w:szCs w:val="18"/>
                <w:color w:val="auto"/>
              </w:rPr>
              <w:t>ARTICLE EIGHT—CONSOLIDATION, MERGER, SALE, LEASE OR CONVEYANCE</w:t>
            </w: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8900" w:type="dxa"/>
            <w:vAlign w:val="bottom"/>
          </w:tcPr>
          <w:p>
            <w:pPr>
              <w:ind w:left="220"/>
              <w:spacing w:after="0"/>
              <w:rPr>
                <w:sz w:val="20"/>
                <w:szCs w:val="20"/>
                <w:color w:val="auto"/>
              </w:rPr>
            </w:pPr>
            <w:r>
              <w:rPr>
                <w:rFonts w:ascii="Arial" w:cs="Arial" w:eastAsia="Arial" w:hAnsi="Arial"/>
                <w:sz w:val="18"/>
                <w:szCs w:val="18"/>
                <w:color w:val="auto"/>
                <w:w w:val="91"/>
              </w:rPr>
              <w:t>Consolidations and Mergers of Company and Sales, Leases and Conveyances Permitted Subject to Certain Conditions</w:t>
            </w: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8900" w:type="dxa"/>
            <w:vAlign w:val="bottom"/>
          </w:tcPr>
          <w:p>
            <w:pPr>
              <w:ind w:left="220"/>
              <w:spacing w:after="0"/>
              <w:rPr>
                <w:sz w:val="20"/>
                <w:szCs w:val="20"/>
                <w:color w:val="auto"/>
              </w:rPr>
            </w:pPr>
            <w:r>
              <w:rPr>
                <w:rFonts w:ascii="Arial" w:cs="Arial" w:eastAsia="Arial" w:hAnsi="Arial"/>
                <w:sz w:val="18"/>
                <w:szCs w:val="18"/>
                <w:color w:val="auto"/>
              </w:rPr>
              <w:t>Rights and Duties of Successor Corporation</w:t>
            </w: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8900" w:type="dxa"/>
            <w:vAlign w:val="bottom"/>
          </w:tcPr>
          <w:p>
            <w:pPr>
              <w:ind w:left="220"/>
              <w:spacing w:after="0"/>
              <w:rPr>
                <w:sz w:val="20"/>
                <w:szCs w:val="20"/>
                <w:color w:val="auto"/>
              </w:rPr>
            </w:pPr>
            <w:r>
              <w:rPr>
                <w:rFonts w:ascii="Arial" w:cs="Arial" w:eastAsia="Arial" w:hAnsi="Arial"/>
                <w:sz w:val="18"/>
                <w:szCs w:val="18"/>
                <w:color w:val="auto"/>
              </w:rPr>
              <w:t>Officers’ Certificate and Opinion of Counsel</w:t>
            </w: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0"/>
        </w:trPr>
        <w:tc>
          <w:tcPr>
            <w:tcW w:w="10600" w:type="dxa"/>
            <w:vAlign w:val="bottom"/>
            <w:gridSpan w:val="2"/>
          </w:tcPr>
          <w:p>
            <w:pPr>
              <w:spacing w:after="0"/>
              <w:rPr>
                <w:sz w:val="20"/>
                <w:szCs w:val="20"/>
                <w:color w:val="auto"/>
              </w:rPr>
            </w:pPr>
            <w:r>
              <w:rPr>
                <w:rFonts w:ascii="Arial" w:cs="Arial" w:eastAsia="Arial" w:hAnsi="Arial"/>
                <w:sz w:val="18"/>
                <w:szCs w:val="18"/>
                <w:color w:val="auto"/>
              </w:rPr>
              <w:t>ARTICLE NINE—SUPPLEMENTAL INDENTURES</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8900" w:type="dxa"/>
            <w:vAlign w:val="bottom"/>
          </w:tcPr>
          <w:p>
            <w:pPr>
              <w:ind w:left="220"/>
              <w:spacing w:after="0"/>
              <w:rPr>
                <w:sz w:val="20"/>
                <w:szCs w:val="20"/>
                <w:color w:val="auto"/>
              </w:rPr>
            </w:pPr>
            <w:r>
              <w:rPr>
                <w:rFonts w:ascii="Arial" w:cs="Arial" w:eastAsia="Arial" w:hAnsi="Arial"/>
                <w:sz w:val="18"/>
                <w:szCs w:val="18"/>
                <w:color w:val="auto"/>
              </w:rPr>
              <w:t>Supplemental Indentures Without Consent of Holders</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8900" w:type="dxa"/>
            <w:vAlign w:val="bottom"/>
          </w:tcPr>
          <w:p>
            <w:pPr>
              <w:ind w:left="220"/>
              <w:spacing w:after="0"/>
              <w:rPr>
                <w:sz w:val="20"/>
                <w:szCs w:val="20"/>
                <w:color w:val="auto"/>
              </w:rPr>
            </w:pPr>
            <w:r>
              <w:rPr>
                <w:rFonts w:ascii="Arial" w:cs="Arial" w:eastAsia="Arial" w:hAnsi="Arial"/>
                <w:sz w:val="18"/>
                <w:szCs w:val="18"/>
                <w:color w:val="auto"/>
              </w:rPr>
              <w:t>Supplemental Indentures with Consent of Holders</w:t>
            </w: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8900" w:type="dxa"/>
            <w:vAlign w:val="bottom"/>
          </w:tcPr>
          <w:p>
            <w:pPr>
              <w:ind w:left="220"/>
              <w:spacing w:after="0"/>
              <w:rPr>
                <w:sz w:val="20"/>
                <w:szCs w:val="20"/>
                <w:color w:val="auto"/>
              </w:rPr>
            </w:pPr>
            <w:r>
              <w:rPr>
                <w:rFonts w:ascii="Arial" w:cs="Arial" w:eastAsia="Arial" w:hAnsi="Arial"/>
                <w:sz w:val="18"/>
                <w:szCs w:val="18"/>
                <w:color w:val="auto"/>
              </w:rPr>
              <w:t>Execution of Supplemental Indentures</w:t>
            </w: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8900" w:type="dxa"/>
            <w:vAlign w:val="bottom"/>
          </w:tcPr>
          <w:p>
            <w:pPr>
              <w:ind w:left="220"/>
              <w:spacing w:after="0"/>
              <w:rPr>
                <w:sz w:val="20"/>
                <w:szCs w:val="20"/>
                <w:color w:val="auto"/>
              </w:rPr>
            </w:pPr>
            <w:r>
              <w:rPr>
                <w:rFonts w:ascii="Arial" w:cs="Arial" w:eastAsia="Arial" w:hAnsi="Arial"/>
                <w:sz w:val="18"/>
                <w:szCs w:val="18"/>
                <w:color w:val="auto"/>
              </w:rPr>
              <w:t>Effect of Supplemental Indentures</w:t>
            </w: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8900" w:type="dxa"/>
            <w:vAlign w:val="bottom"/>
          </w:tcPr>
          <w:p>
            <w:pPr>
              <w:ind w:left="220"/>
              <w:spacing w:after="0"/>
              <w:rPr>
                <w:sz w:val="20"/>
                <w:szCs w:val="20"/>
                <w:color w:val="auto"/>
              </w:rPr>
            </w:pPr>
            <w:r>
              <w:rPr>
                <w:rFonts w:ascii="Arial" w:cs="Arial" w:eastAsia="Arial" w:hAnsi="Arial"/>
                <w:sz w:val="18"/>
                <w:szCs w:val="18"/>
                <w:color w:val="auto"/>
              </w:rPr>
              <w:t>Conformity with Trust Indenture Act</w:t>
            </w: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906.</w:t>
            </w:r>
          </w:p>
        </w:tc>
        <w:tc>
          <w:tcPr>
            <w:tcW w:w="8900" w:type="dxa"/>
            <w:vAlign w:val="bottom"/>
          </w:tcPr>
          <w:p>
            <w:pPr>
              <w:ind w:left="220"/>
              <w:spacing w:after="0"/>
              <w:rPr>
                <w:sz w:val="20"/>
                <w:szCs w:val="20"/>
                <w:color w:val="auto"/>
              </w:rPr>
            </w:pPr>
            <w:r>
              <w:rPr>
                <w:rFonts w:ascii="Arial" w:cs="Arial" w:eastAsia="Arial" w:hAnsi="Arial"/>
                <w:sz w:val="18"/>
                <w:szCs w:val="18"/>
                <w:color w:val="auto"/>
              </w:rPr>
              <w:t>Reference in Securities to Supplemental Indentures</w:t>
            </w: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0960"/>
          </w:cols>
          <w:pgMar w:left="440" w:top="382" w:right="499" w:bottom="1440" w:gutter="0" w:footer="0" w:header="0"/>
        </w:sectPr>
      </w:pPr>
    </w:p>
    <w:bookmarkStart w:id="155" w:name="page156"/>
    <w:bookmarkEnd w:id="1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ARTICLE TEN—COVENANTS</w:t>
            </w: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8220" w:type="dxa"/>
            <w:vAlign w:val="bottom"/>
          </w:tcPr>
          <w:p>
            <w:pPr>
              <w:ind w:left="200"/>
              <w:spacing w:after="0"/>
              <w:rPr>
                <w:sz w:val="20"/>
                <w:szCs w:val="20"/>
                <w:color w:val="auto"/>
              </w:rPr>
            </w:pPr>
            <w:r>
              <w:rPr>
                <w:rFonts w:ascii="Arial" w:cs="Arial" w:eastAsia="Arial" w:hAnsi="Arial"/>
                <w:sz w:val="18"/>
                <w:szCs w:val="18"/>
                <w:color w:val="auto"/>
              </w:rPr>
              <w:t>Payment of Principal, Premium or Make-Whole Amount, if any; and Interest</w:t>
            </w: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8220" w:type="dxa"/>
            <w:vAlign w:val="bottom"/>
          </w:tcPr>
          <w:p>
            <w:pPr>
              <w:ind w:left="200"/>
              <w:spacing w:after="0"/>
              <w:rPr>
                <w:sz w:val="20"/>
                <w:szCs w:val="20"/>
                <w:color w:val="auto"/>
              </w:rPr>
            </w:pPr>
            <w:r>
              <w:rPr>
                <w:rFonts w:ascii="Arial" w:cs="Arial" w:eastAsia="Arial" w:hAnsi="Arial"/>
                <w:sz w:val="18"/>
                <w:szCs w:val="18"/>
                <w:color w:val="auto"/>
              </w:rPr>
              <w:t>Maintenance of Office or Agency</w:t>
            </w: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1003.</w:t>
            </w:r>
          </w:p>
        </w:tc>
        <w:tc>
          <w:tcPr>
            <w:tcW w:w="8220" w:type="dxa"/>
            <w:vAlign w:val="bottom"/>
          </w:tcPr>
          <w:p>
            <w:pPr>
              <w:ind w:left="200"/>
              <w:spacing w:after="0"/>
              <w:rPr>
                <w:sz w:val="20"/>
                <w:szCs w:val="20"/>
                <w:color w:val="auto"/>
              </w:rPr>
            </w:pPr>
            <w:r>
              <w:rPr>
                <w:rFonts w:ascii="Arial" w:cs="Arial" w:eastAsia="Arial" w:hAnsi="Arial"/>
                <w:sz w:val="18"/>
                <w:szCs w:val="18"/>
                <w:color w:val="auto"/>
              </w:rPr>
              <w:t>Money for Securities Payments to Be Held in Trust</w:t>
            </w: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1004.</w:t>
            </w:r>
          </w:p>
        </w:tc>
        <w:tc>
          <w:tcPr>
            <w:tcW w:w="8220" w:type="dxa"/>
            <w:vAlign w:val="bottom"/>
          </w:tcPr>
          <w:p>
            <w:pPr>
              <w:ind w:left="200"/>
              <w:spacing w:after="0"/>
              <w:rPr>
                <w:sz w:val="20"/>
                <w:szCs w:val="20"/>
                <w:color w:val="auto"/>
              </w:rPr>
            </w:pPr>
            <w:r>
              <w:rPr>
                <w:rFonts w:ascii="Arial" w:cs="Arial" w:eastAsia="Arial" w:hAnsi="Arial"/>
                <w:sz w:val="18"/>
                <w:szCs w:val="18"/>
                <w:color w:val="auto"/>
              </w:rPr>
              <w:t>Existence</w:t>
            </w: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1005.</w:t>
            </w:r>
          </w:p>
        </w:tc>
        <w:tc>
          <w:tcPr>
            <w:tcW w:w="8220" w:type="dxa"/>
            <w:vAlign w:val="bottom"/>
          </w:tcPr>
          <w:p>
            <w:pPr>
              <w:ind w:left="200"/>
              <w:spacing w:after="0"/>
              <w:rPr>
                <w:sz w:val="20"/>
                <w:szCs w:val="20"/>
                <w:color w:val="auto"/>
              </w:rPr>
            </w:pPr>
            <w:r>
              <w:rPr>
                <w:rFonts w:ascii="Arial" w:cs="Arial" w:eastAsia="Arial" w:hAnsi="Arial"/>
                <w:sz w:val="18"/>
                <w:szCs w:val="18"/>
                <w:color w:val="auto"/>
              </w:rPr>
              <w:t>Statement as to Compliance</w:t>
            </w: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1006.</w:t>
            </w:r>
          </w:p>
        </w:tc>
        <w:tc>
          <w:tcPr>
            <w:tcW w:w="8220" w:type="dxa"/>
            <w:vAlign w:val="bottom"/>
          </w:tcPr>
          <w:p>
            <w:pPr>
              <w:ind w:left="200"/>
              <w:spacing w:after="0"/>
              <w:rPr>
                <w:sz w:val="20"/>
                <w:szCs w:val="20"/>
                <w:color w:val="auto"/>
              </w:rPr>
            </w:pPr>
            <w:r>
              <w:rPr>
                <w:rFonts w:ascii="Arial" w:cs="Arial" w:eastAsia="Arial" w:hAnsi="Arial"/>
                <w:sz w:val="18"/>
                <w:szCs w:val="18"/>
                <w:color w:val="auto"/>
              </w:rPr>
              <w:t>Waiver of Certain Covenants</w:t>
            </w: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0"/>
        </w:trPr>
        <w:tc>
          <w:tcPr>
            <w:tcW w:w="9980" w:type="dxa"/>
            <w:vAlign w:val="bottom"/>
            <w:gridSpan w:val="2"/>
          </w:tcPr>
          <w:p>
            <w:pPr>
              <w:spacing w:after="0"/>
              <w:rPr>
                <w:sz w:val="20"/>
                <w:szCs w:val="20"/>
                <w:color w:val="auto"/>
              </w:rPr>
            </w:pPr>
            <w:r>
              <w:rPr>
                <w:rFonts w:ascii="Arial" w:cs="Arial" w:eastAsia="Arial" w:hAnsi="Arial"/>
                <w:sz w:val="18"/>
                <w:szCs w:val="18"/>
                <w:color w:val="auto"/>
              </w:rPr>
              <w:t>ARTICLE ELEVEN—REDEMPTION OF SECURITIES</w:t>
            </w: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1101.</w:t>
            </w:r>
          </w:p>
        </w:tc>
        <w:tc>
          <w:tcPr>
            <w:tcW w:w="8220" w:type="dxa"/>
            <w:vAlign w:val="bottom"/>
          </w:tcPr>
          <w:p>
            <w:pPr>
              <w:ind w:left="200"/>
              <w:spacing w:after="0"/>
              <w:rPr>
                <w:sz w:val="20"/>
                <w:szCs w:val="20"/>
                <w:color w:val="auto"/>
              </w:rPr>
            </w:pPr>
            <w:r>
              <w:rPr>
                <w:rFonts w:ascii="Arial" w:cs="Arial" w:eastAsia="Arial" w:hAnsi="Arial"/>
                <w:sz w:val="18"/>
                <w:szCs w:val="18"/>
                <w:color w:val="auto"/>
              </w:rPr>
              <w:t>Applicability of Article</w:t>
            </w: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1102.</w:t>
            </w:r>
          </w:p>
        </w:tc>
        <w:tc>
          <w:tcPr>
            <w:tcW w:w="8220" w:type="dxa"/>
            <w:vAlign w:val="bottom"/>
          </w:tcPr>
          <w:p>
            <w:pPr>
              <w:ind w:left="200"/>
              <w:spacing w:after="0"/>
              <w:rPr>
                <w:sz w:val="20"/>
                <w:szCs w:val="20"/>
                <w:color w:val="auto"/>
              </w:rPr>
            </w:pPr>
            <w:r>
              <w:rPr>
                <w:rFonts w:ascii="Arial" w:cs="Arial" w:eastAsia="Arial" w:hAnsi="Arial"/>
                <w:sz w:val="18"/>
                <w:szCs w:val="18"/>
                <w:color w:val="auto"/>
              </w:rPr>
              <w:t>Election to Redeem; Notice to Trustee</w:t>
            </w: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1103.</w:t>
            </w:r>
          </w:p>
        </w:tc>
        <w:tc>
          <w:tcPr>
            <w:tcW w:w="8220" w:type="dxa"/>
            <w:vAlign w:val="bottom"/>
          </w:tcPr>
          <w:p>
            <w:pPr>
              <w:ind w:left="200"/>
              <w:spacing w:after="0"/>
              <w:rPr>
                <w:sz w:val="20"/>
                <w:szCs w:val="20"/>
                <w:color w:val="auto"/>
              </w:rPr>
            </w:pPr>
            <w:r>
              <w:rPr>
                <w:rFonts w:ascii="Arial" w:cs="Arial" w:eastAsia="Arial" w:hAnsi="Arial"/>
                <w:sz w:val="18"/>
                <w:szCs w:val="18"/>
                <w:color w:val="auto"/>
              </w:rPr>
              <w:t>Selection by Trustee of Securities to Be Redeemed</w:t>
            </w: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1104.</w:t>
            </w:r>
          </w:p>
        </w:tc>
        <w:tc>
          <w:tcPr>
            <w:tcW w:w="8220" w:type="dxa"/>
            <w:vAlign w:val="bottom"/>
          </w:tcPr>
          <w:p>
            <w:pPr>
              <w:ind w:left="200"/>
              <w:spacing w:after="0"/>
              <w:rPr>
                <w:sz w:val="20"/>
                <w:szCs w:val="20"/>
                <w:color w:val="auto"/>
              </w:rPr>
            </w:pPr>
            <w:r>
              <w:rPr>
                <w:rFonts w:ascii="Arial" w:cs="Arial" w:eastAsia="Arial" w:hAnsi="Arial"/>
                <w:sz w:val="18"/>
                <w:szCs w:val="18"/>
                <w:color w:val="auto"/>
              </w:rPr>
              <w:t>Notice of Redemption</w:t>
            </w: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1105.</w:t>
            </w:r>
          </w:p>
        </w:tc>
        <w:tc>
          <w:tcPr>
            <w:tcW w:w="8220" w:type="dxa"/>
            <w:vAlign w:val="bottom"/>
          </w:tcPr>
          <w:p>
            <w:pPr>
              <w:ind w:left="200"/>
              <w:spacing w:after="0"/>
              <w:rPr>
                <w:sz w:val="20"/>
                <w:szCs w:val="20"/>
                <w:color w:val="auto"/>
              </w:rPr>
            </w:pPr>
            <w:r>
              <w:rPr>
                <w:rFonts w:ascii="Arial" w:cs="Arial" w:eastAsia="Arial" w:hAnsi="Arial"/>
                <w:sz w:val="18"/>
                <w:szCs w:val="18"/>
                <w:color w:val="auto"/>
              </w:rPr>
              <w:t>Deposit of Redemption Price</w:t>
            </w: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1106.</w:t>
            </w:r>
          </w:p>
        </w:tc>
        <w:tc>
          <w:tcPr>
            <w:tcW w:w="8220" w:type="dxa"/>
            <w:vAlign w:val="bottom"/>
          </w:tcPr>
          <w:p>
            <w:pPr>
              <w:ind w:left="200"/>
              <w:spacing w:after="0"/>
              <w:rPr>
                <w:sz w:val="20"/>
                <w:szCs w:val="20"/>
                <w:color w:val="auto"/>
              </w:rPr>
            </w:pPr>
            <w:r>
              <w:rPr>
                <w:rFonts w:ascii="Arial" w:cs="Arial" w:eastAsia="Arial" w:hAnsi="Arial"/>
                <w:sz w:val="18"/>
                <w:szCs w:val="18"/>
                <w:color w:val="auto"/>
              </w:rPr>
              <w:t>Securities Payable on Redemption Date</w:t>
            </w: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1107.</w:t>
            </w:r>
          </w:p>
        </w:tc>
        <w:tc>
          <w:tcPr>
            <w:tcW w:w="8220" w:type="dxa"/>
            <w:vAlign w:val="bottom"/>
          </w:tcPr>
          <w:p>
            <w:pPr>
              <w:ind w:left="200"/>
              <w:spacing w:after="0"/>
              <w:rPr>
                <w:sz w:val="20"/>
                <w:szCs w:val="20"/>
                <w:color w:val="auto"/>
              </w:rPr>
            </w:pPr>
            <w:r>
              <w:rPr>
                <w:rFonts w:ascii="Arial" w:cs="Arial" w:eastAsia="Arial" w:hAnsi="Arial"/>
                <w:sz w:val="18"/>
                <w:szCs w:val="18"/>
                <w:color w:val="auto"/>
              </w:rPr>
              <w:t>Securities Redeemed in Part</w:t>
            </w: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10"/>
        </w:trPr>
        <w:tc>
          <w:tcPr>
            <w:tcW w:w="9980" w:type="dxa"/>
            <w:vAlign w:val="bottom"/>
            <w:gridSpan w:val="2"/>
          </w:tcPr>
          <w:p>
            <w:pPr>
              <w:spacing w:after="0"/>
              <w:rPr>
                <w:sz w:val="20"/>
                <w:szCs w:val="20"/>
                <w:color w:val="auto"/>
              </w:rPr>
            </w:pPr>
            <w:r>
              <w:rPr>
                <w:rFonts w:ascii="Arial" w:cs="Arial" w:eastAsia="Arial" w:hAnsi="Arial"/>
                <w:sz w:val="18"/>
                <w:szCs w:val="18"/>
                <w:color w:val="auto"/>
              </w:rPr>
              <w:t>ARTICLE TWELVE—SINKING FUNDS</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1201.</w:t>
            </w:r>
          </w:p>
        </w:tc>
        <w:tc>
          <w:tcPr>
            <w:tcW w:w="8220" w:type="dxa"/>
            <w:vAlign w:val="bottom"/>
          </w:tcPr>
          <w:p>
            <w:pPr>
              <w:ind w:left="200"/>
              <w:spacing w:after="0"/>
              <w:rPr>
                <w:sz w:val="20"/>
                <w:szCs w:val="20"/>
                <w:color w:val="auto"/>
              </w:rPr>
            </w:pPr>
            <w:r>
              <w:rPr>
                <w:rFonts w:ascii="Arial" w:cs="Arial" w:eastAsia="Arial" w:hAnsi="Arial"/>
                <w:sz w:val="18"/>
                <w:szCs w:val="18"/>
                <w:color w:val="auto"/>
              </w:rPr>
              <w:t>Applicability of Article</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1202.</w:t>
            </w:r>
          </w:p>
        </w:tc>
        <w:tc>
          <w:tcPr>
            <w:tcW w:w="8220" w:type="dxa"/>
            <w:vAlign w:val="bottom"/>
          </w:tcPr>
          <w:p>
            <w:pPr>
              <w:ind w:left="200"/>
              <w:spacing w:after="0"/>
              <w:rPr>
                <w:sz w:val="20"/>
                <w:szCs w:val="20"/>
                <w:color w:val="auto"/>
              </w:rPr>
            </w:pPr>
            <w:r>
              <w:rPr>
                <w:rFonts w:ascii="Arial" w:cs="Arial" w:eastAsia="Arial" w:hAnsi="Arial"/>
                <w:sz w:val="18"/>
                <w:szCs w:val="18"/>
                <w:color w:val="auto"/>
              </w:rPr>
              <w:t>Satisfaction of Sinking Fund Payments with Securities</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1203.</w:t>
            </w:r>
          </w:p>
        </w:tc>
        <w:tc>
          <w:tcPr>
            <w:tcW w:w="8220" w:type="dxa"/>
            <w:vAlign w:val="bottom"/>
          </w:tcPr>
          <w:p>
            <w:pPr>
              <w:ind w:left="200"/>
              <w:spacing w:after="0"/>
              <w:rPr>
                <w:sz w:val="20"/>
                <w:szCs w:val="20"/>
                <w:color w:val="auto"/>
              </w:rPr>
            </w:pPr>
            <w:r>
              <w:rPr>
                <w:rFonts w:ascii="Arial" w:cs="Arial" w:eastAsia="Arial" w:hAnsi="Arial"/>
                <w:sz w:val="18"/>
                <w:szCs w:val="18"/>
                <w:color w:val="auto"/>
              </w:rPr>
              <w:t>Redemption of Securities for Sinking Fund</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10"/>
        </w:trPr>
        <w:tc>
          <w:tcPr>
            <w:tcW w:w="9980" w:type="dxa"/>
            <w:vAlign w:val="bottom"/>
            <w:gridSpan w:val="2"/>
          </w:tcPr>
          <w:p>
            <w:pPr>
              <w:spacing w:after="0"/>
              <w:rPr>
                <w:sz w:val="20"/>
                <w:szCs w:val="20"/>
                <w:color w:val="auto"/>
              </w:rPr>
            </w:pPr>
            <w:r>
              <w:rPr>
                <w:rFonts w:ascii="Arial" w:cs="Arial" w:eastAsia="Arial" w:hAnsi="Arial"/>
                <w:sz w:val="18"/>
                <w:szCs w:val="18"/>
                <w:color w:val="auto"/>
              </w:rPr>
              <w:t>ARTICLE THIRTEEN—REPAYMENT AT THE OPTION OF HOLDERS</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1301.</w:t>
            </w:r>
          </w:p>
        </w:tc>
        <w:tc>
          <w:tcPr>
            <w:tcW w:w="8220" w:type="dxa"/>
            <w:vAlign w:val="bottom"/>
          </w:tcPr>
          <w:p>
            <w:pPr>
              <w:ind w:left="200"/>
              <w:spacing w:after="0"/>
              <w:rPr>
                <w:sz w:val="20"/>
                <w:szCs w:val="20"/>
                <w:color w:val="auto"/>
              </w:rPr>
            </w:pPr>
            <w:r>
              <w:rPr>
                <w:rFonts w:ascii="Arial" w:cs="Arial" w:eastAsia="Arial" w:hAnsi="Arial"/>
                <w:sz w:val="18"/>
                <w:szCs w:val="18"/>
                <w:color w:val="auto"/>
              </w:rPr>
              <w:t>Applicability of Article</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1302.</w:t>
            </w:r>
          </w:p>
        </w:tc>
        <w:tc>
          <w:tcPr>
            <w:tcW w:w="8220" w:type="dxa"/>
            <w:vAlign w:val="bottom"/>
          </w:tcPr>
          <w:p>
            <w:pPr>
              <w:ind w:left="200"/>
              <w:spacing w:after="0"/>
              <w:rPr>
                <w:sz w:val="20"/>
                <w:szCs w:val="20"/>
                <w:color w:val="auto"/>
              </w:rPr>
            </w:pPr>
            <w:r>
              <w:rPr>
                <w:rFonts w:ascii="Arial" w:cs="Arial" w:eastAsia="Arial" w:hAnsi="Arial"/>
                <w:sz w:val="18"/>
                <w:szCs w:val="18"/>
                <w:color w:val="auto"/>
              </w:rPr>
              <w:t>Repayment of Securities</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1303.</w:t>
            </w:r>
          </w:p>
        </w:tc>
        <w:tc>
          <w:tcPr>
            <w:tcW w:w="8220" w:type="dxa"/>
            <w:vAlign w:val="bottom"/>
          </w:tcPr>
          <w:p>
            <w:pPr>
              <w:ind w:left="200"/>
              <w:spacing w:after="0"/>
              <w:rPr>
                <w:sz w:val="20"/>
                <w:szCs w:val="20"/>
                <w:color w:val="auto"/>
              </w:rPr>
            </w:pPr>
            <w:r>
              <w:rPr>
                <w:rFonts w:ascii="Arial" w:cs="Arial" w:eastAsia="Arial" w:hAnsi="Arial"/>
                <w:sz w:val="18"/>
                <w:szCs w:val="18"/>
                <w:color w:val="auto"/>
              </w:rPr>
              <w:t>Exercise of Option</w:t>
            </w: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1304.</w:t>
            </w:r>
          </w:p>
        </w:tc>
        <w:tc>
          <w:tcPr>
            <w:tcW w:w="8220" w:type="dxa"/>
            <w:vAlign w:val="bottom"/>
          </w:tcPr>
          <w:p>
            <w:pPr>
              <w:ind w:left="200"/>
              <w:spacing w:after="0"/>
              <w:rPr>
                <w:sz w:val="20"/>
                <w:szCs w:val="20"/>
                <w:color w:val="auto"/>
              </w:rPr>
            </w:pPr>
            <w:r>
              <w:rPr>
                <w:rFonts w:ascii="Arial" w:cs="Arial" w:eastAsia="Arial" w:hAnsi="Arial"/>
                <w:sz w:val="18"/>
                <w:szCs w:val="18"/>
                <w:color w:val="auto"/>
              </w:rPr>
              <w:t>When Securities Presented for Repayment Become Due and Payable</w:t>
            </w: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1305.</w:t>
            </w:r>
          </w:p>
        </w:tc>
        <w:tc>
          <w:tcPr>
            <w:tcW w:w="8220" w:type="dxa"/>
            <w:vAlign w:val="bottom"/>
          </w:tcPr>
          <w:p>
            <w:pPr>
              <w:ind w:left="200"/>
              <w:spacing w:after="0"/>
              <w:rPr>
                <w:sz w:val="20"/>
                <w:szCs w:val="20"/>
                <w:color w:val="auto"/>
              </w:rPr>
            </w:pPr>
            <w:r>
              <w:rPr>
                <w:rFonts w:ascii="Arial" w:cs="Arial" w:eastAsia="Arial" w:hAnsi="Arial"/>
                <w:sz w:val="18"/>
                <w:szCs w:val="18"/>
                <w:color w:val="auto"/>
              </w:rPr>
              <w:t>Securities Repaid in Part</w:t>
            </w: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0"/>
        </w:trPr>
        <w:tc>
          <w:tcPr>
            <w:tcW w:w="9980" w:type="dxa"/>
            <w:vAlign w:val="bottom"/>
            <w:gridSpan w:val="2"/>
          </w:tcPr>
          <w:p>
            <w:pPr>
              <w:spacing w:after="0"/>
              <w:rPr>
                <w:sz w:val="20"/>
                <w:szCs w:val="20"/>
                <w:color w:val="auto"/>
              </w:rPr>
            </w:pPr>
            <w:r>
              <w:rPr>
                <w:rFonts w:ascii="Arial" w:cs="Arial" w:eastAsia="Arial" w:hAnsi="Arial"/>
                <w:sz w:val="18"/>
                <w:szCs w:val="18"/>
                <w:color w:val="auto"/>
              </w:rPr>
              <w:t>ARTICLE FOURTEEN—DEFEASANCE AND COVENANT DEFEASANCE</w:t>
            </w: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1401.</w:t>
            </w:r>
          </w:p>
        </w:tc>
        <w:tc>
          <w:tcPr>
            <w:tcW w:w="8220" w:type="dxa"/>
            <w:vAlign w:val="bottom"/>
          </w:tcPr>
          <w:p>
            <w:pPr>
              <w:ind w:left="200"/>
              <w:spacing w:after="0"/>
              <w:rPr>
                <w:sz w:val="20"/>
                <w:szCs w:val="20"/>
                <w:color w:val="auto"/>
              </w:rPr>
            </w:pPr>
            <w:r>
              <w:rPr>
                <w:rFonts w:ascii="Arial" w:cs="Arial" w:eastAsia="Arial" w:hAnsi="Arial"/>
                <w:sz w:val="18"/>
                <w:szCs w:val="18"/>
                <w:color w:val="auto"/>
              </w:rPr>
              <w:t>Applicability of Article; Company’s Option to Effect Defeasance or Covenant Defeasance</w:t>
            </w: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1402.</w:t>
            </w:r>
          </w:p>
        </w:tc>
        <w:tc>
          <w:tcPr>
            <w:tcW w:w="8220" w:type="dxa"/>
            <w:vAlign w:val="bottom"/>
          </w:tcPr>
          <w:p>
            <w:pPr>
              <w:ind w:left="200"/>
              <w:spacing w:after="0"/>
              <w:rPr>
                <w:sz w:val="20"/>
                <w:szCs w:val="20"/>
                <w:color w:val="auto"/>
              </w:rPr>
            </w:pPr>
            <w:r>
              <w:rPr>
                <w:rFonts w:ascii="Arial" w:cs="Arial" w:eastAsia="Arial" w:hAnsi="Arial"/>
                <w:sz w:val="18"/>
                <w:szCs w:val="18"/>
                <w:color w:val="auto"/>
              </w:rPr>
              <w:t>Defeasance and Discharge</w:t>
            </w: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1403.</w:t>
            </w:r>
          </w:p>
        </w:tc>
        <w:tc>
          <w:tcPr>
            <w:tcW w:w="8220" w:type="dxa"/>
            <w:vAlign w:val="bottom"/>
          </w:tcPr>
          <w:p>
            <w:pPr>
              <w:ind w:left="200"/>
              <w:spacing w:after="0"/>
              <w:rPr>
                <w:sz w:val="20"/>
                <w:szCs w:val="20"/>
                <w:color w:val="auto"/>
              </w:rPr>
            </w:pPr>
            <w:r>
              <w:rPr>
                <w:rFonts w:ascii="Arial" w:cs="Arial" w:eastAsia="Arial" w:hAnsi="Arial"/>
                <w:sz w:val="18"/>
                <w:szCs w:val="18"/>
                <w:color w:val="auto"/>
              </w:rPr>
              <w:t>Covenant Defeasance</w:t>
            </w: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1404.</w:t>
            </w:r>
          </w:p>
        </w:tc>
        <w:tc>
          <w:tcPr>
            <w:tcW w:w="8220" w:type="dxa"/>
            <w:vAlign w:val="bottom"/>
          </w:tcPr>
          <w:p>
            <w:pPr>
              <w:ind w:left="200"/>
              <w:spacing w:after="0"/>
              <w:rPr>
                <w:sz w:val="20"/>
                <w:szCs w:val="20"/>
                <w:color w:val="auto"/>
              </w:rPr>
            </w:pPr>
            <w:r>
              <w:rPr>
                <w:rFonts w:ascii="Arial" w:cs="Arial" w:eastAsia="Arial" w:hAnsi="Arial"/>
                <w:sz w:val="18"/>
                <w:szCs w:val="18"/>
                <w:color w:val="auto"/>
              </w:rPr>
              <w:t>Conditions to Defeasance or Covenant Defeasance</w:t>
            </w: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1405.</w:t>
            </w:r>
          </w:p>
        </w:tc>
        <w:tc>
          <w:tcPr>
            <w:tcW w:w="8220" w:type="dxa"/>
            <w:vAlign w:val="bottom"/>
          </w:tcPr>
          <w:p>
            <w:pPr>
              <w:ind w:left="200"/>
              <w:spacing w:after="0"/>
              <w:rPr>
                <w:sz w:val="20"/>
                <w:szCs w:val="20"/>
                <w:color w:val="auto"/>
              </w:rPr>
            </w:pPr>
            <w:r>
              <w:rPr>
                <w:rFonts w:ascii="Arial" w:cs="Arial" w:eastAsia="Arial" w:hAnsi="Arial"/>
                <w:sz w:val="18"/>
                <w:szCs w:val="18"/>
                <w:color w:val="auto"/>
              </w:rPr>
              <w:t>Deposited Money and Government Obligations to Be Held in Trust; Other Miscellaneous Provisions</w:t>
            </w: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0"/>
        </w:trPr>
        <w:tc>
          <w:tcPr>
            <w:tcW w:w="9980" w:type="dxa"/>
            <w:vAlign w:val="bottom"/>
            <w:gridSpan w:val="2"/>
          </w:tcPr>
          <w:p>
            <w:pPr>
              <w:spacing w:after="0"/>
              <w:rPr>
                <w:sz w:val="20"/>
                <w:szCs w:val="20"/>
                <w:color w:val="auto"/>
              </w:rPr>
            </w:pPr>
            <w:r>
              <w:rPr>
                <w:rFonts w:ascii="Arial" w:cs="Arial" w:eastAsia="Arial" w:hAnsi="Arial"/>
                <w:sz w:val="18"/>
                <w:szCs w:val="18"/>
                <w:color w:val="auto"/>
              </w:rPr>
              <w:t>ARTICLE FIFTEEN—MEETINGS OF HOLDERS OF SECURITIES</w:t>
            </w: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1501.</w:t>
            </w:r>
          </w:p>
        </w:tc>
        <w:tc>
          <w:tcPr>
            <w:tcW w:w="8220" w:type="dxa"/>
            <w:vAlign w:val="bottom"/>
          </w:tcPr>
          <w:p>
            <w:pPr>
              <w:ind w:left="200"/>
              <w:spacing w:after="0"/>
              <w:rPr>
                <w:sz w:val="20"/>
                <w:szCs w:val="20"/>
                <w:color w:val="auto"/>
              </w:rPr>
            </w:pPr>
            <w:r>
              <w:rPr>
                <w:rFonts w:ascii="Arial" w:cs="Arial" w:eastAsia="Arial" w:hAnsi="Arial"/>
                <w:sz w:val="18"/>
                <w:szCs w:val="18"/>
                <w:color w:val="auto"/>
              </w:rPr>
              <w:t>Purposes for Which Meetings May Be Called</w:t>
            </w: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1502.</w:t>
            </w:r>
          </w:p>
        </w:tc>
        <w:tc>
          <w:tcPr>
            <w:tcW w:w="8220" w:type="dxa"/>
            <w:vAlign w:val="bottom"/>
          </w:tcPr>
          <w:p>
            <w:pPr>
              <w:ind w:left="200"/>
              <w:spacing w:after="0"/>
              <w:rPr>
                <w:sz w:val="20"/>
                <w:szCs w:val="20"/>
                <w:color w:val="auto"/>
              </w:rPr>
            </w:pPr>
            <w:r>
              <w:rPr>
                <w:rFonts w:ascii="Arial" w:cs="Arial" w:eastAsia="Arial" w:hAnsi="Arial"/>
                <w:sz w:val="18"/>
                <w:szCs w:val="18"/>
                <w:color w:val="auto"/>
              </w:rPr>
              <w:t>Call, Notice and Place of Meetings</w:t>
            </w: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1503.</w:t>
            </w:r>
          </w:p>
        </w:tc>
        <w:tc>
          <w:tcPr>
            <w:tcW w:w="8220" w:type="dxa"/>
            <w:vAlign w:val="bottom"/>
          </w:tcPr>
          <w:p>
            <w:pPr>
              <w:ind w:left="200"/>
              <w:spacing w:after="0"/>
              <w:rPr>
                <w:sz w:val="20"/>
                <w:szCs w:val="20"/>
                <w:color w:val="auto"/>
              </w:rPr>
            </w:pPr>
            <w:r>
              <w:rPr>
                <w:rFonts w:ascii="Arial" w:cs="Arial" w:eastAsia="Arial" w:hAnsi="Arial"/>
                <w:sz w:val="18"/>
                <w:szCs w:val="18"/>
                <w:color w:val="auto"/>
              </w:rPr>
              <w:t>Persons Entitled to Vote at Meetings</w:t>
            </w: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1504.</w:t>
            </w:r>
          </w:p>
        </w:tc>
        <w:tc>
          <w:tcPr>
            <w:tcW w:w="8220" w:type="dxa"/>
            <w:vAlign w:val="bottom"/>
          </w:tcPr>
          <w:p>
            <w:pPr>
              <w:ind w:left="200"/>
              <w:spacing w:after="0"/>
              <w:rPr>
                <w:sz w:val="20"/>
                <w:szCs w:val="20"/>
                <w:color w:val="auto"/>
              </w:rPr>
            </w:pPr>
            <w:r>
              <w:rPr>
                <w:rFonts w:ascii="Arial" w:cs="Arial" w:eastAsia="Arial" w:hAnsi="Arial"/>
                <w:sz w:val="18"/>
                <w:szCs w:val="18"/>
                <w:color w:val="auto"/>
              </w:rPr>
              <w:t>Quorum; Action</w:t>
            </w: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1505.</w:t>
            </w:r>
          </w:p>
        </w:tc>
        <w:tc>
          <w:tcPr>
            <w:tcW w:w="8220" w:type="dxa"/>
            <w:vAlign w:val="bottom"/>
          </w:tcPr>
          <w:p>
            <w:pPr>
              <w:ind w:left="200"/>
              <w:spacing w:after="0"/>
              <w:rPr>
                <w:sz w:val="20"/>
                <w:szCs w:val="20"/>
                <w:color w:val="auto"/>
              </w:rPr>
            </w:pPr>
            <w:r>
              <w:rPr>
                <w:rFonts w:ascii="Arial" w:cs="Arial" w:eastAsia="Arial" w:hAnsi="Arial"/>
                <w:sz w:val="18"/>
                <w:szCs w:val="18"/>
                <w:color w:val="auto"/>
              </w:rPr>
              <w:t>Determination of Voting Rights; Conduct and Adjournment of Meetings</w:t>
            </w: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1506.</w:t>
            </w:r>
          </w:p>
        </w:tc>
        <w:tc>
          <w:tcPr>
            <w:tcW w:w="8220" w:type="dxa"/>
            <w:vAlign w:val="bottom"/>
          </w:tcPr>
          <w:p>
            <w:pPr>
              <w:ind w:left="200"/>
              <w:spacing w:after="0"/>
              <w:rPr>
                <w:sz w:val="20"/>
                <w:szCs w:val="20"/>
                <w:color w:val="auto"/>
              </w:rPr>
            </w:pPr>
            <w:r>
              <w:rPr>
                <w:rFonts w:ascii="Arial" w:cs="Arial" w:eastAsia="Arial" w:hAnsi="Arial"/>
                <w:sz w:val="18"/>
                <w:szCs w:val="18"/>
                <w:color w:val="auto"/>
              </w:rPr>
              <w:t>Counting Votes and Recording Action of Meetings</w:t>
            </w: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0"/>
        </w:trPr>
        <w:tc>
          <w:tcPr>
            <w:tcW w:w="9980" w:type="dxa"/>
            <w:vAlign w:val="bottom"/>
            <w:gridSpan w:val="2"/>
          </w:tcPr>
          <w:p>
            <w:pPr>
              <w:spacing w:after="0"/>
              <w:rPr>
                <w:sz w:val="20"/>
                <w:szCs w:val="20"/>
                <w:color w:val="auto"/>
              </w:rPr>
            </w:pPr>
            <w:r>
              <w:rPr>
                <w:rFonts w:ascii="Arial" w:cs="Arial" w:eastAsia="Arial" w:hAnsi="Arial"/>
                <w:sz w:val="18"/>
                <w:szCs w:val="18"/>
                <w:color w:val="auto"/>
              </w:rPr>
              <w:t>ARTICLE SIXTEEN—SUBORDINATION OF SECURITIES</w:t>
            </w: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1601.</w:t>
            </w:r>
          </w:p>
        </w:tc>
        <w:tc>
          <w:tcPr>
            <w:tcW w:w="8220" w:type="dxa"/>
            <w:vAlign w:val="bottom"/>
          </w:tcPr>
          <w:p>
            <w:pPr>
              <w:ind w:left="200"/>
              <w:spacing w:after="0"/>
              <w:rPr>
                <w:sz w:val="20"/>
                <w:szCs w:val="20"/>
                <w:color w:val="auto"/>
              </w:rPr>
            </w:pPr>
            <w:r>
              <w:rPr>
                <w:rFonts w:ascii="Arial" w:cs="Arial" w:eastAsia="Arial" w:hAnsi="Arial"/>
                <w:sz w:val="18"/>
                <w:szCs w:val="18"/>
                <w:color w:val="auto"/>
              </w:rPr>
              <w:t>Agreement to Subordinate</w:t>
            </w: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1602.</w:t>
            </w:r>
          </w:p>
        </w:tc>
        <w:tc>
          <w:tcPr>
            <w:tcW w:w="8220" w:type="dxa"/>
            <w:vAlign w:val="bottom"/>
          </w:tcPr>
          <w:p>
            <w:pPr>
              <w:ind w:left="200"/>
              <w:spacing w:after="0"/>
              <w:rPr>
                <w:sz w:val="20"/>
                <w:szCs w:val="20"/>
                <w:color w:val="auto"/>
              </w:rPr>
            </w:pPr>
            <w:r>
              <w:rPr>
                <w:rFonts w:ascii="Arial" w:cs="Arial" w:eastAsia="Arial" w:hAnsi="Arial"/>
                <w:sz w:val="18"/>
                <w:szCs w:val="18"/>
                <w:color w:val="auto"/>
              </w:rPr>
              <w:t>Payment Over of Proceeds upon Dissolution, Etc</w:t>
            </w: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1603.</w:t>
            </w:r>
          </w:p>
        </w:tc>
        <w:tc>
          <w:tcPr>
            <w:tcW w:w="8220" w:type="dxa"/>
            <w:vAlign w:val="bottom"/>
          </w:tcPr>
          <w:p>
            <w:pPr>
              <w:ind w:left="200"/>
              <w:spacing w:after="0"/>
              <w:rPr>
                <w:sz w:val="20"/>
                <w:szCs w:val="20"/>
                <w:color w:val="auto"/>
              </w:rPr>
            </w:pPr>
            <w:r>
              <w:rPr>
                <w:rFonts w:ascii="Arial" w:cs="Arial" w:eastAsia="Arial" w:hAnsi="Arial"/>
                <w:sz w:val="18"/>
                <w:szCs w:val="18"/>
                <w:color w:val="auto"/>
              </w:rPr>
              <w:t>No Payment When Senior Indebtedness in Default.</w:t>
            </w: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1604.</w:t>
            </w:r>
          </w:p>
        </w:tc>
        <w:tc>
          <w:tcPr>
            <w:tcW w:w="8220" w:type="dxa"/>
            <w:vAlign w:val="bottom"/>
          </w:tcPr>
          <w:p>
            <w:pPr>
              <w:ind w:left="200"/>
              <w:spacing w:after="0"/>
              <w:rPr>
                <w:sz w:val="20"/>
                <w:szCs w:val="20"/>
                <w:color w:val="auto"/>
              </w:rPr>
            </w:pPr>
            <w:r>
              <w:rPr>
                <w:rFonts w:ascii="Arial" w:cs="Arial" w:eastAsia="Arial" w:hAnsi="Arial"/>
                <w:sz w:val="18"/>
                <w:szCs w:val="18"/>
                <w:color w:val="auto"/>
              </w:rPr>
              <w:t>Reliance by Senior Indebtedness on Subordination Provisions</w:t>
            </w: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1605.</w:t>
            </w:r>
          </w:p>
        </w:tc>
        <w:tc>
          <w:tcPr>
            <w:tcW w:w="8220" w:type="dxa"/>
            <w:vAlign w:val="bottom"/>
          </w:tcPr>
          <w:p>
            <w:pPr>
              <w:ind w:left="200"/>
              <w:spacing w:after="0"/>
              <w:rPr>
                <w:sz w:val="20"/>
                <w:szCs w:val="20"/>
                <w:color w:val="auto"/>
              </w:rPr>
            </w:pPr>
            <w:r>
              <w:rPr>
                <w:rFonts w:ascii="Arial" w:cs="Arial" w:eastAsia="Arial" w:hAnsi="Arial"/>
                <w:sz w:val="18"/>
                <w:szCs w:val="18"/>
                <w:color w:val="auto"/>
              </w:rPr>
              <w:t>Subrogation to Rights of Holders of Senior Indebtedness</w:t>
            </w: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1606.</w:t>
            </w:r>
          </w:p>
        </w:tc>
        <w:tc>
          <w:tcPr>
            <w:tcW w:w="8220" w:type="dxa"/>
            <w:vAlign w:val="bottom"/>
          </w:tcPr>
          <w:p>
            <w:pPr>
              <w:ind w:left="200"/>
              <w:spacing w:after="0"/>
              <w:rPr>
                <w:sz w:val="20"/>
                <w:szCs w:val="20"/>
                <w:color w:val="auto"/>
              </w:rPr>
            </w:pPr>
            <w:r>
              <w:rPr>
                <w:rFonts w:ascii="Arial" w:cs="Arial" w:eastAsia="Arial" w:hAnsi="Arial"/>
                <w:sz w:val="18"/>
                <w:szCs w:val="18"/>
                <w:color w:val="auto"/>
              </w:rPr>
              <w:t>Provisions Solely to Define Relative Rights</w:t>
            </w: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1607.</w:t>
            </w:r>
          </w:p>
        </w:tc>
        <w:tc>
          <w:tcPr>
            <w:tcW w:w="8220" w:type="dxa"/>
            <w:vAlign w:val="bottom"/>
          </w:tcPr>
          <w:p>
            <w:pPr>
              <w:ind w:left="200"/>
              <w:spacing w:after="0"/>
              <w:rPr>
                <w:sz w:val="20"/>
                <w:szCs w:val="20"/>
                <w:color w:val="auto"/>
              </w:rPr>
            </w:pPr>
            <w:r>
              <w:rPr>
                <w:rFonts w:ascii="Arial" w:cs="Arial" w:eastAsia="Arial" w:hAnsi="Arial"/>
                <w:sz w:val="18"/>
                <w:szCs w:val="18"/>
                <w:color w:val="auto"/>
              </w:rPr>
              <w:t>Trustee to Effectuate Subordination</w:t>
            </w: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1608.</w:t>
            </w:r>
          </w:p>
        </w:tc>
        <w:tc>
          <w:tcPr>
            <w:tcW w:w="8220" w:type="dxa"/>
            <w:vAlign w:val="bottom"/>
          </w:tcPr>
          <w:p>
            <w:pPr>
              <w:ind w:left="200"/>
              <w:spacing w:after="0"/>
              <w:rPr>
                <w:sz w:val="20"/>
                <w:szCs w:val="20"/>
                <w:color w:val="auto"/>
              </w:rPr>
            </w:pPr>
            <w:r>
              <w:rPr>
                <w:rFonts w:ascii="Arial" w:cs="Arial" w:eastAsia="Arial" w:hAnsi="Arial"/>
                <w:sz w:val="18"/>
                <w:szCs w:val="18"/>
                <w:color w:val="auto"/>
              </w:rPr>
              <w:t>No Waiver of Subordination Provisions</w:t>
            </w: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1609.</w:t>
            </w:r>
          </w:p>
        </w:tc>
        <w:tc>
          <w:tcPr>
            <w:tcW w:w="8220" w:type="dxa"/>
            <w:vAlign w:val="bottom"/>
          </w:tcPr>
          <w:p>
            <w:pPr>
              <w:ind w:left="200"/>
              <w:spacing w:after="0"/>
              <w:rPr>
                <w:sz w:val="20"/>
                <w:szCs w:val="20"/>
                <w:color w:val="auto"/>
              </w:rPr>
            </w:pPr>
            <w:r>
              <w:rPr>
                <w:rFonts w:ascii="Arial" w:cs="Arial" w:eastAsia="Arial" w:hAnsi="Arial"/>
                <w:sz w:val="18"/>
                <w:szCs w:val="18"/>
                <w:color w:val="auto"/>
              </w:rPr>
              <w:t>Notice to Trustee</w:t>
            </w: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1610.</w:t>
            </w:r>
          </w:p>
        </w:tc>
        <w:tc>
          <w:tcPr>
            <w:tcW w:w="8220" w:type="dxa"/>
            <w:vAlign w:val="bottom"/>
          </w:tcPr>
          <w:p>
            <w:pPr>
              <w:ind w:left="200"/>
              <w:spacing w:after="0"/>
              <w:rPr>
                <w:sz w:val="20"/>
                <w:szCs w:val="20"/>
                <w:color w:val="auto"/>
              </w:rPr>
            </w:pPr>
            <w:r>
              <w:rPr>
                <w:rFonts w:ascii="Arial" w:cs="Arial" w:eastAsia="Arial" w:hAnsi="Arial"/>
                <w:sz w:val="18"/>
                <w:szCs w:val="18"/>
                <w:color w:val="auto"/>
              </w:rPr>
              <w:t>Reliance on Judicial Order or Certificate of Liquidating Agent</w:t>
            </w: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1">
            <w:col w:w="10960"/>
          </w:cols>
          <w:pgMar w:left="440" w:top="274" w:right="499" w:bottom="1440" w:gutter="0" w:footer="0" w:header="0"/>
        </w:sectPr>
      </w:pPr>
    </w:p>
    <w:bookmarkStart w:id="156" w:name="page157"/>
    <w:bookmarkEnd w:id="1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1611.</w:t>
            </w:r>
          </w:p>
        </w:tc>
        <w:tc>
          <w:tcPr>
            <w:tcW w:w="7640" w:type="dxa"/>
            <w:vAlign w:val="bottom"/>
          </w:tcPr>
          <w:p>
            <w:pPr>
              <w:ind w:left="200"/>
              <w:spacing w:after="0"/>
              <w:rPr>
                <w:sz w:val="20"/>
                <w:szCs w:val="20"/>
                <w:color w:val="auto"/>
              </w:rPr>
            </w:pPr>
            <w:r>
              <w:rPr>
                <w:rFonts w:ascii="Arial" w:cs="Arial" w:eastAsia="Arial" w:hAnsi="Arial"/>
                <w:sz w:val="18"/>
                <w:szCs w:val="18"/>
                <w:color w:val="auto"/>
              </w:rPr>
              <w:t>Trustee Not Fiduciary for Holders of Senior Indebtedness</w:t>
            </w:r>
          </w:p>
        </w:tc>
        <w:tc>
          <w:tcPr>
            <w:tcW w:w="1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1612.</w:t>
            </w:r>
          </w:p>
        </w:tc>
        <w:tc>
          <w:tcPr>
            <w:tcW w:w="7640" w:type="dxa"/>
            <w:vAlign w:val="bottom"/>
          </w:tcPr>
          <w:p>
            <w:pPr>
              <w:ind w:left="200"/>
              <w:spacing w:after="0"/>
              <w:rPr>
                <w:sz w:val="20"/>
                <w:szCs w:val="20"/>
                <w:color w:val="auto"/>
              </w:rPr>
            </w:pPr>
            <w:r>
              <w:rPr>
                <w:rFonts w:ascii="Arial" w:cs="Arial" w:eastAsia="Arial" w:hAnsi="Arial"/>
                <w:sz w:val="18"/>
                <w:szCs w:val="18"/>
                <w:color w:val="auto"/>
              </w:rPr>
              <w:t>Rights of Trustee as Holder of Senior Indebtedness; Preservation of Trustee’s Rights</w:t>
            </w:r>
          </w:p>
        </w:tc>
        <w:tc>
          <w:tcPr>
            <w:tcW w:w="1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1613.</w:t>
            </w:r>
          </w:p>
        </w:tc>
        <w:tc>
          <w:tcPr>
            <w:tcW w:w="7640" w:type="dxa"/>
            <w:vAlign w:val="bottom"/>
          </w:tcPr>
          <w:p>
            <w:pPr>
              <w:ind w:left="200"/>
              <w:spacing w:after="0"/>
              <w:rPr>
                <w:sz w:val="20"/>
                <w:szCs w:val="20"/>
                <w:color w:val="auto"/>
              </w:rPr>
            </w:pPr>
            <w:r>
              <w:rPr>
                <w:rFonts w:ascii="Arial" w:cs="Arial" w:eastAsia="Arial" w:hAnsi="Arial"/>
                <w:sz w:val="18"/>
                <w:szCs w:val="18"/>
                <w:color w:val="auto"/>
              </w:rPr>
              <w:t>Article Applicable to Paying Agents</w:t>
            </w:r>
          </w:p>
        </w:tc>
        <w:tc>
          <w:tcPr>
            <w:tcW w:w="1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10"/>
        </w:trPr>
        <w:tc>
          <w:tcPr>
            <w:tcW w:w="9400" w:type="dxa"/>
            <w:vAlign w:val="bottom"/>
            <w:gridSpan w:val="2"/>
          </w:tcPr>
          <w:p>
            <w:pPr>
              <w:spacing w:after="0"/>
              <w:rPr>
                <w:sz w:val="20"/>
                <w:szCs w:val="20"/>
                <w:color w:val="auto"/>
              </w:rPr>
            </w:pPr>
            <w:r>
              <w:rPr>
                <w:rFonts w:ascii="Arial" w:cs="Arial" w:eastAsia="Arial" w:hAnsi="Arial"/>
                <w:sz w:val="18"/>
                <w:szCs w:val="18"/>
                <w:color w:val="auto"/>
              </w:rPr>
              <w:t>ARTICLE SEVENTEEN—CONVERSION OF SECURITIES</w:t>
            </w:r>
          </w:p>
        </w:tc>
        <w:tc>
          <w:tcPr>
            <w:tcW w:w="1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1701.</w:t>
            </w:r>
          </w:p>
        </w:tc>
        <w:tc>
          <w:tcPr>
            <w:tcW w:w="7640" w:type="dxa"/>
            <w:vAlign w:val="bottom"/>
          </w:tcPr>
          <w:p>
            <w:pPr>
              <w:ind w:left="200"/>
              <w:spacing w:after="0"/>
              <w:rPr>
                <w:sz w:val="20"/>
                <w:szCs w:val="20"/>
                <w:color w:val="auto"/>
              </w:rPr>
            </w:pPr>
            <w:r>
              <w:rPr>
                <w:rFonts w:ascii="Arial" w:cs="Arial" w:eastAsia="Arial" w:hAnsi="Arial"/>
                <w:sz w:val="18"/>
                <w:szCs w:val="18"/>
                <w:color w:val="auto"/>
              </w:rPr>
              <w:t>Applicability of Article; Conversion Privilege and Conversion Price</w:t>
            </w:r>
          </w:p>
        </w:tc>
        <w:tc>
          <w:tcPr>
            <w:tcW w:w="1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1702.</w:t>
            </w:r>
          </w:p>
        </w:tc>
        <w:tc>
          <w:tcPr>
            <w:tcW w:w="7640" w:type="dxa"/>
            <w:vAlign w:val="bottom"/>
          </w:tcPr>
          <w:p>
            <w:pPr>
              <w:ind w:left="200"/>
              <w:spacing w:after="0"/>
              <w:rPr>
                <w:sz w:val="20"/>
                <w:szCs w:val="20"/>
                <w:color w:val="auto"/>
              </w:rPr>
            </w:pPr>
            <w:r>
              <w:rPr>
                <w:rFonts w:ascii="Arial" w:cs="Arial" w:eastAsia="Arial" w:hAnsi="Arial"/>
                <w:sz w:val="18"/>
                <w:szCs w:val="18"/>
                <w:color w:val="auto"/>
              </w:rPr>
              <w:t>Exercise of Conversion Privilege</w:t>
            </w:r>
          </w:p>
        </w:tc>
        <w:tc>
          <w:tcPr>
            <w:tcW w:w="1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1703.</w:t>
            </w:r>
          </w:p>
        </w:tc>
        <w:tc>
          <w:tcPr>
            <w:tcW w:w="7640" w:type="dxa"/>
            <w:vAlign w:val="bottom"/>
          </w:tcPr>
          <w:p>
            <w:pPr>
              <w:ind w:left="200"/>
              <w:spacing w:after="0"/>
              <w:rPr>
                <w:sz w:val="20"/>
                <w:szCs w:val="20"/>
                <w:color w:val="auto"/>
              </w:rPr>
            </w:pPr>
            <w:r>
              <w:rPr>
                <w:rFonts w:ascii="Arial" w:cs="Arial" w:eastAsia="Arial" w:hAnsi="Arial"/>
                <w:sz w:val="18"/>
                <w:szCs w:val="18"/>
                <w:color w:val="auto"/>
              </w:rPr>
              <w:t>Fractions of Shares</w:t>
            </w:r>
          </w:p>
        </w:tc>
        <w:tc>
          <w:tcPr>
            <w:tcW w:w="1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1704.</w:t>
            </w:r>
          </w:p>
        </w:tc>
        <w:tc>
          <w:tcPr>
            <w:tcW w:w="7640" w:type="dxa"/>
            <w:vAlign w:val="bottom"/>
          </w:tcPr>
          <w:p>
            <w:pPr>
              <w:ind w:left="200"/>
              <w:spacing w:after="0"/>
              <w:rPr>
                <w:sz w:val="20"/>
                <w:szCs w:val="20"/>
                <w:color w:val="auto"/>
              </w:rPr>
            </w:pPr>
            <w:r>
              <w:rPr>
                <w:rFonts w:ascii="Arial" w:cs="Arial" w:eastAsia="Arial" w:hAnsi="Arial"/>
                <w:sz w:val="18"/>
                <w:szCs w:val="18"/>
                <w:color w:val="auto"/>
              </w:rPr>
              <w:t>Adjustment of Conversion Price</w:t>
            </w:r>
          </w:p>
        </w:tc>
        <w:tc>
          <w:tcPr>
            <w:tcW w:w="1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1705.</w:t>
            </w:r>
          </w:p>
        </w:tc>
        <w:tc>
          <w:tcPr>
            <w:tcW w:w="7640" w:type="dxa"/>
            <w:vAlign w:val="bottom"/>
          </w:tcPr>
          <w:p>
            <w:pPr>
              <w:ind w:left="200"/>
              <w:spacing w:after="0"/>
              <w:rPr>
                <w:sz w:val="20"/>
                <w:szCs w:val="20"/>
                <w:color w:val="auto"/>
              </w:rPr>
            </w:pPr>
            <w:r>
              <w:rPr>
                <w:rFonts w:ascii="Arial" w:cs="Arial" w:eastAsia="Arial" w:hAnsi="Arial"/>
                <w:sz w:val="18"/>
                <w:szCs w:val="18"/>
                <w:color w:val="auto"/>
              </w:rPr>
              <w:t>Notice of Adjustments of Conversion Price</w:t>
            </w:r>
          </w:p>
        </w:tc>
        <w:tc>
          <w:tcPr>
            <w:tcW w:w="1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1706.</w:t>
            </w:r>
          </w:p>
        </w:tc>
        <w:tc>
          <w:tcPr>
            <w:tcW w:w="7640" w:type="dxa"/>
            <w:vAlign w:val="bottom"/>
          </w:tcPr>
          <w:p>
            <w:pPr>
              <w:ind w:left="200"/>
              <w:spacing w:after="0"/>
              <w:rPr>
                <w:sz w:val="20"/>
                <w:szCs w:val="20"/>
                <w:color w:val="auto"/>
              </w:rPr>
            </w:pPr>
            <w:r>
              <w:rPr>
                <w:rFonts w:ascii="Arial" w:cs="Arial" w:eastAsia="Arial" w:hAnsi="Arial"/>
                <w:sz w:val="18"/>
                <w:szCs w:val="18"/>
                <w:color w:val="auto"/>
              </w:rPr>
              <w:t>Notice of Certain Corporate Action</w:t>
            </w:r>
          </w:p>
        </w:tc>
        <w:tc>
          <w:tcPr>
            <w:tcW w:w="1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1707.</w:t>
            </w:r>
          </w:p>
        </w:tc>
        <w:tc>
          <w:tcPr>
            <w:tcW w:w="7640" w:type="dxa"/>
            <w:vAlign w:val="bottom"/>
          </w:tcPr>
          <w:p>
            <w:pPr>
              <w:ind w:left="200"/>
              <w:spacing w:after="0"/>
              <w:rPr>
                <w:sz w:val="20"/>
                <w:szCs w:val="20"/>
                <w:color w:val="auto"/>
              </w:rPr>
            </w:pPr>
            <w:r>
              <w:rPr>
                <w:rFonts w:ascii="Arial" w:cs="Arial" w:eastAsia="Arial" w:hAnsi="Arial"/>
                <w:sz w:val="18"/>
                <w:szCs w:val="18"/>
                <w:color w:val="auto"/>
              </w:rPr>
              <w:t>Company to Reserve Ordinary Shares</w:t>
            </w:r>
          </w:p>
        </w:tc>
        <w:tc>
          <w:tcPr>
            <w:tcW w:w="1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1708.</w:t>
            </w:r>
          </w:p>
        </w:tc>
        <w:tc>
          <w:tcPr>
            <w:tcW w:w="7640" w:type="dxa"/>
            <w:vAlign w:val="bottom"/>
          </w:tcPr>
          <w:p>
            <w:pPr>
              <w:ind w:left="200"/>
              <w:spacing w:after="0"/>
              <w:rPr>
                <w:sz w:val="20"/>
                <w:szCs w:val="20"/>
                <w:color w:val="auto"/>
              </w:rPr>
            </w:pPr>
            <w:r>
              <w:rPr>
                <w:rFonts w:ascii="Arial" w:cs="Arial" w:eastAsia="Arial" w:hAnsi="Arial"/>
                <w:sz w:val="18"/>
                <w:szCs w:val="18"/>
                <w:color w:val="auto"/>
              </w:rPr>
              <w:t>Taxes on Conversion</w:t>
            </w:r>
          </w:p>
        </w:tc>
        <w:tc>
          <w:tcPr>
            <w:tcW w:w="1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1709.</w:t>
            </w:r>
          </w:p>
        </w:tc>
        <w:tc>
          <w:tcPr>
            <w:tcW w:w="7640" w:type="dxa"/>
            <w:vAlign w:val="bottom"/>
          </w:tcPr>
          <w:p>
            <w:pPr>
              <w:ind w:left="200"/>
              <w:spacing w:after="0"/>
              <w:rPr>
                <w:sz w:val="20"/>
                <w:szCs w:val="20"/>
                <w:color w:val="auto"/>
              </w:rPr>
            </w:pPr>
            <w:r>
              <w:rPr>
                <w:rFonts w:ascii="Arial" w:cs="Arial" w:eastAsia="Arial" w:hAnsi="Arial"/>
                <w:sz w:val="18"/>
                <w:szCs w:val="18"/>
                <w:color w:val="auto"/>
              </w:rPr>
              <w:t>Covenants as to Ordinary Shares</w:t>
            </w:r>
          </w:p>
        </w:tc>
        <w:tc>
          <w:tcPr>
            <w:tcW w:w="1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1710.</w:t>
            </w:r>
          </w:p>
        </w:tc>
        <w:tc>
          <w:tcPr>
            <w:tcW w:w="7640" w:type="dxa"/>
            <w:vAlign w:val="bottom"/>
          </w:tcPr>
          <w:p>
            <w:pPr>
              <w:ind w:left="200"/>
              <w:spacing w:after="0"/>
              <w:rPr>
                <w:sz w:val="20"/>
                <w:szCs w:val="20"/>
                <w:color w:val="auto"/>
              </w:rPr>
            </w:pPr>
            <w:r>
              <w:rPr>
                <w:rFonts w:ascii="Arial" w:cs="Arial" w:eastAsia="Arial" w:hAnsi="Arial"/>
                <w:sz w:val="18"/>
                <w:szCs w:val="18"/>
                <w:color w:val="auto"/>
              </w:rPr>
              <w:t>Cancellation of Converted Securities</w:t>
            </w:r>
          </w:p>
        </w:tc>
        <w:tc>
          <w:tcPr>
            <w:tcW w:w="1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1711.</w:t>
            </w:r>
          </w:p>
        </w:tc>
        <w:tc>
          <w:tcPr>
            <w:tcW w:w="7640" w:type="dxa"/>
            <w:vAlign w:val="bottom"/>
          </w:tcPr>
          <w:p>
            <w:pPr>
              <w:ind w:left="200"/>
              <w:spacing w:after="0"/>
              <w:rPr>
                <w:sz w:val="20"/>
                <w:szCs w:val="20"/>
                <w:color w:val="auto"/>
              </w:rPr>
            </w:pPr>
            <w:r>
              <w:rPr>
                <w:rFonts w:ascii="Arial" w:cs="Arial" w:eastAsia="Arial" w:hAnsi="Arial"/>
                <w:sz w:val="18"/>
                <w:szCs w:val="18"/>
                <w:color w:val="auto"/>
              </w:rPr>
              <w:t>Provisions in Case of Consolidation, Merger or Sale of Assets; Special Distributions</w:t>
            </w:r>
          </w:p>
        </w:tc>
        <w:tc>
          <w:tcPr>
            <w:tcW w:w="1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1712.</w:t>
            </w:r>
          </w:p>
        </w:tc>
        <w:tc>
          <w:tcPr>
            <w:tcW w:w="7640" w:type="dxa"/>
            <w:vAlign w:val="bottom"/>
          </w:tcPr>
          <w:p>
            <w:pPr>
              <w:ind w:left="200"/>
              <w:spacing w:after="0"/>
              <w:rPr>
                <w:sz w:val="20"/>
                <w:szCs w:val="20"/>
                <w:color w:val="auto"/>
              </w:rPr>
            </w:pPr>
            <w:r>
              <w:rPr>
                <w:rFonts w:ascii="Arial" w:cs="Arial" w:eastAsia="Arial" w:hAnsi="Arial"/>
                <w:sz w:val="18"/>
                <w:szCs w:val="18"/>
                <w:color w:val="auto"/>
              </w:rPr>
              <w:t>Trustee Adjustment Disclaimer; Company Determination Final</w:t>
            </w:r>
          </w:p>
        </w:tc>
        <w:tc>
          <w:tcPr>
            <w:tcW w:w="1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760" w:type="dxa"/>
            <w:vAlign w:val="bottom"/>
          </w:tcPr>
          <w:p>
            <w:pPr>
              <w:ind w:left="360"/>
              <w:spacing w:after="0"/>
              <w:rPr>
                <w:sz w:val="20"/>
                <w:szCs w:val="20"/>
                <w:color w:val="auto"/>
              </w:rPr>
            </w:pPr>
            <w:r>
              <w:rPr>
                <w:rFonts w:ascii="Arial" w:cs="Arial" w:eastAsia="Arial" w:hAnsi="Arial"/>
                <w:sz w:val="18"/>
                <w:szCs w:val="18"/>
                <w:color w:val="auto"/>
              </w:rPr>
              <w:t>SECTION 1713.</w:t>
            </w:r>
          </w:p>
        </w:tc>
        <w:tc>
          <w:tcPr>
            <w:tcW w:w="7640" w:type="dxa"/>
            <w:vAlign w:val="bottom"/>
          </w:tcPr>
          <w:p>
            <w:pPr>
              <w:ind w:left="200"/>
              <w:spacing w:after="0"/>
              <w:rPr>
                <w:sz w:val="20"/>
                <w:szCs w:val="20"/>
                <w:color w:val="auto"/>
              </w:rPr>
            </w:pPr>
            <w:r>
              <w:rPr>
                <w:rFonts w:ascii="Arial" w:cs="Arial" w:eastAsia="Arial" w:hAnsi="Arial"/>
                <w:sz w:val="18"/>
                <w:szCs w:val="18"/>
                <w:color w:val="auto"/>
              </w:rPr>
              <w:t>When No Adjustment Required</w:t>
            </w:r>
          </w:p>
        </w:tc>
        <w:tc>
          <w:tcPr>
            <w:tcW w:w="1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1760" w:type="dxa"/>
            <w:vAlign w:val="bottom"/>
          </w:tcPr>
          <w:p>
            <w:pPr>
              <w:ind w:left="360"/>
              <w:spacing w:after="0"/>
              <w:rPr>
                <w:sz w:val="20"/>
                <w:szCs w:val="20"/>
                <w:color w:val="auto"/>
              </w:rPr>
            </w:pPr>
            <w:r>
              <w:rPr>
                <w:rFonts w:ascii="Arial" w:cs="Arial" w:eastAsia="Arial" w:hAnsi="Arial"/>
                <w:sz w:val="18"/>
                <w:szCs w:val="18"/>
                <w:color w:val="auto"/>
              </w:rPr>
              <w:t>SECTION 1714.</w:t>
            </w:r>
          </w:p>
        </w:tc>
        <w:tc>
          <w:tcPr>
            <w:tcW w:w="7640" w:type="dxa"/>
            <w:vAlign w:val="bottom"/>
          </w:tcPr>
          <w:p>
            <w:pPr>
              <w:ind w:left="200"/>
              <w:spacing w:after="0"/>
              <w:rPr>
                <w:sz w:val="20"/>
                <w:szCs w:val="20"/>
                <w:color w:val="auto"/>
              </w:rPr>
            </w:pPr>
            <w:r>
              <w:rPr>
                <w:rFonts w:ascii="Arial" w:cs="Arial" w:eastAsia="Arial" w:hAnsi="Arial"/>
                <w:sz w:val="18"/>
                <w:szCs w:val="18"/>
                <w:color w:val="auto"/>
              </w:rPr>
              <w:t>Equivalent Adjustments</w:t>
            </w:r>
          </w:p>
        </w:tc>
        <w:tc>
          <w:tcPr>
            <w:tcW w:w="1560" w:type="dxa"/>
            <w:vAlign w:val="bottom"/>
          </w:tcPr>
          <w:p>
            <w:pPr>
              <w:jc w:val="right"/>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0960"/>
          </w:cols>
          <w:pgMar w:left="440" w:top="274" w:right="49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CENTESSA PHARMACEUTICALS PLC</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Reconciliation and tie between the Trust Indenture Act of 1939, as amended (the “Trust Indenture Act” or “TIA”) and the Indenture, dated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__________, 20__.</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20" w:type="dxa"/>
            <w:vAlign w:val="bottom"/>
            <w:gridSpan w:val="2"/>
          </w:tcPr>
          <w:p>
            <w:pPr>
              <w:spacing w:after="0"/>
              <w:rPr>
                <w:sz w:val="20"/>
                <w:szCs w:val="20"/>
                <w:color w:val="auto"/>
              </w:rPr>
            </w:pPr>
            <w:r>
              <w:rPr>
                <w:rFonts w:ascii="Arial" w:cs="Arial" w:eastAsia="Arial" w:hAnsi="Arial"/>
                <w:sz w:val="14"/>
                <w:szCs w:val="14"/>
                <w:color w:val="auto"/>
              </w:rPr>
              <w:t>Trust Indenture</w:t>
            </w:r>
          </w:p>
        </w:tc>
        <w:tc>
          <w:tcPr>
            <w:tcW w:w="900" w:type="dxa"/>
            <w:vAlign w:val="bottom"/>
          </w:tcPr>
          <w:p>
            <w:pPr>
              <w:ind w:left="180"/>
              <w:spacing w:after="0"/>
              <w:rPr>
                <w:sz w:val="20"/>
                <w:szCs w:val="20"/>
                <w:color w:val="auto"/>
              </w:rPr>
            </w:pPr>
            <w:r>
              <w:rPr>
                <w:rFonts w:ascii="Arial" w:cs="Arial" w:eastAsia="Arial" w:hAnsi="Arial"/>
                <w:sz w:val="14"/>
                <w:szCs w:val="14"/>
                <w:color w:val="auto"/>
              </w:rPr>
              <w:t>Indenture</w:t>
            </w:r>
          </w:p>
        </w:tc>
      </w:tr>
      <w:tr>
        <w:trPr>
          <w:trHeight w:val="175"/>
        </w:trPr>
        <w:tc>
          <w:tcPr>
            <w:tcW w:w="10120" w:type="dxa"/>
            <w:vAlign w:val="bottom"/>
            <w:gridSpan w:val="2"/>
          </w:tcPr>
          <w:p>
            <w:pPr>
              <w:spacing w:after="0"/>
              <w:rPr>
                <w:sz w:val="20"/>
                <w:szCs w:val="20"/>
                <w:color w:val="auto"/>
              </w:rPr>
            </w:pPr>
            <w:r>
              <w:rPr>
                <w:rFonts w:ascii="Arial" w:cs="Arial" w:eastAsia="Arial" w:hAnsi="Arial"/>
                <w:sz w:val="14"/>
                <w:szCs w:val="14"/>
                <w:color w:val="auto"/>
              </w:rPr>
              <w:t>Act Section</w:t>
            </w:r>
          </w:p>
        </w:tc>
        <w:tc>
          <w:tcPr>
            <w:tcW w:w="900" w:type="dxa"/>
            <w:vAlign w:val="bottom"/>
          </w:tcPr>
          <w:p>
            <w:pPr>
              <w:ind w:left="240"/>
              <w:spacing w:after="0"/>
              <w:rPr>
                <w:sz w:val="20"/>
                <w:szCs w:val="20"/>
                <w:color w:val="auto"/>
              </w:rPr>
            </w:pPr>
            <w:r>
              <w:rPr>
                <w:rFonts w:ascii="Arial" w:cs="Arial" w:eastAsia="Arial" w:hAnsi="Arial"/>
                <w:sz w:val="14"/>
                <w:szCs w:val="14"/>
                <w:color w:val="auto"/>
              </w:rPr>
              <w:t>Section</w:t>
            </w:r>
          </w:p>
        </w:tc>
      </w:tr>
      <w:tr>
        <w:trPr>
          <w:trHeight w:val="195"/>
        </w:trPr>
        <w:tc>
          <w:tcPr>
            <w:tcW w:w="9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 310(a)(1)</w:t>
            </w: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607</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(a)(2)</w:t>
            </w:r>
          </w:p>
        </w:tc>
        <w:tc>
          <w:tcPr>
            <w:tcW w:w="900" w:type="dxa"/>
            <w:vAlign w:val="bottom"/>
          </w:tcPr>
          <w:p>
            <w:pPr>
              <w:spacing w:after="0"/>
              <w:rPr>
                <w:sz w:val="20"/>
                <w:szCs w:val="20"/>
                <w:color w:val="auto"/>
              </w:rPr>
            </w:pPr>
            <w:r>
              <w:rPr>
                <w:rFonts w:ascii="Arial" w:cs="Arial" w:eastAsia="Arial" w:hAnsi="Arial"/>
                <w:sz w:val="18"/>
                <w:szCs w:val="18"/>
                <w:color w:val="auto"/>
              </w:rPr>
              <w:t>607</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(b)</w:t>
            </w:r>
          </w:p>
        </w:tc>
        <w:tc>
          <w:tcPr>
            <w:tcW w:w="900" w:type="dxa"/>
            <w:vAlign w:val="bottom"/>
          </w:tcPr>
          <w:p>
            <w:pPr>
              <w:spacing w:after="0"/>
              <w:rPr>
                <w:sz w:val="20"/>
                <w:szCs w:val="20"/>
                <w:color w:val="auto"/>
              </w:rPr>
            </w:pPr>
            <w:r>
              <w:rPr>
                <w:rFonts w:ascii="Arial" w:cs="Arial" w:eastAsia="Arial" w:hAnsi="Arial"/>
                <w:sz w:val="18"/>
                <w:szCs w:val="18"/>
                <w:color w:val="auto"/>
              </w:rPr>
              <w:t>607, 608</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 312(c)</w:t>
            </w:r>
          </w:p>
        </w:tc>
        <w:tc>
          <w:tcPr>
            <w:tcW w:w="900" w:type="dxa"/>
            <w:vAlign w:val="bottom"/>
          </w:tcPr>
          <w:p>
            <w:pPr>
              <w:spacing w:after="0"/>
              <w:rPr>
                <w:sz w:val="20"/>
                <w:szCs w:val="20"/>
                <w:color w:val="auto"/>
              </w:rPr>
            </w:pPr>
            <w:r>
              <w:rPr>
                <w:rFonts w:ascii="Arial" w:cs="Arial" w:eastAsia="Arial" w:hAnsi="Arial"/>
                <w:sz w:val="18"/>
                <w:szCs w:val="18"/>
                <w:color w:val="auto"/>
              </w:rPr>
              <w:t>701</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 313(a)</w:t>
            </w:r>
          </w:p>
        </w:tc>
        <w:tc>
          <w:tcPr>
            <w:tcW w:w="900" w:type="dxa"/>
            <w:vAlign w:val="bottom"/>
          </w:tcPr>
          <w:p>
            <w:pPr>
              <w:spacing w:after="0"/>
              <w:rPr>
                <w:sz w:val="20"/>
                <w:szCs w:val="20"/>
                <w:color w:val="auto"/>
              </w:rPr>
            </w:pPr>
            <w:r>
              <w:rPr>
                <w:rFonts w:ascii="Arial" w:cs="Arial" w:eastAsia="Arial" w:hAnsi="Arial"/>
                <w:sz w:val="18"/>
                <w:szCs w:val="18"/>
                <w:color w:val="auto"/>
              </w:rPr>
              <w:t>702</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(c)</w:t>
            </w:r>
          </w:p>
        </w:tc>
        <w:tc>
          <w:tcPr>
            <w:tcW w:w="900" w:type="dxa"/>
            <w:vAlign w:val="bottom"/>
          </w:tcPr>
          <w:p>
            <w:pPr>
              <w:spacing w:after="0"/>
              <w:rPr>
                <w:sz w:val="20"/>
                <w:szCs w:val="20"/>
                <w:color w:val="auto"/>
              </w:rPr>
            </w:pPr>
            <w:r>
              <w:rPr>
                <w:rFonts w:ascii="Arial" w:cs="Arial" w:eastAsia="Arial" w:hAnsi="Arial"/>
                <w:sz w:val="18"/>
                <w:szCs w:val="18"/>
                <w:color w:val="auto"/>
              </w:rPr>
              <w:t>702</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 314(a)</w:t>
            </w:r>
          </w:p>
        </w:tc>
        <w:tc>
          <w:tcPr>
            <w:tcW w:w="900" w:type="dxa"/>
            <w:vAlign w:val="bottom"/>
          </w:tcPr>
          <w:p>
            <w:pPr>
              <w:spacing w:after="0"/>
              <w:rPr>
                <w:sz w:val="20"/>
                <w:szCs w:val="20"/>
                <w:color w:val="auto"/>
              </w:rPr>
            </w:pPr>
            <w:r>
              <w:rPr>
                <w:rFonts w:ascii="Arial" w:cs="Arial" w:eastAsia="Arial" w:hAnsi="Arial"/>
                <w:sz w:val="18"/>
                <w:szCs w:val="18"/>
                <w:color w:val="auto"/>
              </w:rPr>
              <w:t>703</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(a)(4)</w:t>
            </w:r>
          </w:p>
        </w:tc>
        <w:tc>
          <w:tcPr>
            <w:tcW w:w="900" w:type="dxa"/>
            <w:vAlign w:val="bottom"/>
          </w:tcPr>
          <w:p>
            <w:pPr>
              <w:spacing w:after="0"/>
              <w:rPr>
                <w:sz w:val="20"/>
                <w:szCs w:val="20"/>
                <w:color w:val="auto"/>
              </w:rPr>
            </w:pPr>
            <w:r>
              <w:rPr>
                <w:rFonts w:ascii="Arial" w:cs="Arial" w:eastAsia="Arial" w:hAnsi="Arial"/>
                <w:sz w:val="18"/>
                <w:szCs w:val="18"/>
                <w:color w:val="auto"/>
              </w:rPr>
              <w:t>1005</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(c)(1)</w:t>
            </w:r>
          </w:p>
        </w:tc>
        <w:tc>
          <w:tcPr>
            <w:tcW w:w="900" w:type="dxa"/>
            <w:vAlign w:val="bottom"/>
          </w:tcPr>
          <w:p>
            <w:pPr>
              <w:spacing w:after="0"/>
              <w:rPr>
                <w:sz w:val="20"/>
                <w:szCs w:val="20"/>
                <w:color w:val="auto"/>
              </w:rPr>
            </w:pPr>
            <w:r>
              <w:rPr>
                <w:rFonts w:ascii="Arial" w:cs="Arial" w:eastAsia="Arial" w:hAnsi="Arial"/>
                <w:sz w:val="18"/>
                <w:szCs w:val="18"/>
                <w:color w:val="auto"/>
              </w:rPr>
              <w:t>102</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(c)(2)</w:t>
            </w:r>
          </w:p>
        </w:tc>
        <w:tc>
          <w:tcPr>
            <w:tcW w:w="900" w:type="dxa"/>
            <w:vAlign w:val="bottom"/>
          </w:tcPr>
          <w:p>
            <w:pPr>
              <w:spacing w:after="0"/>
              <w:rPr>
                <w:sz w:val="20"/>
                <w:szCs w:val="20"/>
                <w:color w:val="auto"/>
              </w:rPr>
            </w:pPr>
            <w:r>
              <w:rPr>
                <w:rFonts w:ascii="Arial" w:cs="Arial" w:eastAsia="Arial" w:hAnsi="Arial"/>
                <w:sz w:val="18"/>
                <w:szCs w:val="18"/>
                <w:color w:val="auto"/>
              </w:rPr>
              <w:t>102</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(e)</w:t>
            </w:r>
          </w:p>
        </w:tc>
        <w:tc>
          <w:tcPr>
            <w:tcW w:w="900" w:type="dxa"/>
            <w:vAlign w:val="bottom"/>
          </w:tcPr>
          <w:p>
            <w:pPr>
              <w:spacing w:after="0"/>
              <w:rPr>
                <w:sz w:val="20"/>
                <w:szCs w:val="20"/>
                <w:color w:val="auto"/>
              </w:rPr>
            </w:pPr>
            <w:r>
              <w:rPr>
                <w:rFonts w:ascii="Arial" w:cs="Arial" w:eastAsia="Arial" w:hAnsi="Arial"/>
                <w:sz w:val="18"/>
                <w:szCs w:val="18"/>
                <w:color w:val="auto"/>
              </w:rPr>
              <w:t>102</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 315(b)</w:t>
            </w:r>
          </w:p>
        </w:tc>
        <w:tc>
          <w:tcPr>
            <w:tcW w:w="900" w:type="dxa"/>
            <w:vAlign w:val="bottom"/>
          </w:tcPr>
          <w:p>
            <w:pPr>
              <w:spacing w:after="0"/>
              <w:rPr>
                <w:sz w:val="20"/>
                <w:szCs w:val="20"/>
                <w:color w:val="auto"/>
              </w:rPr>
            </w:pPr>
            <w:r>
              <w:rPr>
                <w:rFonts w:ascii="Arial" w:cs="Arial" w:eastAsia="Arial" w:hAnsi="Arial"/>
                <w:sz w:val="18"/>
                <w:szCs w:val="18"/>
                <w:color w:val="auto"/>
              </w:rPr>
              <w:t>601</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 316(a) (last sentence) 101(“Outstanding”)</w:t>
            </w:r>
          </w:p>
        </w:tc>
        <w:tc>
          <w:tcPr>
            <w:tcW w:w="900" w:type="dxa"/>
            <w:vAlign w:val="bottom"/>
          </w:tcPr>
          <w:p>
            <w:pPr>
              <w:spacing w:after="0"/>
              <w:rPr>
                <w:sz w:val="18"/>
                <w:szCs w:val="18"/>
                <w:color w:val="auto"/>
              </w:rPr>
            </w:pP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(a)(1)(A)</w:t>
            </w:r>
          </w:p>
        </w:tc>
        <w:tc>
          <w:tcPr>
            <w:tcW w:w="900" w:type="dxa"/>
            <w:vAlign w:val="bottom"/>
          </w:tcPr>
          <w:p>
            <w:pPr>
              <w:spacing w:after="0"/>
              <w:rPr>
                <w:sz w:val="20"/>
                <w:szCs w:val="20"/>
                <w:color w:val="auto"/>
              </w:rPr>
            </w:pPr>
            <w:r>
              <w:rPr>
                <w:rFonts w:ascii="Arial" w:cs="Arial" w:eastAsia="Arial" w:hAnsi="Arial"/>
                <w:sz w:val="18"/>
                <w:szCs w:val="18"/>
                <w:color w:val="auto"/>
              </w:rPr>
              <w:t>502, 512</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(a)(1)(B)</w:t>
            </w:r>
          </w:p>
        </w:tc>
        <w:tc>
          <w:tcPr>
            <w:tcW w:w="900" w:type="dxa"/>
            <w:vAlign w:val="bottom"/>
          </w:tcPr>
          <w:p>
            <w:pPr>
              <w:spacing w:after="0"/>
              <w:rPr>
                <w:sz w:val="20"/>
                <w:szCs w:val="20"/>
                <w:color w:val="auto"/>
              </w:rPr>
            </w:pPr>
            <w:r>
              <w:rPr>
                <w:rFonts w:ascii="Arial" w:cs="Arial" w:eastAsia="Arial" w:hAnsi="Arial"/>
                <w:sz w:val="18"/>
                <w:szCs w:val="18"/>
                <w:color w:val="auto"/>
              </w:rPr>
              <w:t>513</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(b)</w:t>
            </w:r>
          </w:p>
        </w:tc>
        <w:tc>
          <w:tcPr>
            <w:tcW w:w="900" w:type="dxa"/>
            <w:vAlign w:val="bottom"/>
          </w:tcPr>
          <w:p>
            <w:pPr>
              <w:spacing w:after="0"/>
              <w:rPr>
                <w:sz w:val="20"/>
                <w:szCs w:val="20"/>
                <w:color w:val="auto"/>
              </w:rPr>
            </w:pPr>
            <w:r>
              <w:rPr>
                <w:rFonts w:ascii="Arial" w:cs="Arial" w:eastAsia="Arial" w:hAnsi="Arial"/>
                <w:sz w:val="18"/>
                <w:szCs w:val="18"/>
                <w:color w:val="auto"/>
              </w:rPr>
              <w:t>508</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 317(a)(1)</w:t>
            </w:r>
          </w:p>
        </w:tc>
        <w:tc>
          <w:tcPr>
            <w:tcW w:w="900" w:type="dxa"/>
            <w:vAlign w:val="bottom"/>
          </w:tcPr>
          <w:p>
            <w:pPr>
              <w:spacing w:after="0"/>
              <w:rPr>
                <w:sz w:val="20"/>
                <w:szCs w:val="20"/>
                <w:color w:val="auto"/>
              </w:rPr>
            </w:pPr>
            <w:r>
              <w:rPr>
                <w:rFonts w:ascii="Arial" w:cs="Arial" w:eastAsia="Arial" w:hAnsi="Arial"/>
                <w:sz w:val="18"/>
                <w:szCs w:val="18"/>
                <w:color w:val="auto"/>
              </w:rPr>
              <w:t>503</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(a)(2)</w:t>
            </w:r>
          </w:p>
        </w:tc>
        <w:tc>
          <w:tcPr>
            <w:tcW w:w="900" w:type="dxa"/>
            <w:vAlign w:val="bottom"/>
          </w:tcPr>
          <w:p>
            <w:pPr>
              <w:spacing w:after="0"/>
              <w:rPr>
                <w:sz w:val="20"/>
                <w:szCs w:val="20"/>
                <w:color w:val="auto"/>
              </w:rPr>
            </w:pPr>
            <w:r>
              <w:rPr>
                <w:rFonts w:ascii="Arial" w:cs="Arial" w:eastAsia="Arial" w:hAnsi="Arial"/>
                <w:sz w:val="18"/>
                <w:szCs w:val="18"/>
                <w:color w:val="auto"/>
              </w:rPr>
              <w:t>504</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 318(a)</w:t>
            </w:r>
          </w:p>
        </w:tc>
        <w:tc>
          <w:tcPr>
            <w:tcW w:w="900" w:type="dxa"/>
            <w:vAlign w:val="bottom"/>
          </w:tcPr>
          <w:p>
            <w:pPr>
              <w:spacing w:after="0"/>
              <w:rPr>
                <w:sz w:val="20"/>
                <w:szCs w:val="20"/>
                <w:color w:val="auto"/>
              </w:rPr>
            </w:pPr>
            <w:r>
              <w:rPr>
                <w:rFonts w:ascii="Arial" w:cs="Arial" w:eastAsia="Arial" w:hAnsi="Arial"/>
                <w:sz w:val="18"/>
                <w:szCs w:val="18"/>
                <w:color w:val="auto"/>
              </w:rPr>
              <w:t>111</w:t>
            </w:r>
          </w:p>
        </w:tc>
      </w:tr>
      <w:tr>
        <w:trPr>
          <w:trHeight w:val="230"/>
        </w:trPr>
        <w:tc>
          <w:tcPr>
            <w:tcW w:w="10120" w:type="dxa"/>
            <w:vAlign w:val="bottom"/>
            <w:gridSpan w:val="2"/>
          </w:tcPr>
          <w:p>
            <w:pPr>
              <w:spacing w:after="0"/>
              <w:rPr>
                <w:sz w:val="20"/>
                <w:szCs w:val="20"/>
                <w:color w:val="auto"/>
              </w:rPr>
            </w:pPr>
            <w:r>
              <w:rPr>
                <w:rFonts w:ascii="Arial" w:cs="Arial" w:eastAsia="Arial" w:hAnsi="Arial"/>
                <w:sz w:val="18"/>
                <w:szCs w:val="18"/>
                <w:color w:val="auto"/>
              </w:rPr>
              <w:t>(c)</w:t>
            </w:r>
          </w:p>
        </w:tc>
        <w:tc>
          <w:tcPr>
            <w:tcW w:w="900" w:type="dxa"/>
            <w:vAlign w:val="bottom"/>
          </w:tcPr>
          <w:p>
            <w:pPr>
              <w:spacing w:after="0"/>
              <w:rPr>
                <w:sz w:val="20"/>
                <w:szCs w:val="20"/>
                <w:color w:val="auto"/>
              </w:rPr>
            </w:pPr>
            <w:r>
              <w:rPr>
                <w:rFonts w:ascii="Arial" w:cs="Arial" w:eastAsia="Arial" w:hAnsi="Arial"/>
                <w:sz w:val="18"/>
                <w:szCs w:val="18"/>
                <w:color w:val="auto"/>
              </w:rPr>
              <w:t>111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225"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Attention should also be directed to Section 318(c) of the Trust Indenture Act, which provides that the provisions of Sections 310 to and including 317 of the Trust Indenture Act are a part of and govern every qualified indenture, whether or not physically contained therein.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INDENTURE, dated as of__________, 20__, between CENTESSA PHARMACEUTICALS PLC, a company incorporated under the laws of England</w:t>
      </w:r>
    </w:p>
    <w:p>
      <w:pPr>
        <w:spacing w:after="0" w:line="46"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color w:val="auto"/>
        </w:rPr>
        <w:t>and Wales (hereinafter called the “Company”), having its principal office at 3rd Floor, 1 Ashley Rd, Altrincham, Cheshire, United Kingdom, WA14 2DT, and , as Trustee hereunder (hereinafter called the “Trustee”), having a Corporate Trust Office at ________________.</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4" w:right="439" w:bottom="1440" w:gutter="0" w:footer="0" w:header="0"/>
        </w:sectPr>
      </w:pPr>
    </w:p>
    <w:bookmarkStart w:id="158" w:name="page159"/>
    <w:bookmarkEnd w:id="15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RECITALS OF THE COMPANY</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deems it necessary to issue from time to time for its lawful purposes subordinated debt securities (hereinafter called the “Securities”) evidencing its unsecured and subordinated indebtedness, and has duly authorized the execution and delivery of this Indenture to provide for the issuance from time to time of the Securities, to be issued in one or more Series as provided in this Indenture.</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Indenture is subject to the provisions of the Trust Indenture Act of 1939, as amended (the “Trust Indenture Act” or “TIA”), that are deemed to be incorporated into this Indenture and shall, to the extent applicable, be governed by such provisions.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All things necessary to make this Indenture a valid and legally binding agreement of the Company, in accordance with its terms, have been done.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THIS INDENTURE WITNESSETH:</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a Series thereof, as follows: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ONE—DEFINITIONS AND OTHER PROVISIONS OF GENERAL APPLICATION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r>
        <w:rPr>
          <w:rFonts w:ascii="Arial" w:cs="Arial" w:eastAsia="Arial" w:hAnsi="Arial"/>
          <w:sz w:val="17"/>
          <w:szCs w:val="17"/>
          <w:color w:val="auto"/>
        </w:rPr>
        <w:t>. For all purposes of this Indenture, except as otherwise expressly provided or unless the context otherwise requires:</w:t>
      </w:r>
    </w:p>
    <w:p>
      <w:pPr>
        <w:spacing w:after="0" w:line="129" w:lineRule="exact"/>
        <w:rPr>
          <w:sz w:val="20"/>
          <w:szCs w:val="20"/>
          <w:color w:val="auto"/>
        </w:rPr>
      </w:pPr>
    </w:p>
    <w:p>
      <w:pPr>
        <w:ind w:left="700" w:hanging="264"/>
        <w:spacing w:after="0"/>
        <w:tabs>
          <w:tab w:leader="none" w:pos="7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terms defined in this Article have the meanings assigned to them in this Article, and include the plural as well as the singular;</w:t>
      </w:r>
    </w:p>
    <w:p>
      <w:pPr>
        <w:spacing w:after="0" w:line="117" w:lineRule="exact"/>
        <w:rPr>
          <w:rFonts w:ascii="Arial" w:cs="Arial" w:eastAsia="Arial" w:hAnsi="Arial"/>
          <w:sz w:val="18"/>
          <w:szCs w:val="18"/>
          <w:color w:val="auto"/>
        </w:rPr>
      </w:pPr>
    </w:p>
    <w:p>
      <w:pPr>
        <w:jc w:val="both"/>
        <w:ind w:left="440" w:right="120" w:hanging="4"/>
        <w:spacing w:after="0" w:line="263" w:lineRule="auto"/>
        <w:tabs>
          <w:tab w:leader="none" w:pos="69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TIA, either directly or by reference therein, have the meanings assigned to them therein, and the terms “cash transactions” and “self-liquidating paper,” as used in TIA Section 311, shall have the meanings assigned to them in the rules of the Commission adopted under the TIA;</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GAAP;</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reference to an “Article” or a “Section” refers to an Article or Section, as the case may be, of this Indenture; and</w:t>
      </w:r>
    </w:p>
    <w:p>
      <w:pPr>
        <w:spacing w:after="0" w:line="117" w:lineRule="exact"/>
        <w:rPr>
          <w:rFonts w:ascii="Arial" w:cs="Arial" w:eastAsia="Arial" w:hAnsi="Arial"/>
          <w:sz w:val="18"/>
          <w:szCs w:val="18"/>
          <w:color w:val="auto"/>
        </w:rPr>
      </w:pPr>
    </w:p>
    <w:p>
      <w:pPr>
        <w:ind w:left="440" w:right="280" w:hanging="4"/>
        <w:spacing w:after="0" w:line="277" w:lineRule="auto"/>
        <w:tabs>
          <w:tab w:leader="none" w:pos="69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when used with respect to any Holder, has the meaning specified in Section 104.</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Authenticating Agent</w:t>
      </w:r>
      <w:r>
        <w:rPr>
          <w:rFonts w:ascii="Arial" w:cs="Arial" w:eastAsia="Arial" w:hAnsi="Arial"/>
          <w:sz w:val="18"/>
          <w:szCs w:val="18"/>
          <w:color w:val="auto"/>
        </w:rPr>
        <w:t>” means any Person authorized by the Trustee pursuant to Section 611 hereof to act on behalf of the Trustee to authenticate Securities of one or more Series.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159" w:name="page160"/>
    <w:bookmarkEnd w:id="159"/>
    <w:p>
      <w:pPr>
        <w:ind w:left="4"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Authorized Newspaper</w:t>
      </w:r>
      <w:r>
        <w:rPr>
          <w:rFonts w:ascii="Arial" w:cs="Arial" w:eastAsia="Arial" w:hAnsi="Arial"/>
          <w:sz w:val="18"/>
          <w:szCs w:val="18"/>
          <w:color w:val="auto"/>
        </w:rPr>
        <w:t>” means a newspaper, printed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Whenever successive publications are required to be made in Authorized Newspapers, the successive publications may be made in the same or in different Authorized Newspapers in the same city meeting the foregoing requirements and in each case on any Business Day.</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Bearer Security</w:t>
      </w:r>
      <w:r>
        <w:rPr>
          <w:rFonts w:ascii="Arial" w:cs="Arial" w:eastAsia="Arial" w:hAnsi="Arial"/>
          <w:sz w:val="18"/>
          <w:szCs w:val="18"/>
          <w:color w:val="auto"/>
        </w:rPr>
        <w:t>” means any Security established pursuant to Section 201 which is payable to the bearer.</w:t>
      </w:r>
    </w:p>
    <w:p>
      <w:pPr>
        <w:spacing w:after="0" w:line="225" w:lineRule="exact"/>
        <w:rPr>
          <w:sz w:val="20"/>
          <w:szCs w:val="20"/>
          <w:color w:val="auto"/>
        </w:rPr>
      </w:pPr>
    </w:p>
    <w:p>
      <w:pPr>
        <w:jc w:val="both"/>
        <w:ind w:left="4" w:right="4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when used with reference to the Company, means the board of directors of the Company, or any committee of that board duly authorized to act hereunder, or any director or directors and/or officer or officers of the Company, to whom the board or committee shall have duly delegated its authority.</w:t>
      </w:r>
    </w:p>
    <w:p>
      <w:pPr>
        <w:spacing w:after="0" w:line="184" w:lineRule="exact"/>
        <w:rPr>
          <w:sz w:val="20"/>
          <w:szCs w:val="20"/>
          <w:color w:val="auto"/>
        </w:rPr>
      </w:pPr>
    </w:p>
    <w:p>
      <w:pPr>
        <w:ind w:left="4" w:right="1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Resolution</w:t>
      </w:r>
      <w:r>
        <w:rPr>
          <w:rFonts w:ascii="Arial" w:cs="Arial" w:eastAsia="Arial" w:hAnsi="Arial"/>
          <w:sz w:val="16"/>
          <w:szCs w:val="16"/>
          <w:color w:val="auto"/>
        </w:rPr>
        <w:t>” means a copy of (1) a resolution certified by the Secretary or an Assistant Secretary of the Company to have been duly adopted by the Board of Directors or a duly authorized committee of the Board of Directors and to be in full force and effect on the date of such certification, or</w:t>
      </w:r>
    </w:p>
    <w:p>
      <w:pPr>
        <w:ind w:left="4" w:right="140" w:hanging="4"/>
        <w:spacing w:after="0" w:line="302" w:lineRule="auto"/>
        <w:tabs>
          <w:tab w:leader="none" w:pos="25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 certificate signed by the director or directors and/or officer or officers to whom the Board of Directors shall have duly delegated its authority, together with a resolution certified by the Secretary or an Assistant Secretary of the Company to have been duly adopted by the Board of Directors and to be in full force and effect on the date of such certification authorizing such delegation, and, in each case, delivered to the Trustee.</w:t>
      </w:r>
    </w:p>
    <w:p>
      <w:pPr>
        <w:spacing w:after="0" w:line="155"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when used with respect to any Place of Payment or any other particular location referred to in this Indenture or in the Securities, means, unless otherwise specified with respect to any Securities issued pursuant to Section 301, any day, other than a Saturday or Sunday, that is neither a legal holiday nor a day on which banking institutions in that Place of Payment or particular location are authorized or required by law, regulation or executive order to close.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means Clearstream Banking Luxembourg, société anonyme, or its successor.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Price</w:t>
      </w:r>
      <w:r>
        <w:rPr>
          <w:rFonts w:ascii="Arial" w:cs="Arial" w:eastAsia="Arial" w:hAnsi="Arial"/>
          <w:sz w:val="17"/>
          <w:szCs w:val="17"/>
          <w:color w:val="auto"/>
        </w:rPr>
        <w:t>” means the closing price of an American Depositary Share of the Company as reported on the Nasdaq Global Select Market.</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the regulations thereunder.</w:t>
      </w:r>
    </w:p>
    <w:p>
      <w:pPr>
        <w:spacing w:after="0" w:line="225" w:lineRule="exact"/>
        <w:rPr>
          <w:sz w:val="20"/>
          <w:szCs w:val="20"/>
          <w:color w:val="auto"/>
        </w:rPr>
      </w:pPr>
    </w:p>
    <w:p>
      <w:pPr>
        <w:ind w:left="4" w:right="1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execution of this instrument such Commission is not existing and performing the duties now assigned to it under the Trust Indenture Act, then the body performing such duties on such date.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Depository</w:t>
      </w:r>
      <w:r>
        <w:rPr>
          <w:rFonts w:ascii="Arial" w:cs="Arial" w:eastAsia="Arial" w:hAnsi="Arial"/>
          <w:sz w:val="18"/>
          <w:szCs w:val="18"/>
          <w:color w:val="auto"/>
        </w:rPr>
        <w:t>” has the meaning specified in Section 304.</w:t>
      </w:r>
    </w:p>
    <w:p>
      <w:pPr>
        <w:spacing w:after="0" w:line="225" w:lineRule="exact"/>
        <w:rPr>
          <w:sz w:val="20"/>
          <w:szCs w:val="20"/>
          <w:color w:val="auto"/>
        </w:rPr>
      </w:pPr>
    </w:p>
    <w:p>
      <w:pPr>
        <w:ind w:left="4" w:right="3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the Person named as the “Company” in the first paragraph of this Indenture until a successor corporation shall have become such pursuant to the applicable provisions of this Indenture, and thereafter “Company” shall mean such successor corporation.</w:t>
      </w:r>
    </w:p>
    <w:p>
      <w:pPr>
        <w:spacing w:after="0" w:line="146" w:lineRule="exact"/>
        <w:rPr>
          <w:sz w:val="20"/>
          <w:szCs w:val="20"/>
          <w:color w:val="auto"/>
        </w:rPr>
      </w:pPr>
    </w:p>
    <w:p>
      <w:pPr>
        <w:ind w:left="4" w:right="3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Request</w:t>
      </w:r>
      <w:r>
        <w:rPr>
          <w:rFonts w:ascii="Arial" w:cs="Arial" w:eastAsia="Arial" w:hAnsi="Arial"/>
          <w:sz w:val="18"/>
          <w:szCs w:val="18"/>
          <w:color w:val="auto"/>
        </w:rPr>
        <w:t>” and “</w:t>
      </w:r>
      <w:r>
        <w:rPr>
          <w:rFonts w:ascii="Arial" w:cs="Arial" w:eastAsia="Arial" w:hAnsi="Arial"/>
          <w:sz w:val="18"/>
          <w:szCs w:val="18"/>
          <w:u w:val="single" w:color="auto"/>
          <w:color w:val="auto"/>
        </w:rPr>
        <w:t>Company Order</w:t>
      </w:r>
      <w:r>
        <w:rPr>
          <w:rFonts w:ascii="Arial" w:cs="Arial" w:eastAsia="Arial" w:hAnsi="Arial"/>
          <w:sz w:val="18"/>
          <w:szCs w:val="18"/>
          <w:color w:val="auto"/>
        </w:rPr>
        <w:t>” mean, respectively, a written request or order signed in the name of the Company by its Chairman of the Board, the Chief Executive Officer, the President, or a Vice President, and by its Treasurer, an Assistant Treasurer, the Secretary or an Assistant Secretary, of the Company, and delivered to the Trustee.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Constituent Person</w:t>
      </w:r>
      <w:r>
        <w:rPr>
          <w:rFonts w:ascii="Arial" w:cs="Arial" w:eastAsia="Arial" w:hAnsi="Arial"/>
          <w:sz w:val="18"/>
          <w:szCs w:val="18"/>
          <w:color w:val="auto"/>
        </w:rPr>
        <w:t>” has the meaning specified in Section 1711.</w:t>
      </w:r>
    </w:p>
    <w:p>
      <w:pPr>
        <w:spacing w:after="0" w:line="225"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Event</w:t>
      </w:r>
      <w:r>
        <w:rPr>
          <w:rFonts w:ascii="Arial" w:cs="Arial" w:eastAsia="Arial" w:hAnsi="Arial"/>
          <w:sz w:val="18"/>
          <w:szCs w:val="18"/>
          <w:color w:val="auto"/>
        </w:rPr>
        <w:t>” means the cessation of use of (i) a Foreign Currency both by the government of the country which issued such currency and for the settlement of transactions by a central bank or other public institutions of or within the international banking community, or (ii) any currency unit (or composite currency) for the purposes for which it was established.</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Conversion Price</w:t>
      </w:r>
      <w:r>
        <w:rPr>
          <w:rFonts w:ascii="Arial" w:cs="Arial" w:eastAsia="Arial" w:hAnsi="Arial"/>
          <w:sz w:val="18"/>
          <w:szCs w:val="18"/>
          <w:color w:val="auto"/>
        </w:rPr>
        <w:t>” has the meaning specified in Section 1701.</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means the office of the Trustee at which, at any particular time, its corporate trust business shall be principally administered, which office at the date hereof is located at [ ______________].</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includes corporations, associations, companies and business trusts.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coupon</w:t>
      </w:r>
      <w:r>
        <w:rPr>
          <w:rFonts w:ascii="Arial" w:cs="Arial" w:eastAsia="Arial" w:hAnsi="Arial"/>
          <w:sz w:val="18"/>
          <w:szCs w:val="18"/>
          <w:color w:val="auto"/>
        </w:rPr>
        <w:t>” means any interest coupon appertaining to a Bearer Security.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Defeasance</w:t>
      </w:r>
      <w:r>
        <w:rPr>
          <w:rFonts w:ascii="Arial" w:cs="Arial" w:eastAsia="Arial" w:hAnsi="Arial"/>
          <w:sz w:val="18"/>
          <w:szCs w:val="18"/>
          <w:color w:val="auto"/>
        </w:rPr>
        <w:t>” has the meaning specified in Section 1403.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Interest</w:t>
      </w:r>
      <w:r>
        <w:rPr>
          <w:rFonts w:ascii="Arial" w:cs="Arial" w:eastAsia="Arial" w:hAnsi="Arial"/>
          <w:sz w:val="18"/>
          <w:szCs w:val="18"/>
          <w:color w:val="auto"/>
        </w:rPr>
        <w:t>” has the meaning specified in Section 307.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Defeasance</w:t>
      </w:r>
      <w:r>
        <w:rPr>
          <w:rFonts w:ascii="Arial" w:cs="Arial" w:eastAsia="Arial" w:hAnsi="Arial"/>
          <w:sz w:val="18"/>
          <w:szCs w:val="18"/>
          <w:color w:val="auto"/>
        </w:rPr>
        <w:t>” has the meaning specified in Section 1402.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Record Date</w:t>
      </w:r>
      <w:r>
        <w:rPr>
          <w:rFonts w:ascii="Arial" w:cs="Arial" w:eastAsia="Arial" w:hAnsi="Arial"/>
          <w:sz w:val="18"/>
          <w:szCs w:val="18"/>
          <w:color w:val="auto"/>
        </w:rPr>
        <w:t>” has the meaning specified in Section 1711.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or the sign “</w:t>
      </w:r>
      <w:r>
        <w:rPr>
          <w:rFonts w:ascii="Arial" w:cs="Arial" w:eastAsia="Arial" w:hAnsi="Arial"/>
          <w:sz w:val="18"/>
          <w:szCs w:val="18"/>
          <w:u w:val="single" w:color="auto"/>
          <w:color w:val="auto"/>
        </w:rPr>
        <w:t>$</w:t>
      </w:r>
      <w:r>
        <w:rPr>
          <w:rFonts w:ascii="Arial" w:cs="Arial" w:eastAsia="Arial" w:hAnsi="Arial"/>
          <w:sz w:val="18"/>
          <w:szCs w:val="18"/>
          <w:color w:val="auto"/>
        </w:rPr>
        <w:t>” means a dollar or other equivalent unit in such coin or currency of the United States of America as at the time of payment is legal tender for the payment of public and private debts.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means The Depository Trust Company and any successor to DTC in its capacity as depository for any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Euroclear</w:t>
      </w:r>
      <w:r>
        <w:rPr>
          <w:rFonts w:ascii="Arial" w:cs="Arial" w:eastAsia="Arial" w:hAnsi="Arial"/>
          <w:sz w:val="18"/>
          <w:szCs w:val="18"/>
          <w:color w:val="auto"/>
        </w:rPr>
        <w:t>” means Morgan Guaranty Trust Company of New York, Brussels office, or its successor, as operator of the Euroclear System.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Article Five.</w:t>
      </w:r>
    </w:p>
    <w:p>
      <w:pPr>
        <w:spacing w:after="0" w:line="225"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means the Securities Exchange Act of 1934, as amended, as in force at the date as of which this Indenture was executed;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Exchange Act is amended after such date, “Exchange Act” means to the extent required by any such amendment, the Exchange Act as so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has the meaning specified in Section 304.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w:t>
      </w:r>
      <w:r>
        <w:rPr>
          <w:rFonts w:ascii="Arial" w:cs="Arial" w:eastAsia="Arial" w:hAnsi="Arial"/>
          <w:sz w:val="18"/>
          <w:szCs w:val="18"/>
          <w:color w:val="auto"/>
        </w:rPr>
        <w:t>” means any currency, currency unit or composite currency, issued by the government of one or more countries other than the United States of America or by any recognized confederation or association of such governments.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except as otherwise provided herein, generally accepted accounting principles, as in effect from time to time, as used in the United States applied on a consistent basis.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Security</w:t>
      </w:r>
      <w:r>
        <w:rPr>
          <w:rFonts w:ascii="Arial" w:cs="Arial" w:eastAsia="Arial" w:hAnsi="Arial"/>
          <w:sz w:val="18"/>
          <w:szCs w:val="18"/>
          <w:color w:val="auto"/>
        </w:rPr>
        <w:t>” means a Security evidencing all or a part of a series of Securities issued to and registered in the name of the depository for such series, or its nominee, in accordance with Section 305, and bearing the legend prescribed in Section 203.</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61" w:name="page162"/>
    <w:bookmarkEnd w:id="161"/>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Government Obligations</w:t>
      </w:r>
      <w:r>
        <w:rPr>
          <w:rFonts w:ascii="Arial" w:cs="Arial" w:eastAsia="Arial" w:hAnsi="Arial"/>
          <w:sz w:val="17"/>
          <w:szCs w:val="17"/>
          <w:color w:val="auto"/>
        </w:rPr>
        <w:t xml:space="preserve">” means (i) securities which are (A) direct obligations of the United States of America or the government which issued the Foreign Currency in which the Securities of a particular series are payable, for the payment of which its full faith and credit is pledged or (B) obligations of a Person controlled or supervised by and acting as an agency or instrumentality of the United States of America or such government which issued the Foreign Currency in which the Securities of such series are payable, the payment of which is unconditionally guaranteed as a full faith and credit obligation by the United States of America or such other government, which, in either case, are not callable or redeemable at the option of the issuer thereof, and (iii)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85"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Guaranty</w:t>
      </w:r>
      <w:r>
        <w:rPr>
          <w:rFonts w:ascii="Arial" w:cs="Arial" w:eastAsia="Arial" w:hAnsi="Arial"/>
          <w:sz w:val="17"/>
          <w:szCs w:val="17"/>
          <w:color w:val="auto"/>
        </w:rPr>
        <w:t xml:space="preserve">” by any Person means any Obligation, contingent or otherwise, of such Person guaranteeing any Indebtedness of any other Person (the “primary obligor”) in any manner, whether directly or indirectly, and including, without limitation, every Obligation of such Person (i) to purchase or pay (or advance or supply funds for the purchase or payment of) such Indebtedness or to purchase (or to advance or supply funds for the purchase of) any security for the payment of such Indebtedness, (ii) to purchase property, securities or services for the purpose of assuring the holder of such Indebtedness of the payment of such Indebtedness or (iii) to maintain working capital, equity capital or other financial statement condition or liquidity of the primary obligor so as to enable the primary obligor to pay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Guaranty by any Person shall not include endorsements by such Person for collection or deposit, in either case in the ordinary course of business. The terms “</w:t>
      </w:r>
      <w:r>
        <w:rPr>
          <w:rFonts w:ascii="Arial" w:cs="Arial" w:eastAsia="Arial" w:hAnsi="Arial"/>
          <w:sz w:val="17"/>
          <w:szCs w:val="17"/>
          <w:u w:val="single" w:color="auto"/>
          <w:color w:val="auto"/>
        </w:rPr>
        <w:t>Guaranteed</w:t>
      </w:r>
      <w:r>
        <w:rPr>
          <w:rFonts w:ascii="Arial" w:cs="Arial" w:eastAsia="Arial" w:hAnsi="Arial"/>
          <w:sz w:val="17"/>
          <w:szCs w:val="17"/>
          <w:color w:val="auto"/>
        </w:rPr>
        <w:t>,” “</w:t>
      </w:r>
      <w:r>
        <w:rPr>
          <w:rFonts w:ascii="Arial" w:cs="Arial" w:eastAsia="Arial" w:hAnsi="Arial"/>
          <w:sz w:val="17"/>
          <w:szCs w:val="17"/>
          <w:u w:val="single" w:color="auto"/>
          <w:color w:val="auto"/>
        </w:rPr>
        <w:t>Guaranteeing</w:t>
      </w:r>
      <w:r>
        <w:rPr>
          <w:rFonts w:ascii="Arial" w:cs="Arial" w:eastAsia="Arial" w:hAnsi="Arial"/>
          <w:sz w:val="17"/>
          <w:szCs w:val="17"/>
          <w:color w:val="auto"/>
        </w:rPr>
        <w:t>” and “</w:t>
      </w:r>
      <w:r>
        <w:rPr>
          <w:rFonts w:ascii="Arial" w:cs="Arial" w:eastAsia="Arial" w:hAnsi="Arial"/>
          <w:sz w:val="17"/>
          <w:szCs w:val="17"/>
          <w:u w:val="single" w:color="auto"/>
          <w:color w:val="auto"/>
        </w:rPr>
        <w:t>Guarantor</w:t>
      </w:r>
      <w:r>
        <w:rPr>
          <w:rFonts w:ascii="Arial" w:cs="Arial" w:eastAsia="Arial" w:hAnsi="Arial"/>
          <w:sz w:val="17"/>
          <w:szCs w:val="17"/>
          <w:color w:val="auto"/>
        </w:rPr>
        <w:t>” shall have meanings correlative to the foregoing.</w:t>
      </w:r>
    </w:p>
    <w:p>
      <w:pPr>
        <w:spacing w:after="0" w:line="178" w:lineRule="exact"/>
        <w:rPr>
          <w:sz w:val="20"/>
          <w:szCs w:val="20"/>
          <w:color w:val="auto"/>
        </w:rPr>
      </w:pPr>
    </w:p>
    <w:p>
      <w:pPr>
        <w:ind w:left="4" w:right="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with respect to any Person, without duplication, (i) any Obligation of such Person relating to any indebtedness of such Person</w:t>
      </w:r>
    </w:p>
    <w:p>
      <w:pPr>
        <w:spacing w:after="0" w:line="46" w:lineRule="exact"/>
        <w:rPr>
          <w:sz w:val="20"/>
          <w:szCs w:val="20"/>
          <w:color w:val="auto"/>
        </w:rPr>
      </w:pPr>
    </w:p>
    <w:p>
      <w:pPr>
        <w:ind w:left="4" w:right="60" w:hanging="4"/>
        <w:spacing w:after="0" w:line="286" w:lineRule="auto"/>
        <w:tabs>
          <w:tab w:leader="none" w:pos="299" w:val="left"/>
        </w:tabs>
        <w:numPr>
          <w:ilvl w:val="0"/>
          <w:numId w:val="142"/>
        </w:numPr>
        <w:rPr>
          <w:rFonts w:ascii="Arial" w:cs="Arial" w:eastAsia="Arial" w:hAnsi="Arial"/>
          <w:sz w:val="16"/>
          <w:szCs w:val="16"/>
          <w:color w:val="auto"/>
        </w:rPr>
      </w:pPr>
      <w:r>
        <w:rPr>
          <w:rFonts w:ascii="Arial" w:cs="Arial" w:eastAsia="Arial" w:hAnsi="Arial"/>
          <w:sz w:val="16"/>
          <w:szCs w:val="16"/>
          <w:color w:val="auto"/>
        </w:rPr>
        <w:t>for borrowed money (whether or not the recourse of the lender is to the whole of the assets, of such person or only to a portion thereof), (B) evidenced by notes, debentures or similar instruments (including purchase money obligations) given in connection with the acquisition of any property or assets (other than trade accounts payable for inventory or similar property acquired in the ordinary course of business), including securities, for the payment of which such Person is liable, directly or indirectly, or the payment of which is secured by a lien, charge or encumbrance on property or assets of such Person, (C) for goods, materials or services purchased in the ordinary course of business (other than trade accounts payable arising in the ordinary course of business), (D) with respect to letters of credit or bankers acceptances issued for the account of such Person or performance, surety or similar bonds, (E) for the payment of money relating to a capitalized lease Obligation or (F) under interest rate swaps, caps or similar agreements and foreign exchange contracts, currency swaps or similar agreements; (ii) any liability of others of the kind described in the preceding clause (i), which such Person has Guaranteed or which is otherwise its legal liability; and (iii) any and all deferrals, renewals, extensions and refunding of, or amendments, modifications or supplements to, any liability of the kind described in any of the preceding clauses (i) or (ii).</w:t>
      </w:r>
    </w:p>
    <w:p>
      <w:pPr>
        <w:spacing w:after="0" w:line="169" w:lineRule="exact"/>
        <w:rPr>
          <w:sz w:val="20"/>
          <w:szCs w:val="20"/>
          <w:color w:val="auto"/>
        </w:rPr>
      </w:pPr>
    </w:p>
    <w:p>
      <w:pPr>
        <w:ind w:left="4" w:right="2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Indenture</w:t>
      </w:r>
      <w:r>
        <w:rPr>
          <w:rFonts w:ascii="Arial" w:cs="Arial" w:eastAsia="Arial" w:hAnsi="Arial"/>
          <w:sz w:val="16"/>
          <w:szCs w:val="16"/>
          <w:color w:val="auto"/>
        </w:rPr>
        <w:t xml:space="preserve">” means this instrument as originally executed or as it may be supplemented or amended from time to time by one or more indentures supplemental hereto entered into pursuant to the applicable provisions hereof, and shall include the terms of particular series of Securities established as contemplated by Section 301;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any time more than one Person is acting as Trustee under this instrument, “Indenture” shall mean, with respect to any one or more series of Securities for which such Person is Trustee, this instrument as originally executed or as it may be supplemented or amended from time to time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which relate solely to other series of Securities for which such Person is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162" w:name="page163"/>
    <w:bookmarkEnd w:id="162"/>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Indexed Security</w:t>
      </w:r>
      <w:r>
        <w:rPr>
          <w:rFonts w:ascii="Arial" w:cs="Arial" w:eastAsia="Arial" w:hAnsi="Arial"/>
          <w:sz w:val="18"/>
          <w:szCs w:val="18"/>
          <w:color w:val="auto"/>
        </w:rPr>
        <w:t>” means a Security the terms of which provide that the principal amount thereof payable at Stated Maturity may be more or less than the principal face amount thereof at original issuance.</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when used with respect to an Original Issue Discount Security which by its terms bears interest only after Maturity, shall mean interest payable after Maturity.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when used with respect to any Security, means the Stated Maturity of an installment of interest on such Security.</w:t>
      </w:r>
    </w:p>
    <w:p>
      <w:pPr>
        <w:spacing w:after="0" w:line="22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Make-Whole Amount</w:t>
      </w:r>
      <w:r>
        <w:rPr>
          <w:rFonts w:ascii="Arial" w:cs="Arial" w:eastAsia="Arial" w:hAnsi="Arial"/>
          <w:sz w:val="17"/>
          <w:szCs w:val="17"/>
          <w:color w:val="auto"/>
        </w:rPr>
        <w:t>,” when used with respect to any Security, means the amount, if any, in addition to principal (and accrued interest thereon, if any) which is required by a Security, under the terms and conditions specified therein or as otherwise specified as contemplated by Section 301, to be paid by the Company to the Holder thereof in connection with any optional redemption or accelerated payment of such Security.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sinking fund payment</w:t>
      </w:r>
      <w:r>
        <w:rPr>
          <w:rFonts w:ascii="Arial" w:cs="Arial" w:eastAsia="Arial" w:hAnsi="Arial"/>
          <w:sz w:val="18"/>
          <w:szCs w:val="18"/>
          <w:color w:val="auto"/>
        </w:rPr>
        <w:t>” has the meaning specified in Section 1201.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Value of the Distribution</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w:t>
      </w:r>
      <w:r>
        <w:rPr>
          <w:rFonts w:ascii="Arial" w:cs="Arial" w:eastAsia="Arial" w:hAnsi="Arial"/>
          <w:sz w:val="18"/>
          <w:szCs w:val="18"/>
          <w:color w:val="auto"/>
        </w:rPr>
        <w:t>,” when used with respect to any Security, means the date on which the principal (or, if the context so requires, in the case of an Original Issue Discount Security, or lesser amount or, in the case of an Indexed Security, an amount determined in accordance with the specified terms of that Security) of such Security or an installment of principal becomes due and payable as therein or herein provided, whether at the Stated Maturity or by declaration of acceleration, notice of redemption, notice of option to elect repayment or otherwise.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w:t>
      </w:r>
      <w:r>
        <w:rPr>
          <w:rFonts w:ascii="Arial" w:cs="Arial" w:eastAsia="Arial" w:hAnsi="Arial"/>
          <w:sz w:val="18"/>
          <w:szCs w:val="18"/>
          <w:color w:val="auto"/>
        </w:rPr>
        <w:t>” of any Person with respect to any specified Indebtedness means any obligation of such Person to pay principal, premium, interest (including interest accruing on or after the filing of any petition in bankruptcy or for reorganization relating to such Person, whether or not a claim for such post-petition interest is allowed in such proceeding), penalties, reimbursement or indemnification amounts, fees, expenses or other amounts relating to such Indebtedness.</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signed by the Chairman of the Board of Directors, the Chief Executive Officer, the President, or a Vice President (whether or not designated by a number or word or words added before or after the title “Vice President”), and by the Treasurer, an Assistant Treasurer, the Secretary or an Assistant Secretary of the Company, and delivered to the Trustee.</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 written opinion of counsel, who may be counsel for the Company or who may be an employee of or other counsel for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sinking fund payment</w:t>
      </w:r>
      <w:r>
        <w:rPr>
          <w:rFonts w:ascii="Arial" w:cs="Arial" w:eastAsia="Arial" w:hAnsi="Arial"/>
          <w:sz w:val="18"/>
          <w:szCs w:val="18"/>
          <w:color w:val="auto"/>
        </w:rPr>
        <w:t>” has the meaning specified in Section 1201.</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Shares</w:t>
      </w:r>
      <w:r>
        <w:rPr>
          <w:rFonts w:ascii="Arial" w:cs="Arial" w:eastAsia="Arial" w:hAnsi="Arial"/>
          <w:sz w:val="18"/>
          <w:szCs w:val="18"/>
          <w:color w:val="auto"/>
        </w:rPr>
        <w:t>” means, with respect to any Person, all ordinary shares, including, as applicable, ordinary shares represented by American Depositary Shares, issued by such Person other than Preference Shares.</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Original Issue Discount Security</w:t>
      </w:r>
      <w:r>
        <w:rPr>
          <w:rFonts w:ascii="Arial" w:cs="Arial" w:eastAsia="Arial" w:hAnsi="Arial"/>
          <w:sz w:val="16"/>
          <w:szCs w:val="16"/>
          <w:color w:val="auto"/>
        </w:rPr>
        <w:t>” means any Security which provides for an amount (excluding any amounts attributable to accrued but unpaid interest thereon) less than the principal amount thereof to be due and payable upon a declaration of acceleration of the Maturity thereof pursuant to Section 502.</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w:t>
      </w:r>
      <w:r>
        <w:rPr>
          <w:rFonts w:ascii="Arial" w:cs="Arial" w:eastAsia="Arial" w:hAnsi="Arial"/>
          <w:sz w:val="18"/>
          <w:szCs w:val="18"/>
          <w:color w:val="auto"/>
        </w:rPr>
        <w:t xml:space="preserve">,” when used with respect to Securities, means, as of the date of determination, all Securities theretofore authenticated and delivered under this Indenture, </w:t>
      </w:r>
      <w:r>
        <w:rPr>
          <w:rFonts w:ascii="Arial" w:cs="Arial" w:eastAsia="Arial" w:hAnsi="Arial"/>
          <w:sz w:val="18"/>
          <w:szCs w:val="18"/>
          <w:u w:val="single" w:color="auto"/>
          <w:color w:val="auto"/>
        </w:rPr>
        <w:t>except</w:t>
      </w:r>
      <w:r>
        <w:rPr>
          <w:rFonts w:ascii="Arial" w:cs="Arial" w:eastAsia="Arial" w:hAnsi="Arial"/>
          <w:sz w:val="18"/>
          <w:szCs w:val="18"/>
          <w:color w:val="auto"/>
        </w:rPr>
        <w:t>:</w:t>
      </w:r>
    </w:p>
    <w:p>
      <w:pPr>
        <w:spacing w:after="0" w:line="62" w:lineRule="exact"/>
        <w:rPr>
          <w:sz w:val="20"/>
          <w:szCs w:val="20"/>
          <w:color w:val="auto"/>
        </w:rPr>
      </w:pPr>
    </w:p>
    <w:p>
      <w:pPr>
        <w:ind w:left="5460" w:right="3900" w:hanging="5024"/>
        <w:spacing w:after="0" w:line="449" w:lineRule="auto"/>
        <w:tabs>
          <w:tab w:leader="none" w:pos="65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 6</w:t>
      </w:r>
    </w:p>
    <w:p>
      <w:pPr>
        <w:sectPr>
          <w:pgSz w:w="11900" w:h="16838" w:orient="portrait"/>
          <w:cols w:equalWidth="0" w:num="1">
            <w:col w:w="11000"/>
          </w:cols>
          <w:pgMar w:left="440" w:top="274" w:right="459" w:bottom="1440" w:gutter="0" w:footer="0" w:header="0"/>
        </w:sectPr>
      </w:pPr>
    </w:p>
    <w:bookmarkStart w:id="163" w:name="page164"/>
    <w:bookmarkEnd w:id="163"/>
    <w:p>
      <w:pPr>
        <w:ind w:left="440" w:right="60" w:hanging="4"/>
        <w:spacing w:after="0" w:line="257" w:lineRule="auto"/>
        <w:tabs>
          <w:tab w:leader="none" w:pos="705" w:val="left"/>
        </w:tabs>
        <w:numPr>
          <w:ilvl w:val="0"/>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Securities, or portions thereof, for whose payment or redemption (including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Securities are to be redeemed, notice of such redemption has been duly given pursuant to this Indenture or provision therefor satisfactory to the Trustee has been made;</w:t>
      </w:r>
    </w:p>
    <w:p>
      <w:pPr>
        <w:spacing w:after="0" w:line="79" w:lineRule="exact"/>
        <w:rPr>
          <w:rFonts w:ascii="Arial" w:cs="Arial" w:eastAsia="Arial" w:hAnsi="Arial"/>
          <w:sz w:val="18"/>
          <w:szCs w:val="18"/>
          <w:color w:val="auto"/>
        </w:rPr>
      </w:pPr>
    </w:p>
    <w:p>
      <w:pPr>
        <w:ind w:left="440" w:right="460" w:hanging="4"/>
        <w:spacing w:after="0" w:line="277" w:lineRule="auto"/>
        <w:tabs>
          <w:tab w:leader="none" w:pos="7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Securities, except to the extent provided in Sections 1402 and 1403, with respect to which the Company has effected Defeasance and/or Covenant Defeasance as provided in Article Fourteen; and</w:t>
      </w:r>
    </w:p>
    <w:p>
      <w:pPr>
        <w:spacing w:after="0" w:line="62" w:lineRule="exact"/>
        <w:rPr>
          <w:rFonts w:ascii="Arial" w:cs="Arial" w:eastAsia="Arial" w:hAnsi="Arial"/>
          <w:sz w:val="18"/>
          <w:szCs w:val="18"/>
          <w:color w:val="auto"/>
        </w:rPr>
      </w:pPr>
    </w:p>
    <w:p>
      <w:pPr>
        <w:ind w:left="440" w:right="200" w:hanging="4"/>
        <w:spacing w:after="0" w:line="311" w:lineRule="auto"/>
        <w:tabs>
          <w:tab w:leader="none" w:pos="74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49" w:lineRule="exact"/>
        <w:rPr>
          <w:sz w:val="20"/>
          <w:szCs w:val="20"/>
          <w:color w:val="auto"/>
        </w:rPr>
      </w:pPr>
    </w:p>
    <w:p>
      <w:pPr>
        <w:spacing w:after="0" w:line="267"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pursuant to Section 301 as of the date such Security is originally issued by the Company,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which a Responsible Officer of the Trustee actually knows to be so owned shall be so disregarded. Securities owned as provided in clause (iv) above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In case of a dispute as to such right, the advice of counsel shall be full protection in respect of any decision made by the Trustee in accordance with such advice.</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means any Person authorized by the Company to pay the principal of (and premium or Make-Whole Amount, if any) or interest on any Securities or coupons on behalf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Blockage Notice</w:t>
      </w:r>
      <w:r>
        <w:rPr>
          <w:rFonts w:ascii="Arial" w:cs="Arial" w:eastAsia="Arial" w:hAnsi="Arial"/>
          <w:sz w:val="18"/>
          <w:szCs w:val="18"/>
          <w:color w:val="auto"/>
        </w:rPr>
        <w:t>” and “</w:t>
      </w:r>
      <w:r>
        <w:rPr>
          <w:rFonts w:ascii="Arial" w:cs="Arial" w:eastAsia="Arial" w:hAnsi="Arial"/>
          <w:sz w:val="18"/>
          <w:szCs w:val="18"/>
          <w:u w:val="single" w:color="auto"/>
          <w:color w:val="auto"/>
        </w:rPr>
        <w:t>Payment Blockage Period</w:t>
      </w:r>
      <w:r>
        <w:rPr>
          <w:rFonts w:ascii="Arial" w:cs="Arial" w:eastAsia="Arial" w:hAnsi="Arial"/>
          <w:sz w:val="18"/>
          <w:szCs w:val="18"/>
          <w:color w:val="auto"/>
        </w:rPr>
        <w:t>” have the respective meanings specified in Section 1603.</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limited liability company, partnership, joint venture, association, joint-stock company, trust, unincorporated organization or government or any agency or political subdivision thereof, or any other entity or organization.</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Place of Payment</w:t>
      </w:r>
      <w:r>
        <w:rPr>
          <w:rFonts w:ascii="Arial" w:cs="Arial" w:eastAsia="Arial" w:hAnsi="Arial"/>
          <w:sz w:val="17"/>
          <w:szCs w:val="17"/>
          <w:color w:val="auto"/>
        </w:rPr>
        <w:t>,” when used with respect to the Securities of or within any series, means the place or places where the principal of (and premium or Make-Whole Amount, if any) and interest on such Securities are payable as specified as contemplated by Sections 301 and 1002.</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64" w:name="page165"/>
    <w:bookmarkEnd w:id="164"/>
    <w:p>
      <w:pPr>
        <w:ind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Predecessor Security</w:t>
      </w:r>
      <w:r>
        <w:rPr>
          <w:rFonts w:ascii="Arial" w:cs="Arial" w:eastAsia="Arial" w:hAnsi="Arial"/>
          <w:sz w:val="16"/>
          <w:szCs w:val="16"/>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w:t>
      </w:r>
    </w:p>
    <w:p>
      <w:pPr>
        <w:spacing w:after="0" w:line="15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Preference Shares</w:t>
      </w:r>
      <w:r>
        <w:rPr>
          <w:rFonts w:ascii="Arial" w:cs="Arial" w:eastAsia="Arial" w:hAnsi="Arial"/>
          <w:sz w:val="18"/>
          <w:szCs w:val="18"/>
          <w:color w:val="auto"/>
        </w:rPr>
        <w:t>” means, with respect to any Person, all share capital issued by such Person that is entitled to a preference or priority over any other share capital issued by such Person with respect to any distribution of such Person’s assets, whether by dividend or upon any voluntary or involuntary liquidation, dissolution or winding up.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has the meaning specified in Section 1602.</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when used with respect to any Security to be redeemed, in whole or in part, means the date fixed for such redemption by or pursuant to this Indenture.</w:t>
      </w:r>
    </w:p>
    <w:p>
      <w:pPr>
        <w:spacing w:after="0" w:line="170" w:lineRule="exact"/>
        <w:rPr>
          <w:sz w:val="20"/>
          <w:szCs w:val="20"/>
          <w:color w:val="auto"/>
        </w:rPr>
      </w:pPr>
    </w:p>
    <w:p>
      <w:pPr>
        <w:ind w:right="88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 Price</w:t>
      </w:r>
      <w:r>
        <w:rPr>
          <w:rFonts w:ascii="Arial" w:cs="Arial" w:eastAsia="Arial" w:hAnsi="Arial"/>
          <w:sz w:val="16"/>
          <w:szCs w:val="16"/>
          <w:color w:val="auto"/>
        </w:rPr>
        <w:t>,” when used with respect to any Security to be redeemed, means the price specified in the related Officers’ Certificate or supplemental indenture contemplated by and pursuant to Section 301, at which it is to be redeemed pursuant to this Indenture.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Date</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Security</w:t>
      </w:r>
      <w:r>
        <w:rPr>
          <w:rFonts w:ascii="Arial" w:cs="Arial" w:eastAsia="Arial" w:hAnsi="Arial"/>
          <w:sz w:val="18"/>
          <w:szCs w:val="18"/>
          <w:color w:val="auto"/>
        </w:rPr>
        <w:t>” shall mean any Security which is registered in the Security Register.</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Record Date</w:t>
      </w:r>
      <w:r>
        <w:rPr>
          <w:rFonts w:ascii="Arial" w:cs="Arial" w:eastAsia="Arial" w:hAnsi="Arial"/>
          <w:sz w:val="18"/>
          <w:szCs w:val="18"/>
          <w:color w:val="auto"/>
        </w:rPr>
        <w:t>” for the interest payable on any Interest Payment Date on the Registered Securities of or within any series means the date specified for that purpose as contemplated by Section 301, whether or not a Business Day.</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Date</w:t>
      </w:r>
      <w:r>
        <w:rPr>
          <w:rFonts w:ascii="Arial" w:cs="Arial" w:eastAsia="Arial" w:hAnsi="Arial"/>
          <w:sz w:val="18"/>
          <w:szCs w:val="18"/>
          <w:color w:val="auto"/>
        </w:rPr>
        <w:t>” means, when used with respect to any Security to be repaid at the option of the Holder, the date fixed for such repayment by or pursuant to this Indenture.</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Price</w:t>
      </w:r>
      <w:r>
        <w:rPr>
          <w:rFonts w:ascii="Arial" w:cs="Arial" w:eastAsia="Arial" w:hAnsi="Arial"/>
          <w:sz w:val="18"/>
          <w:szCs w:val="18"/>
          <w:color w:val="auto"/>
        </w:rPr>
        <w:t>” means, when used with respect to any Security to be repaid at the option of the Holder, the price at which it is to be repaid by or pursuant to this Indenture.</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when used with respect to the Trustee, means any Vice President (whether or not designated by a number or a word or words added before or after the title “Vice President”), Assistant Vice President, Trust Officer or Assistant Trust Officer working in its Corporate Trust Department, or any other officer of the Trustee customarily performing functions similar to those performed by any of the above designated officers and working in its Corporate Trust Department, and also means, with respect to a particular corporate trust matter, any other officer to whom such matter is referred because of such officer’s knowledge and familiarity with the particular subject and who shall have direct responsibility for the administration of this Indenture.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 Record Date</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Payment</w:t>
      </w:r>
      <w:r>
        <w:rPr>
          <w:rFonts w:ascii="Arial" w:cs="Arial" w:eastAsia="Arial" w:hAnsi="Arial"/>
          <w:sz w:val="18"/>
          <w:szCs w:val="18"/>
          <w:color w:val="auto"/>
        </w:rPr>
        <w:t>” has the meaning specified in Section 1602.</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and “</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has the meaning stated in the first recital of this Indenture and, more particularly, means any Security or Securities authenticated and delivered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Security Register</w:t>
      </w:r>
      <w:r>
        <w:rPr>
          <w:rFonts w:ascii="Arial" w:cs="Arial" w:eastAsia="Arial" w:hAnsi="Arial"/>
          <w:sz w:val="18"/>
          <w:szCs w:val="18"/>
          <w:color w:val="auto"/>
        </w:rPr>
        <w:t>” and “</w:t>
      </w:r>
      <w:r>
        <w:rPr>
          <w:rFonts w:ascii="Arial" w:cs="Arial" w:eastAsia="Arial" w:hAnsi="Arial"/>
          <w:sz w:val="18"/>
          <w:szCs w:val="18"/>
          <w:u w:val="single" w:color="auto"/>
          <w:color w:val="auto"/>
        </w:rPr>
        <w:t>Security Registrar</w:t>
      </w:r>
      <w:r>
        <w:rPr>
          <w:rFonts w:ascii="Arial" w:cs="Arial" w:eastAsia="Arial" w:hAnsi="Arial"/>
          <w:sz w:val="18"/>
          <w:szCs w:val="18"/>
          <w:color w:val="auto"/>
        </w:rPr>
        <w:t>” have the respective meanings specified in Section 305.</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Indebtedness</w:t>
      </w:r>
      <w:r>
        <w:rPr>
          <w:rFonts w:ascii="Arial" w:cs="Arial" w:eastAsia="Arial" w:hAnsi="Arial"/>
          <w:sz w:val="16"/>
          <w:szCs w:val="16"/>
          <w:color w:val="auto"/>
        </w:rPr>
        <w:t xml:space="preserve">” means Indebtedness of the Company, whether outstanding on the date of this Indenture or thereafter created, incurred, assumed or guaranteed by the Company, other than the following: (1) any Indebtedness as to which, in the instrument evidencing such Indebtedness or pursuant to which such Indebtedness was issued, it is expressly provided that such Indebtedness is subordinate in right of payment to all Indebtedness of the Company not expressly subordinated to such Indebtedness; (2) any Indebtedness which by its terms refers explicitly to the Securities and states that such Indebtedness shall not be senior, shall be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or shall be subordinated in right of payment to the Securities; and (3) with respect to any series of Securities, any Indebtedness of the Company evidenced by Securities of the same or of another series. Notwithstanding anything to the contrary in the foregoing, Senior Indebtedness shall not include: (a) Indebtedness of or amounts owed by the Company for compensation to employees, or for goods, materials or services purchased in the ordinary course of business, or (b) Indebtedness of the Company to a Subsidiary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Series</w:t>
      </w:r>
      <w:r>
        <w:rPr>
          <w:rFonts w:ascii="Arial" w:cs="Arial" w:eastAsia="Arial" w:hAnsi="Arial"/>
          <w:sz w:val="17"/>
          <w:szCs w:val="17"/>
          <w:color w:val="auto"/>
        </w:rPr>
        <w:t>” of Securities means all securities denoted as part of the same series authorized by or pursuant to a particular Board Resolution.</w:t>
      </w:r>
    </w:p>
    <w:p>
      <w:pPr>
        <w:spacing w:after="0" w:line="237"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Capital</w:t>
      </w:r>
      <w:r>
        <w:rPr>
          <w:rFonts w:ascii="Arial" w:cs="Arial" w:eastAsia="Arial" w:hAnsi="Arial"/>
          <w:sz w:val="18"/>
          <w:szCs w:val="18"/>
          <w:color w:val="auto"/>
        </w:rPr>
        <w:t>” means, with respect to any Person, any shares (including preferred shares), interests, participations or other ownership interests (however designated) of such Person and any rights (other than debt securities convertible into or exchangeable for corporate shares), warrants or options to purchase any thereof.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Term Rights</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any Subsidiary which is a “significant subsidiary” (as defined in Article I, Rule 1-02 of Regulation S-X, promulgated under the Securities Act of 1933, as amended) of the Company.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Record Date</w:t>
      </w:r>
      <w:r>
        <w:rPr>
          <w:rFonts w:ascii="Arial" w:cs="Arial" w:eastAsia="Arial" w:hAnsi="Arial"/>
          <w:sz w:val="18"/>
          <w:szCs w:val="18"/>
          <w:color w:val="auto"/>
        </w:rPr>
        <w:t>” for the payment of any Defaulted Interest on the Registered Securities of or within any series means a date fixed by the Company pursuant to Section 307.</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w:t>
      </w:r>
      <w:r>
        <w:rPr>
          <w:rFonts w:ascii="Arial" w:cs="Arial" w:eastAsia="Arial" w:hAnsi="Arial"/>
          <w:sz w:val="18"/>
          <w:szCs w:val="18"/>
          <w:color w:val="auto"/>
        </w:rPr>
        <w:t>,”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limited liability company, partnership or other entity of which a majority of (i) the voting power of the voting equity securities or (ii) the outstanding equity interests are owned, directly or indirectly, by such Person. For the purposes of this definition, “voting equity securities” means equity securities having voting power for the election of directors, whether at all times or only so long as no senior class of security has such voting power by reason of any contingency.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day on which the Nasdaq Global Select Market is open for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 Events</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or “</w:t>
      </w:r>
      <w:r>
        <w:rPr>
          <w:rFonts w:ascii="Arial" w:cs="Arial" w:eastAsia="Arial" w:hAnsi="Arial"/>
          <w:sz w:val="18"/>
          <w:szCs w:val="18"/>
          <w:u w:val="single" w:color="auto"/>
          <w:color w:val="auto"/>
        </w:rPr>
        <w:t>TIA</w:t>
      </w:r>
      <w:r>
        <w:rPr>
          <w:rFonts w:ascii="Arial" w:cs="Arial" w:eastAsia="Arial" w:hAnsi="Arial"/>
          <w:sz w:val="18"/>
          <w:szCs w:val="18"/>
          <w:color w:val="auto"/>
        </w:rPr>
        <w:t>” means the Trust Indenture Act of 1939, as amended and as in force at the date as of which this Indenture was executed, except as provided in Section 905.</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there is more than one such Person, “Trustee” as used with respect to the Securities of any series shall mean only the Trustee with respect to Securities of that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Unadjusted Distribution</w:t>
      </w:r>
      <w:r>
        <w:rPr>
          <w:rFonts w:ascii="Arial" w:cs="Arial" w:eastAsia="Arial" w:hAnsi="Arial"/>
          <w:sz w:val="18"/>
          <w:szCs w:val="18"/>
          <w:color w:val="auto"/>
        </w:rPr>
        <w:t>” has the meaning specified in Section 1704.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66" w:name="page167"/>
    <w:bookmarkEnd w:id="166"/>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 Person</w:t>
      </w:r>
      <w:r>
        <w:rPr>
          <w:rFonts w:ascii="Arial" w:cs="Arial" w:eastAsia="Arial" w:hAnsi="Arial"/>
          <w:sz w:val="18"/>
          <w:szCs w:val="18"/>
          <w:color w:val="auto"/>
        </w:rPr>
        <w:t>” means, unless otherwise specified with respect to any Securities pursuant to Section 301, an individual who is a citizen or resident of the United States, a corporation, partnership or other entity created or organized in or under the laws of the United States or an estate or trust the income of which is subject to United States Federal income taxation regardless of its source.</w:t>
      </w:r>
    </w:p>
    <w:p>
      <w:pPr>
        <w:spacing w:after="0" w:line="18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Yield to Maturity</w:t>
      </w:r>
      <w:r>
        <w:rPr>
          <w:rFonts w:ascii="Arial" w:cs="Arial" w:eastAsia="Arial" w:hAnsi="Arial"/>
          <w:sz w:val="16"/>
          <w:szCs w:val="16"/>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Compliance Certificates and Opinions</w:t>
      </w:r>
      <w:r>
        <w:rPr>
          <w:rFonts w:ascii="Arial" w:cs="Arial" w:eastAsia="Arial" w:hAnsi="Arial"/>
          <w:sz w:val="18"/>
          <w:szCs w:val="18"/>
          <w:color w:val="auto"/>
        </w:rPr>
        <w:t>. 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(including certificates delivered pursuant to Section 1005) shall include:</w:t>
      </w:r>
    </w:p>
    <w:p>
      <w:pPr>
        <w:spacing w:after="0" w:line="62" w:lineRule="exact"/>
        <w:rPr>
          <w:sz w:val="20"/>
          <w:szCs w:val="20"/>
          <w:color w:val="auto"/>
        </w:rPr>
      </w:pPr>
    </w:p>
    <w:p>
      <w:pPr>
        <w:ind w:left="440" w:right="400" w:hanging="4"/>
        <w:spacing w:after="0" w:line="277" w:lineRule="auto"/>
        <w:tabs>
          <w:tab w:leader="none" w:pos="69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statement that each individual signing such certificate or opinion has read such condition or covenant and the definitions herein relating thereto;</w:t>
      </w:r>
    </w:p>
    <w:p>
      <w:pPr>
        <w:spacing w:after="0" w:line="62" w:lineRule="exact"/>
        <w:rPr>
          <w:rFonts w:ascii="Arial" w:cs="Arial" w:eastAsia="Arial" w:hAnsi="Arial"/>
          <w:sz w:val="18"/>
          <w:szCs w:val="18"/>
          <w:color w:val="auto"/>
        </w:rPr>
      </w:pPr>
    </w:p>
    <w:p>
      <w:pPr>
        <w:ind w:left="440" w:right="500" w:hanging="4"/>
        <w:spacing w:after="0" w:line="277" w:lineRule="auto"/>
        <w:tabs>
          <w:tab w:leader="none" w:pos="69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440" w:hanging="4"/>
        <w:spacing w:after="0" w:line="277" w:lineRule="auto"/>
        <w:tabs>
          <w:tab w:leader="none" w:pos="69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Form of Documents Delivered to Trustee</w:t>
      </w:r>
      <w:r>
        <w:rPr>
          <w:rFonts w:ascii="Arial" w:cs="Arial" w:eastAsia="Arial" w:hAnsi="Arial"/>
          <w:sz w:val="16"/>
          <w:szCs w:val="16"/>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5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with respect to such matters are erroneous.</w:t>
      </w:r>
    </w:p>
    <w:p>
      <w:pPr>
        <w:spacing w:after="0" w:line="16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104. </w:t>
      </w:r>
      <w:r>
        <w:rPr>
          <w:rFonts w:ascii="Arial" w:cs="Arial" w:eastAsia="Arial" w:hAnsi="Arial"/>
          <w:sz w:val="18"/>
          <w:szCs w:val="18"/>
          <w:u w:val="single" w:color="auto"/>
          <w:color w:val="auto"/>
        </w:rPr>
        <w:t>Acts of Holders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6" w:lineRule="auto"/>
        <w:tabs>
          <w:tab w:leader="none" w:pos="68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If Securities of a series are issuable as Bearer Securities,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173" w:lineRule="exact"/>
        <w:rPr>
          <w:rFonts w:ascii="Arial" w:cs="Arial" w:eastAsia="Arial" w:hAnsi="Arial"/>
          <w:sz w:val="16"/>
          <w:szCs w:val="16"/>
          <w:color w:val="auto"/>
        </w:rPr>
      </w:pPr>
    </w:p>
    <w:p>
      <w:pPr>
        <w:ind w:right="220" w:firstLine="436"/>
        <w:spacing w:after="0" w:line="255" w:lineRule="auto"/>
        <w:tabs>
          <w:tab w:leader="none" w:pos="69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reasonable manner which the Trustee deems sufficient.</w:t>
      </w:r>
    </w:p>
    <w:p>
      <w:pPr>
        <w:spacing w:after="0" w:line="192" w:lineRule="exact"/>
        <w:rPr>
          <w:rFonts w:ascii="Arial" w:cs="Arial" w:eastAsia="Arial" w:hAnsi="Arial"/>
          <w:sz w:val="18"/>
          <w:szCs w:val="18"/>
          <w:color w:val="auto"/>
        </w:rPr>
      </w:pPr>
    </w:p>
    <w:p>
      <w:pPr>
        <w:ind w:right="120" w:firstLine="436"/>
        <w:spacing w:after="0" w:line="277" w:lineRule="auto"/>
        <w:tabs>
          <w:tab w:leader="none" w:pos="68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ownership of Registered Securities shall be proved by the Security Register. As to any matter relating to beneficial ownership interests in any Global Security, the appropriate depository’s records shall be dispositive for purposes of this Indenture.</w:t>
      </w:r>
    </w:p>
    <w:p>
      <w:pPr>
        <w:spacing w:after="0" w:line="170" w:lineRule="exact"/>
        <w:rPr>
          <w:rFonts w:ascii="Arial" w:cs="Arial" w:eastAsia="Arial" w:hAnsi="Arial"/>
          <w:sz w:val="18"/>
          <w:szCs w:val="18"/>
          <w:color w:val="auto"/>
        </w:rPr>
      </w:pPr>
    </w:p>
    <w:p>
      <w:pPr>
        <w:ind w:right="20" w:firstLine="436"/>
        <w:spacing w:after="0" w:line="290" w:lineRule="auto"/>
        <w:tabs>
          <w:tab w:leader="none" w:pos="69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ownership of Bearer Securities may be proved by the production of such Bearer Securities or by a certificate executed, as depository, by any trust company, bank, banker or other depository, wherever situated, if such certificate shall be deemed by the Trustee to be satisfactory, showing that at the date therein mentioned such Person had on deposit with such depository,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ownership of Bearer Securities may also be proved in any other manner which the Trustee deems sufficient.</w:t>
      </w:r>
    </w:p>
    <w:p>
      <w:pPr>
        <w:spacing w:after="0" w:line="165" w:lineRule="exact"/>
        <w:rPr>
          <w:rFonts w:ascii="Arial" w:cs="Arial" w:eastAsia="Arial" w:hAnsi="Arial"/>
          <w:sz w:val="16"/>
          <w:szCs w:val="16"/>
          <w:color w:val="auto"/>
        </w:rPr>
      </w:pPr>
    </w:p>
    <w:p>
      <w:pPr>
        <w:jc w:val="both"/>
        <w:ind w:right="40" w:firstLine="436"/>
        <w:spacing w:after="0" w:line="287" w:lineRule="auto"/>
        <w:tabs>
          <w:tab w:leader="none" w:pos="68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w:t>
      </w:r>
    </w:p>
    <w:p>
      <w:pPr>
        <w:spacing w:after="0" w:line="2" w:lineRule="exact"/>
        <w:rPr>
          <w:rFonts w:ascii="Arial" w:cs="Arial" w:eastAsia="Arial" w:hAnsi="Arial"/>
          <w:sz w:val="16"/>
          <w:szCs w:val="16"/>
          <w:color w:val="auto"/>
        </w:rPr>
      </w:pPr>
    </w:p>
    <w:p>
      <w:pPr>
        <w:ind w:right="2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Notwithstanding TIA Section 316(c), such record date shall be the record date specified in or pursuant to such Board Resolution, which shall be a date not earlier than the date 30 calendar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68" w:name="page169"/>
    <w:bookmarkEnd w:id="168"/>
    <w:p>
      <w:pPr>
        <w:ind w:right="20" w:firstLine="436"/>
        <w:spacing w:after="0" w:line="279" w:lineRule="auto"/>
        <w:tabs>
          <w:tab w:leader="none" w:pos="665" w:val="left"/>
        </w:tabs>
        <w:numPr>
          <w:ilvl w:val="0"/>
          <w:numId w:val="1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request, demand, authorization, direction, notice, consent, waiver or other Act of the Holder of any Security shall bind every future Holder of the same Security and the Holder of every Security issued upon the registration of transfer thereof or upon the conversion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Notices, etc., to Trustee and Company</w:t>
      </w:r>
      <w:r>
        <w:rPr>
          <w:rFonts w:ascii="Arial" w:cs="Arial" w:eastAsia="Arial" w:hAnsi="Arial"/>
          <w:sz w:val="18"/>
          <w:szCs w:val="18"/>
          <w:color w:val="auto"/>
        </w:rPr>
        <w:t>. Any request, demand, authorization, direction, notice, consent, waiver or Act of Holders or other document provided or permitted by this Indenture to be made upon, given or furnished to, or filed with,</w:t>
      </w:r>
    </w:p>
    <w:p>
      <w:pPr>
        <w:spacing w:after="0" w:line="62" w:lineRule="exact"/>
        <w:rPr>
          <w:sz w:val="20"/>
          <w:szCs w:val="20"/>
          <w:color w:val="auto"/>
        </w:rPr>
      </w:pPr>
    </w:p>
    <w:p>
      <w:pPr>
        <w:ind w:left="440" w:right="60"/>
        <w:spacing w:after="0" w:line="308" w:lineRule="auto"/>
        <w:rPr>
          <w:sz w:val="20"/>
          <w:szCs w:val="20"/>
          <w:color w:val="auto"/>
        </w:rPr>
      </w:pPr>
      <w:r>
        <w:rPr>
          <w:rFonts w:ascii="Arial" w:cs="Arial" w:eastAsia="Arial" w:hAnsi="Arial"/>
          <w:sz w:val="17"/>
          <w:szCs w:val="17"/>
          <w:color w:val="auto"/>
        </w:rPr>
        <w:t>(1) the Trustee by any Holder or by the Company shall be sufficient for every purpose hereunder if made, given, furnished or filed in writing to or with the Trustee at [ ] or at any other address previously furnished in writing to the Company by the Trustee, Attention: [ ];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-60325</wp:posOffset>
            </wp:positionV>
            <wp:extent cx="1143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8">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-60325</wp:posOffset>
            </wp:positionV>
            <wp:extent cx="1143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8" w:lineRule="exact"/>
        <w:rPr>
          <w:sz w:val="20"/>
          <w:szCs w:val="20"/>
          <w:color w:val="auto"/>
        </w:rPr>
      </w:pPr>
    </w:p>
    <w:p>
      <w:pPr>
        <w:ind w:left="440" w:hanging="4"/>
        <w:spacing w:after="0" w:line="291" w:lineRule="auto"/>
        <w:tabs>
          <w:tab w:leader="none" w:pos="69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w:t>
      </w:r>
    </w:p>
    <w:p>
      <w:pPr>
        <w:ind w:left="440"/>
        <w:spacing w:after="0"/>
        <w:tabs>
          <w:tab w:leader="none" w:pos="8920" w:val="left"/>
        </w:tabs>
        <w:rPr>
          <w:sz w:val="20"/>
          <w:szCs w:val="20"/>
          <w:color w:val="auto"/>
        </w:rPr>
      </w:pPr>
      <w:r>
        <w:rPr>
          <w:rFonts w:ascii="Arial" w:cs="Arial" w:eastAsia="Arial" w:hAnsi="Arial"/>
          <w:sz w:val="17"/>
          <w:szCs w:val="17"/>
          <w:color w:val="auto"/>
        </w:rPr>
        <w:t>of this Indenture or at any other address previously furnished in writing to the Trustee by the Company, Attention: [</w:t>
        <w:tab/>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5558155</wp:posOffset>
            </wp:positionH>
            <wp:positionV relativeFrom="paragraph">
              <wp:posOffset>-12065</wp:posOffset>
            </wp:positionV>
            <wp:extent cx="1143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0">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94" w:lineRule="exact"/>
        <w:rPr>
          <w:sz w:val="20"/>
          <w:szCs w:val="20"/>
          <w:color w:val="auto"/>
        </w:rPr>
      </w:pPr>
    </w:p>
    <w:p>
      <w:pPr>
        <w:jc w:val="center"/>
        <w:ind w:left="440" w:right="20" w:hanging="4"/>
        <w:spacing w:after="0" w:line="291" w:lineRule="auto"/>
        <w:tabs>
          <w:tab w:leader="none" w:pos="69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either the Trustee or the Company, by the other party or by any Holder, shall be sufficient for every purpose hereunder if given by facsimile transmission, receipt confirmed by telephone followed by an original copy delivered by guaranteed overnight courier; if to the Trustee at facsimile</w:t>
      </w:r>
    </w:p>
    <w:p>
      <w:pPr>
        <w:ind w:left="440"/>
        <w:spacing w:after="0"/>
        <w:tabs>
          <w:tab w:leader="none" w:pos="1260" w:val="left"/>
          <w:tab w:leader="none" w:pos="4780" w:val="left"/>
        </w:tabs>
        <w:rPr>
          <w:sz w:val="20"/>
          <w:szCs w:val="20"/>
          <w:color w:val="auto"/>
        </w:rPr>
      </w:pPr>
      <w:r>
        <w:rPr>
          <w:rFonts w:ascii="Arial" w:cs="Arial" w:eastAsia="Arial" w:hAnsi="Arial"/>
          <w:sz w:val="18"/>
          <w:szCs w:val="18"/>
          <w:color w:val="auto"/>
        </w:rPr>
        <w:t>number [</w:t>
      </w:r>
      <w:r>
        <w:rPr>
          <w:sz w:val="20"/>
          <w:szCs w:val="20"/>
          <w:color w:val="auto"/>
        </w:rPr>
        <w:tab/>
      </w:r>
      <w:r>
        <w:rPr>
          <w:rFonts w:ascii="Arial" w:cs="Arial" w:eastAsia="Arial" w:hAnsi="Arial"/>
          <w:sz w:val="17"/>
          <w:szCs w:val="17"/>
          <w:color w:val="auto"/>
        </w:rPr>
        <w:t>]; and if to the Company at facsimile number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-19050</wp:posOffset>
            </wp:positionV>
            <wp:extent cx="1143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1">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-19050</wp:posOffset>
            </wp:positionV>
            <wp:extent cx="1143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2">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9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Notice to Holders; Waiver</w:t>
      </w:r>
      <w:r>
        <w:rPr>
          <w:rFonts w:ascii="Arial" w:cs="Arial" w:eastAsia="Arial" w:hAnsi="Arial"/>
          <w:sz w:val="18"/>
          <w:szCs w:val="18"/>
          <w:color w:val="auto"/>
        </w:rPr>
        <w:t>. Where this Indenture provides for notice of any event to Holders of Registered Securities by the Company or the Trustee, such notice shall be sufficiently given (unless otherwise herein expressly provided) if in writing and mailed, first-class postage prepaid, to each such Holder affected by such event, at his address as it appears in the Security Register, not later than the latest date, if any, and not earlier than the earliest date, if any,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herein. Any notice mailed to a Holder in the manner herein prescribed shall be conclusively deemed to have been received by such Holder, whether or not such Holder actually receives such notice.</w:t>
      </w:r>
    </w:p>
    <w:p>
      <w:pPr>
        <w:spacing w:after="0" w:line="1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Except as otherwise expressly provided herein or otherwise specified with respect to any Securities pursuant to Section 301, where this Indenture provides for notice to Holders of Bearer Securities of any event, such notice shall be sufficiently given if published in an Authorized Newspaper in The City of New York and in such other city or cities as may be specified in such Securities on a Business Day, such publication to be not later than the latest date, if any, and not earlier than the earliest date, if any, prescribed for the giving of such notice. Any such notice shall be deemed to have been given on the date of such publication or, if published more than once, on the date of the first such publication.</w:t>
      </w:r>
    </w:p>
    <w:p>
      <w:pPr>
        <w:spacing w:after="0" w:line="17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any particular Holder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69" w:name="page170"/>
    <w:bookmarkEnd w:id="169"/>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Counterparts; Effect of Headings and Table of Contents</w:t>
      </w:r>
      <w:r>
        <w:rPr>
          <w:rFonts w:ascii="Arial" w:cs="Arial" w:eastAsia="Arial" w:hAnsi="Arial"/>
          <w:sz w:val="17"/>
          <w:szCs w:val="17"/>
          <w:color w:val="auto"/>
        </w:rPr>
        <w:t>. This Indenture may be executed in any number of counterparts, each of which so executed shall be deemed to be an original, but all such counterparts shall together constitute but one and the same Indenture. The Article and Section headings herein and the Table of Contents are for convenience only and shall not affect the construction hereof.</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in this Indenture by the Company shall bind its successors and assigns, whether so expressed or not.</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Severability Clause</w:t>
      </w:r>
      <w:r>
        <w:rPr>
          <w:rFonts w:ascii="Arial" w:cs="Arial" w:eastAsia="Arial" w:hAnsi="Arial"/>
          <w:sz w:val="18"/>
          <w:szCs w:val="18"/>
          <w:color w:val="auto"/>
        </w:rPr>
        <w:t>. In case any provision in this Indenture or in any Security or coupon shall be held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 Nothing in this Indenture or in the Securities or coupons, if any,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Indenture and the Securities and coupons shall be governed by and construed in accordance with the laws of the State of New York. This Indenture is subject to the provisions of the TIA that are required to be part of this Indenture and shall, to the extent applicable, be governed by such provisions.</w:t>
      </w:r>
    </w:p>
    <w:p>
      <w:pPr>
        <w:spacing w:after="0" w:line="18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Legal Holidays</w:t>
      </w:r>
      <w:r>
        <w:rPr>
          <w:rFonts w:ascii="Arial" w:cs="Arial" w:eastAsia="Arial" w:hAnsi="Arial"/>
          <w:sz w:val="16"/>
          <w:szCs w:val="16"/>
          <w:color w:val="auto"/>
        </w:rPr>
        <w:t>. In any case where any Interest Payment Date, Redemption Date, Repayment Date, sinking fund payment date, Stated Maturity or Maturity of any Security or the last date on which a Holder has the right to convert or exchange a Security shall not be a Business Day at any Place of Payment, then (notwithstanding any other provision of this Indenture or any Security or coupon other than a provision in the Securities of any series which specifically states that such provision shall apply in lieu hereof), payment of interest or principal (and premium or Make-Whole Amount, if any) or conversion or exchange of such Security need not be made at such Place of Payment on such date, but (except as otherwise provided in the supplemental indenture with respect to such Security) may be made on the next succeeding Business Day at such Place of Payment with the same force and effect as if made on the Interest Payment Date, Redemption Date, Repayment Date or sinking fund payment date, or at the Stated Maturity or Maturity, or on such last day for conversion or exchange, provided that no interest shall accrue on the amount so payable for the period from and after such Interest Payment Date, Redemption Date, Repayment Date, sinking fund payment date, Stated Maturity or Maturity, as the case may be.</w:t>
      </w:r>
    </w:p>
    <w:p>
      <w:pPr>
        <w:spacing w:after="0" w:line="16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Limited Liability; Immunity of Shareholders, Directors, Officers and Agents of the Company</w:t>
      </w:r>
      <w:r>
        <w:rPr>
          <w:rFonts w:ascii="Arial" w:cs="Arial" w:eastAsia="Arial" w:hAnsi="Arial"/>
          <w:sz w:val="18"/>
          <w:szCs w:val="18"/>
          <w:color w:val="auto"/>
        </w:rPr>
        <w:t>. Notwithstanding any other provision of this Indenture or of the Securities of any series to the contrary, no recourse under or upon any obligation, covenant or agreement contained in this Indenture or in any Security, or for the payment of any sums due on account of any indebtedness evidenced thereby, including without limitation principal, premium or interest, if any, or for any claim based on this Indenture or any Security or otherwise in respect of this Indenture or any Security, shall be had, whether by levy or execution or otherwise, against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70" w:name="page171"/>
    <w:bookmarkEnd w:id="170"/>
    <w:p>
      <w:pPr>
        <w:ind w:left="4" w:right="100" w:hanging="4"/>
        <w:spacing w:after="0" w:line="272" w:lineRule="auto"/>
        <w:tabs>
          <w:tab w:leader="none" w:pos="219" w:val="left"/>
        </w:tabs>
        <w:numPr>
          <w:ilvl w:val="0"/>
          <w:numId w:val="1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the Company’s assets or against any past, present or future shareholder, employee, officer, director or agent, as such, of the Company or any successor, either directly or through the Company or any successor, under any rule of law, statute, constitutional provision or by the enforcement of any assessment or penalty, or by any legal or equitable proceeding or otherwise, nor shall any such parties be personally liable for any such amounts, obligations or claims, or liable for any deficiency judgment based thereon or with respect thereto, it being expressly understood that the sole remedies hereunder or under any other document with respect to the Securities against such parties with respect to such amounts, obligations or claims shall be against the Company and that all such liability of and recourse against such parties is expressly waived and released by the acceptance of the Securities by the Holders and as part of the consideration for the issue of the Securities.</w:t>
      </w:r>
    </w:p>
    <w:p>
      <w:pPr>
        <w:spacing w:after="0" w:line="177"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 If any provision hereof limits, qualifies or conflicts with another provision hereof which is required or deemed to be included in this Indenture by any of the provisions of the Trust Indenture Act, such required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200" w:lineRule="exact"/>
        <w:rPr>
          <w:sz w:val="20"/>
          <w:szCs w:val="20"/>
          <w:color w:val="auto"/>
        </w:rPr>
      </w:pPr>
    </w:p>
    <w:p>
      <w:pPr>
        <w:spacing w:after="0" w:line="2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TWO—SECURITIES FORMS</w:t>
      </w:r>
    </w:p>
    <w:p>
      <w:pPr>
        <w:spacing w:after="0" w:line="225" w:lineRule="exact"/>
        <w:rPr>
          <w:sz w:val="20"/>
          <w:szCs w:val="20"/>
          <w:color w:val="auto"/>
        </w:rPr>
      </w:pPr>
    </w:p>
    <w:p>
      <w:pPr>
        <w:ind w:left="4" w:right="40"/>
        <w:spacing w:after="0" w:line="254"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Forms of Securities</w:t>
      </w:r>
      <w:r>
        <w:rPr>
          <w:rFonts w:ascii="Arial" w:cs="Arial" w:eastAsia="Arial" w:hAnsi="Arial"/>
          <w:sz w:val="18"/>
          <w:szCs w:val="18"/>
          <w:color w:val="auto"/>
        </w:rPr>
        <w:t xml:space="preserve">. The Registered Securities, if any, of each series and the Bearer Securities, if any, of each series and related coupons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or in such other form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over-the-counter market or securities exchange, on which the Securities may be quoted or listed, or to conform to usage.</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auto"/>
        </w:rPr>
        <w:t>Unless otherwise specified as contemplated by Section 301, Bearer Securities shall have interest coupons attached.</w:t>
      </w:r>
    </w:p>
    <w:p>
      <w:pPr>
        <w:spacing w:after="0" w:line="225" w:lineRule="exact"/>
        <w:rPr>
          <w:sz w:val="20"/>
          <w:szCs w:val="20"/>
          <w:color w:val="auto"/>
        </w:rPr>
      </w:pPr>
    </w:p>
    <w:p>
      <w:pPr>
        <w:jc w:val="both"/>
        <w:ind w:left="4" w:right="120"/>
        <w:spacing w:after="0" w:line="263" w:lineRule="auto"/>
        <w:rPr>
          <w:sz w:val="20"/>
          <w:szCs w:val="20"/>
          <w:color w:val="auto"/>
        </w:rPr>
      </w:pPr>
      <w:r>
        <w:rPr>
          <w:rFonts w:ascii="Arial" w:cs="Arial" w:eastAsia="Arial" w:hAnsi="Arial"/>
          <w:sz w:val="18"/>
          <w:szCs w:val="18"/>
          <w:color w:val="auto"/>
        </w:rPr>
        <w:t>The definitive Securities and coupons shall be printed, lithographed or engraved or produced by any combination of these methods on a steel engraved border or steel engraved borders or mechanically reproduced on safety paper or may be produced in any other manner, all as determined by the officers executing such Securities or coupons, as evidenced by their execution of such Securities or coupons.</w:t>
      </w:r>
    </w:p>
    <w:p>
      <w:pPr>
        <w:spacing w:after="0" w:line="184" w:lineRule="exact"/>
        <w:rPr>
          <w:sz w:val="20"/>
          <w:szCs w:val="20"/>
          <w:color w:val="auto"/>
        </w:rPr>
      </w:pPr>
    </w:p>
    <w:p>
      <w:pPr>
        <w:ind w:left="4" w:right="920"/>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 Subject to Section 611, the Trustee’s certificate of authentication shall be in substantially the following form:</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is one of the Securities of the series designated therein referred to in the within- mentioned Indenture.</w:t>
      </w:r>
    </w:p>
    <w:p>
      <w:pPr>
        <w:spacing w:after="0" w:line="252" w:lineRule="exact"/>
        <w:rPr>
          <w:sz w:val="20"/>
          <w:szCs w:val="20"/>
          <w:color w:val="auto"/>
        </w:rPr>
      </w:pPr>
    </w:p>
    <w:p>
      <w:pPr>
        <w:ind w:left="5624"/>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5624"/>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4"/>
        <w:spacing w:after="0"/>
        <w:tabs>
          <w:tab w:leader="none" w:pos="5664"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14605</wp:posOffset>
            </wp:positionV>
            <wp:extent cx="32143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5">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 w:lineRule="exact"/>
        <w:rPr>
          <w:sz w:val="20"/>
          <w:szCs w:val="20"/>
          <w:color w:val="auto"/>
        </w:rPr>
      </w:pPr>
    </w:p>
    <w:p>
      <w:pPr>
        <w:ind w:left="7764"/>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Securities Issuable in Global Form</w:t>
      </w:r>
      <w:r>
        <w:rPr>
          <w:rFonts w:ascii="Arial" w:cs="Arial" w:eastAsia="Arial" w:hAnsi="Arial"/>
          <w:sz w:val="17"/>
          <w:szCs w:val="17"/>
          <w:color w:val="auto"/>
        </w:rPr>
        <w:t>. If Securities of or within a series are issuable in the form of one or more Global Securities, then, notwithstanding clause (8) of Section 301 and the provisions of Section 302, any such Global Security or Securities may provide that it or they shall represent the aggregate amount of all Outstanding Securities of such series (or such lesser amount as is permitted by the terms thereof) from time to time endorsed thereon and may also provide that the aggregate amount of Outstanding Securities of such series represented thereby may from time to time be increased or decreased to reflect exchanges. Any endorsement of any Global Security to reflect the amount, or any increase or decrease in the amount, or changes in the rights of Holders thereof, of Outstanding Securities represented thereby shall be made (or caused to be made) by the Trustee in such manner or by such Person or Persons as shall be specified therein or in the Company Order to be delivered to the Trustee pursuant to Section 303 or 304. Subject to the provisions of Section 303 and, if applicable, Section 304, the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171" w:name="page172"/>
    <w:bookmarkEnd w:id="171"/>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 shall deliver and redeliver any Global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or delivery or redelivery of a Global Security shall be in writing but need not comply with Section 102 and need not be accompanied by an Opinion of Counsel.</w:t>
      </w:r>
    </w:p>
    <w:p>
      <w:pPr>
        <w:spacing w:after="0" w:line="18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provisions of the last sentence of Section 303 shall apply to any Security represented by a Global Security if such Security was never issued and sold by the Company and the Company delivers to the Trustee the Global Security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7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Notwithstanding the provisions of Section 307, unless otherwise specified as contemplated by Section 301, payment of principal of and any premium or Make-Whole Amount, if any, and interest on any Global Security in permanent global form shall be made to the registered Holder thereof.</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Notwithstanding the provisions of Section 308 and except as provided in the preceding paragraph, the Company, the Trustee and any agent of the Company and the Trustee shall treat as the Holder of such principal amount of Outstanding Securities represented by a permanent Global Security (i) in the case of a permanent Global Security in registered form, the Holder of such permanent Global Security in registered form, or (ii) in the case of a permanent Global Security in bearer form, Euroclear or Clearstream.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Any Global Security authenticated and delivered hereunder shall bear a legend in substantially the following form:</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Security is a Global Security within the meaning set forth in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 or by the Depository or its nominee to a successor Depository or its nominee.”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THREE—THE SECURITIES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 The aggregate principal amount of Securities which may be authenticated and delivered under this Indenture is unlimited.</w:t>
      </w:r>
    </w:p>
    <w:p>
      <w:pPr>
        <w:spacing w:after="0" w:line="17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Securities may be issued in one or more series, each of which shall be authorized pursuant to Board Resolutions of the Company. There shall be established in one or more Board Resolutions or pursuant to authority granted by one or more Board Resolutions and, subject to Section 303, set forth in an Officers’ Certificate, or established in one or more indentures supplemental hereto, prior to the issuance of Securities of any series:</w:t>
      </w:r>
    </w:p>
    <w:p>
      <w:pPr>
        <w:spacing w:after="0" w:line="41" w:lineRule="exact"/>
        <w:rPr>
          <w:sz w:val="20"/>
          <w:szCs w:val="20"/>
          <w:color w:val="auto"/>
        </w:rPr>
      </w:pPr>
    </w:p>
    <w:p>
      <w:pPr>
        <w:ind w:left="440" w:right="120" w:hanging="4"/>
        <w:spacing w:after="0" w:line="277" w:lineRule="auto"/>
        <w:tabs>
          <w:tab w:leader="none" w:pos="69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title of the Securities of the series, including “CUSIP” numbers (which shall distinguish the Securities of such series from all other series of Securities);</w:t>
      </w:r>
    </w:p>
    <w:p>
      <w:pPr>
        <w:spacing w:after="0" w:line="62" w:lineRule="exact"/>
        <w:rPr>
          <w:rFonts w:ascii="Arial" w:cs="Arial" w:eastAsia="Arial" w:hAnsi="Arial"/>
          <w:sz w:val="18"/>
          <w:szCs w:val="18"/>
          <w:color w:val="auto"/>
        </w:rPr>
      </w:pPr>
    </w:p>
    <w:p>
      <w:pPr>
        <w:ind w:left="440" w:right="280" w:hanging="4"/>
        <w:spacing w:after="0" w:line="259" w:lineRule="auto"/>
        <w:tabs>
          <w:tab w:leader="none" w:pos="69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upon conversion of, or in exchange for, or in lieu of, other Securities of the series pursuant to Section 304, 305, 306, 906, 1107 or 1305) and the minimum authorized denominations with respect to the Securities of such series;</w:t>
      </w:r>
    </w:p>
    <w:p>
      <w:pPr>
        <w:spacing w:after="0" w:line="78" w:lineRule="exact"/>
        <w:rPr>
          <w:rFonts w:ascii="Arial" w:cs="Arial" w:eastAsia="Arial" w:hAnsi="Arial"/>
          <w:sz w:val="18"/>
          <w:szCs w:val="18"/>
          <w:color w:val="auto"/>
        </w:rPr>
      </w:pPr>
    </w:p>
    <w:p>
      <w:pPr>
        <w:ind w:left="440" w:right="160" w:hanging="4"/>
        <w:spacing w:after="0" w:line="259" w:lineRule="auto"/>
        <w:tabs>
          <w:tab w:leader="none" w:pos="69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price (expressed as a percentage of the principal amount thereof) at which such Securities will be issued and, if other than the principal amount thereof, the portion of the principal amount thereof payable upon declaration of acceleration of the maturity thereof or (if applicable) the portion of the principal amount of such Securities that is convertible into Ordinary Shares or the method by which any such portion shall be determined.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72" w:name="page173"/>
    <w:bookmarkEnd w:id="172"/>
    <w:p>
      <w:pPr>
        <w:ind w:left="4" w:right="160" w:hanging="4"/>
        <w:spacing w:after="0" w:line="342" w:lineRule="auto"/>
        <w:tabs>
          <w:tab w:leader="none" w:pos="258" w:val="left"/>
        </w:tabs>
        <w:numPr>
          <w:ilvl w:val="0"/>
          <w:numId w:val="1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convertible, the terms on which such Securities are convertible, including the initial conversion price or rate and the conversion period and any applicable limitations on the ownership or transferability of Ordinary Shares or Preference Shares receivable on conversion;</w:t>
      </w:r>
    </w:p>
    <w:p>
      <w:pPr>
        <w:spacing w:after="0" w:line="15" w:lineRule="exact"/>
        <w:rPr>
          <w:rFonts w:ascii="Arial" w:cs="Arial" w:eastAsia="Arial" w:hAnsi="Arial"/>
          <w:sz w:val="16"/>
          <w:szCs w:val="16"/>
          <w:color w:val="auto"/>
        </w:rPr>
      </w:pPr>
    </w:p>
    <w:p>
      <w:pPr>
        <w:ind w:left="264" w:hanging="264"/>
        <w:spacing w:after="0"/>
        <w:tabs>
          <w:tab w:leader="none" w:pos="26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date or dates, or the method for determining such date or dates, on which the principal of such Securities will be payable;</w:t>
      </w:r>
    </w:p>
    <w:p>
      <w:pPr>
        <w:spacing w:after="0" w:line="117" w:lineRule="exact"/>
        <w:rPr>
          <w:rFonts w:ascii="Arial" w:cs="Arial" w:eastAsia="Arial" w:hAnsi="Arial"/>
          <w:sz w:val="18"/>
          <w:szCs w:val="18"/>
          <w:color w:val="auto"/>
        </w:rPr>
      </w:pPr>
    </w:p>
    <w:p>
      <w:pPr>
        <w:ind w:left="4" w:right="40" w:hanging="4"/>
        <w:spacing w:after="0" w:line="277" w:lineRule="auto"/>
        <w:tabs>
          <w:tab w:leader="none" w:pos="25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rate or rates (which may be fixed or variable), or the method by which such rate or rates shall be determined, at which such Securities will bear interest, if any;</w:t>
      </w:r>
    </w:p>
    <w:p>
      <w:pPr>
        <w:spacing w:after="0" w:line="62" w:lineRule="exact"/>
        <w:rPr>
          <w:rFonts w:ascii="Arial" w:cs="Arial" w:eastAsia="Arial" w:hAnsi="Arial"/>
          <w:sz w:val="18"/>
          <w:szCs w:val="18"/>
          <w:color w:val="auto"/>
        </w:rPr>
      </w:pPr>
    </w:p>
    <w:p>
      <w:pPr>
        <w:jc w:val="both"/>
        <w:ind w:left="4" w:right="220" w:hanging="4"/>
        <w:spacing w:after="0" w:line="259" w:lineRule="auto"/>
        <w:tabs>
          <w:tab w:leader="none" w:pos="25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78" w:lineRule="exact"/>
        <w:rPr>
          <w:rFonts w:ascii="Arial" w:cs="Arial" w:eastAsia="Arial" w:hAnsi="Arial"/>
          <w:sz w:val="18"/>
          <w:szCs w:val="18"/>
          <w:color w:val="auto"/>
        </w:rPr>
      </w:pPr>
    </w:p>
    <w:p>
      <w:pPr>
        <w:ind w:left="4" w:right="20" w:hanging="4"/>
        <w:spacing w:after="0" w:line="277" w:lineRule="auto"/>
        <w:tabs>
          <w:tab w:leader="none" w:pos="25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Make-Whole Amount, if any, or method for determining the Make-Whole Amount, if any, payable with respect to such Securities, and the terms upon which such amount, if any, will be payable;</w:t>
      </w:r>
    </w:p>
    <w:p>
      <w:pPr>
        <w:spacing w:after="0" w:line="62" w:lineRule="exact"/>
        <w:rPr>
          <w:rFonts w:ascii="Arial" w:cs="Arial" w:eastAsia="Arial" w:hAnsi="Arial"/>
          <w:sz w:val="18"/>
          <w:szCs w:val="18"/>
          <w:color w:val="auto"/>
        </w:rPr>
      </w:pPr>
    </w:p>
    <w:p>
      <w:pPr>
        <w:ind w:left="4" w:right="20" w:hanging="4"/>
        <w:spacing w:after="0" w:line="263" w:lineRule="auto"/>
        <w:tabs>
          <w:tab w:leader="none" w:pos="25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place or places where the principal of (and premium or Make-Whole Amount, if any) and interest, if any, on such Securities will be payable, where such Securities may be surrendered for registration of transfer or conversion or exchange and where notices or demands to or upon the Company in respect of such Securities and this Indenture may be served;</w:t>
      </w:r>
    </w:p>
    <w:p>
      <w:pPr>
        <w:spacing w:after="0" w:line="75" w:lineRule="exact"/>
        <w:rPr>
          <w:rFonts w:ascii="Arial" w:cs="Arial" w:eastAsia="Arial" w:hAnsi="Arial"/>
          <w:sz w:val="18"/>
          <w:szCs w:val="18"/>
          <w:color w:val="auto"/>
        </w:rPr>
      </w:pPr>
    </w:p>
    <w:p>
      <w:pPr>
        <w:ind w:left="4" w:right="160" w:hanging="4"/>
        <w:spacing w:after="0" w:line="308" w:lineRule="auto"/>
        <w:tabs>
          <w:tab w:leader="none" w:pos="34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period or periods, if any, within which, the price or prices at which and the other terms and conditions upon which such Securities may, pursuant to any optional or mandatory redemption provisions, be redeemed, as a whole or in part, at the option of the Company;</w:t>
      </w:r>
    </w:p>
    <w:p>
      <w:pPr>
        <w:spacing w:after="0" w:line="38" w:lineRule="exact"/>
        <w:rPr>
          <w:rFonts w:ascii="Arial" w:cs="Arial" w:eastAsia="Arial" w:hAnsi="Arial"/>
          <w:sz w:val="17"/>
          <w:szCs w:val="17"/>
          <w:color w:val="auto"/>
        </w:rPr>
      </w:pPr>
    </w:p>
    <w:p>
      <w:pPr>
        <w:ind w:left="4" w:hanging="4"/>
        <w:spacing w:after="0" w:line="263" w:lineRule="auto"/>
        <w:tabs>
          <w:tab w:leader="none" w:pos="34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obligation, if any, of the Company to redeem, repay or purchase such Securities pursuant to any sinking fund or analogous provision or at the option of a Holder thereof, and the period or periods within which, the price or prices at which and the other terms and conditions upon which such Securities will be redeemed, repaid or purchased, as a whole or in part, pursuant to such obligation;</w:t>
      </w:r>
    </w:p>
    <w:p>
      <w:pPr>
        <w:spacing w:after="0" w:line="75" w:lineRule="exact"/>
        <w:rPr>
          <w:rFonts w:ascii="Arial" w:cs="Arial" w:eastAsia="Arial" w:hAnsi="Arial"/>
          <w:sz w:val="18"/>
          <w:szCs w:val="18"/>
          <w:color w:val="auto"/>
        </w:rPr>
      </w:pPr>
    </w:p>
    <w:p>
      <w:pPr>
        <w:ind w:left="4" w:right="180" w:hanging="4"/>
        <w:spacing w:after="0" w:line="286" w:lineRule="auto"/>
        <w:tabs>
          <w:tab w:leader="none" w:pos="34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If other than Dollars, the currency or currencies in which such Securities are denominated and payable, which may be a foreign currency or units of two or more foreign currencies or a composite currency or currencies, the manner of determining the equivalent thereof in Dollars for purposes of the definition of “Outstanding” in Section 101, and the terms and conditions relating thereto;</w:t>
      </w:r>
    </w:p>
    <w:p>
      <w:pPr>
        <w:spacing w:after="0" w:line="57" w:lineRule="exact"/>
        <w:rPr>
          <w:rFonts w:ascii="Arial" w:cs="Arial" w:eastAsia="Arial" w:hAnsi="Arial"/>
          <w:sz w:val="17"/>
          <w:szCs w:val="17"/>
          <w:color w:val="auto"/>
        </w:rPr>
      </w:pPr>
    </w:p>
    <w:p>
      <w:pPr>
        <w:ind w:left="4" w:right="100" w:hanging="4"/>
        <w:spacing w:after="0" w:line="301" w:lineRule="auto"/>
        <w:tabs>
          <w:tab w:leader="none" w:pos="34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Whether the amount of payments of principal of (and premium or Make-Whole Amount, if any, including any amount due upon redemption, if any) or interest on such Securities may be determined with reference to an index, formula or other method (which index, formula or method may, but need not be, based on the yield on or trading price of other securities, including United States Treasury securities or on a currency, currencies, currency unit or units, or composite currency or currencies) and the manner in which such amounts shall be determined;</w:t>
      </w:r>
    </w:p>
    <w:p>
      <w:pPr>
        <w:spacing w:after="0" w:line="49" w:lineRule="exact"/>
        <w:rPr>
          <w:rFonts w:ascii="Arial" w:cs="Arial" w:eastAsia="Arial" w:hAnsi="Arial"/>
          <w:sz w:val="16"/>
          <w:szCs w:val="16"/>
          <w:color w:val="auto"/>
        </w:rPr>
      </w:pPr>
    </w:p>
    <w:p>
      <w:pPr>
        <w:ind w:left="4" w:right="20" w:hanging="4"/>
        <w:spacing w:after="0" w:line="254" w:lineRule="auto"/>
        <w:tabs>
          <w:tab w:leader="none" w:pos="34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Whether the principal of (and premium or Make-Whole Amount, if any) or interest on the Securities of the series are to be payable, at the election of the Company or a Holder thereof, in a currency or currencies, currency unit or units or composite currency or currencies other than that in which such Securities are denominated or stated to be payable, the period or periods within which, and the terms and conditions upon which, such election may be made, and the time and manner of, and identity of the exchange rate agent with responsibility for, determining the exchange rate between the currency or currencies, currency unit or units or composite currency or currencies in which such Securities are denominated or stated to be payable and the currency or currencies, currency unit or units or composite currency or currencies in which such Securities are to be so payable;</w:t>
      </w:r>
    </w:p>
    <w:p>
      <w:pPr>
        <w:spacing w:after="0" w:line="86" w:lineRule="exact"/>
        <w:rPr>
          <w:rFonts w:ascii="Arial" w:cs="Arial" w:eastAsia="Arial" w:hAnsi="Arial"/>
          <w:sz w:val="18"/>
          <w:szCs w:val="18"/>
          <w:color w:val="auto"/>
        </w:rPr>
      </w:pPr>
    </w:p>
    <w:p>
      <w:pPr>
        <w:ind w:left="344" w:hanging="344"/>
        <w:spacing w:after="0"/>
        <w:tabs>
          <w:tab w:leader="none" w:pos="344" w:val="left"/>
        </w:tabs>
        <w:numPr>
          <w:ilvl w:val="0"/>
          <w:numId w:val="152"/>
        </w:numPr>
        <w:rPr>
          <w:rFonts w:ascii="Arial" w:cs="Arial" w:eastAsia="Arial" w:hAnsi="Arial"/>
          <w:sz w:val="16"/>
          <w:szCs w:val="16"/>
          <w:color w:val="auto"/>
        </w:rPr>
      </w:pPr>
      <w:r>
        <w:rPr>
          <w:rFonts w:ascii="Arial" w:cs="Arial" w:eastAsia="Arial" w:hAnsi="Arial"/>
          <w:sz w:val="16"/>
          <w:szCs w:val="16"/>
          <w:color w:val="auto"/>
        </w:rPr>
        <w:t>Provisions, if any, granting special rights to the Holders of Securities of the series upon the occurrence of such events as may be specified;</w:t>
      </w:r>
    </w:p>
    <w:p>
      <w:pPr>
        <w:spacing w:after="0" w:line="140" w:lineRule="exact"/>
        <w:rPr>
          <w:rFonts w:ascii="Arial" w:cs="Arial" w:eastAsia="Arial" w:hAnsi="Arial"/>
          <w:sz w:val="16"/>
          <w:szCs w:val="16"/>
          <w:color w:val="auto"/>
        </w:rPr>
      </w:pPr>
    </w:p>
    <w:p>
      <w:pPr>
        <w:ind w:left="4" w:right="400" w:hanging="4"/>
        <w:spacing w:after="0" w:line="342" w:lineRule="auto"/>
        <w:tabs>
          <w:tab w:leader="none" w:pos="34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Any deletions from, modifications of or additions to the Events of Default or covenants of the Company with respect to Securities of the series, whether or not such Events of Default or covenants are consistent with the Events of Default or covenants set forth herein;</w:t>
      </w:r>
    </w:p>
    <w:p>
      <w:pPr>
        <w:spacing w:after="0" w:line="5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4"/>
          </w:cols>
          <w:pgMar w:left="876" w:top="274" w:right="459" w:bottom="1440" w:gutter="0" w:footer="0" w:header="0"/>
        </w:sectPr>
      </w:pPr>
    </w:p>
    <w:bookmarkStart w:id="173" w:name="page174"/>
    <w:bookmarkEnd w:id="173"/>
    <w:p>
      <w:pPr>
        <w:ind w:left="440" w:right="80" w:hanging="4"/>
        <w:spacing w:after="0" w:line="342" w:lineRule="auto"/>
        <w:tabs>
          <w:tab w:leader="none" w:pos="785" w:val="left"/>
        </w:tabs>
        <w:numPr>
          <w:ilvl w:val="0"/>
          <w:numId w:val="1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and under what circumstances the Company will pay any additional amounts on such Securities in respect of any tax, assessment or governmental charge and, if so, whether the Company will have the option to redeem such Securities in lieu of making such payment;</w:t>
      </w:r>
    </w:p>
    <w:p>
      <w:pPr>
        <w:spacing w:after="0" w:line="15" w:lineRule="exact"/>
        <w:rPr>
          <w:rFonts w:ascii="Arial" w:cs="Arial" w:eastAsia="Arial" w:hAnsi="Arial"/>
          <w:sz w:val="16"/>
          <w:szCs w:val="16"/>
          <w:color w:val="auto"/>
        </w:rPr>
      </w:pPr>
    </w:p>
    <w:p>
      <w:pPr>
        <w:ind w:left="440" w:hanging="4"/>
        <w:spacing w:after="0" w:line="271" w:lineRule="auto"/>
        <w:tabs>
          <w:tab w:leader="none" w:pos="78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Whether Securities of the series are to be issuable as Registered Securities, Bearer Securities (with or without coupons) or both, any restrictions applicable to the offer, sale or delivery of Bearer Securities and the terms upon which Bearer Securities of the series may be exchanged for Registered Securities of the series and vice versa (if permitted by applicable laws and regulations), whether any Securities of the series are to be issuable initially in temporary global form and whether any Securities of the series are to be issuable in permanent global form with or without coupons and, if so, whether beneficial owners of interests in any such permanent global Security may, or shall be required to, exchange such interests for Securities of such series and of like tenor of any authorized form and denomination and the circumstances under which any such exchanges may, or shall be required to, occur, if other than in the manner provided in the Indenture, and, if Registered Securities of the series are to be issuable as a Global Security, the identity of the depository for such series;</w:t>
      </w:r>
    </w:p>
    <w:p>
      <w:pPr>
        <w:spacing w:after="0" w:line="70" w:lineRule="exact"/>
        <w:rPr>
          <w:rFonts w:ascii="Arial" w:cs="Arial" w:eastAsia="Arial" w:hAnsi="Arial"/>
          <w:sz w:val="17"/>
          <w:szCs w:val="17"/>
          <w:color w:val="auto"/>
        </w:rPr>
      </w:pPr>
    </w:p>
    <w:p>
      <w:pPr>
        <w:ind w:left="440" w:right="160" w:hanging="4"/>
        <w:spacing w:after="0" w:line="277" w:lineRule="auto"/>
        <w:tabs>
          <w:tab w:leader="none" w:pos="78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62" w:lineRule="exact"/>
        <w:rPr>
          <w:rFonts w:ascii="Arial" w:cs="Arial" w:eastAsia="Arial" w:hAnsi="Arial"/>
          <w:sz w:val="18"/>
          <w:szCs w:val="18"/>
          <w:color w:val="auto"/>
        </w:rPr>
      </w:pPr>
    </w:p>
    <w:p>
      <w:pPr>
        <w:ind w:left="440" w:hanging="4"/>
        <w:spacing w:after="0" w:line="254" w:lineRule="auto"/>
        <w:tabs>
          <w:tab w:leader="none" w:pos="78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each case, that the manner of determining such Person or making such payment shall be acceptable to the Trustee (as not imposing on it any undue administrative burden or risk of liability);</w:t>
      </w:r>
    </w:p>
    <w:p>
      <w:pPr>
        <w:spacing w:after="0" w:line="86" w:lineRule="exact"/>
        <w:rPr>
          <w:rFonts w:ascii="Arial" w:cs="Arial" w:eastAsia="Arial" w:hAnsi="Arial"/>
          <w:sz w:val="18"/>
          <w:szCs w:val="18"/>
          <w:color w:val="auto"/>
        </w:rPr>
      </w:pPr>
    </w:p>
    <w:p>
      <w:pPr>
        <w:ind w:left="780" w:hanging="344"/>
        <w:spacing w:after="0"/>
        <w:tabs>
          <w:tab w:leader="none" w:pos="7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applicability, if any, of the Defeasance and Covenant Defeasance provisions of Article Fourteen hereof to the Securities of the series;</w:t>
      </w:r>
    </w:p>
    <w:p>
      <w:pPr>
        <w:spacing w:after="0" w:line="140" w:lineRule="exact"/>
        <w:rPr>
          <w:rFonts w:ascii="Arial" w:cs="Arial" w:eastAsia="Arial" w:hAnsi="Arial"/>
          <w:sz w:val="16"/>
          <w:szCs w:val="16"/>
          <w:color w:val="auto"/>
        </w:rPr>
      </w:pPr>
    </w:p>
    <w:p>
      <w:pPr>
        <w:ind w:left="440" w:right="60" w:hanging="4"/>
        <w:spacing w:after="0" w:line="259" w:lineRule="auto"/>
        <w:tabs>
          <w:tab w:leader="none" w:pos="78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obligation, if any, of the Company to permit the conversion of the Securities of such series into Ordinary Shares or Preference Shares, as the case may be, and the terms and conditions upon which such conversion shall be effected (including, without limitation, the initial conversion price or rate, the conversion period, any adjustment of the applicable conversion price and any requirements relative to the reservation of such shares for purposes of conversion);</w:t>
      </w:r>
    </w:p>
    <w:p>
      <w:pPr>
        <w:spacing w:after="0" w:line="78" w:lineRule="exact"/>
        <w:rPr>
          <w:rFonts w:ascii="Arial" w:cs="Arial" w:eastAsia="Arial" w:hAnsi="Arial"/>
          <w:sz w:val="18"/>
          <w:szCs w:val="18"/>
          <w:color w:val="auto"/>
        </w:rPr>
      </w:pPr>
    </w:p>
    <w:p>
      <w:pPr>
        <w:ind w:left="440" w:right="80" w:hanging="4"/>
        <w:spacing w:after="0" w:line="263" w:lineRule="auto"/>
        <w:tabs>
          <w:tab w:leader="none" w:pos="78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75" w:lineRule="exact"/>
        <w:rPr>
          <w:rFonts w:ascii="Arial" w:cs="Arial" w:eastAsia="Arial" w:hAnsi="Arial"/>
          <w:sz w:val="18"/>
          <w:szCs w:val="18"/>
          <w:color w:val="auto"/>
        </w:rPr>
      </w:pPr>
    </w:p>
    <w:p>
      <w:pPr>
        <w:ind w:left="440" w:right="420" w:hanging="4"/>
        <w:spacing w:after="0" w:line="342" w:lineRule="auto"/>
        <w:tabs>
          <w:tab w:leader="none" w:pos="78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Designation of the Trustee, if different from the Trustee under the Indenture, with respect to such series and the terms applicable to such Trustee (which shall be accepted by such Trustee by its execution and delivery of a supplemental indenture as provided therein); and</w:t>
      </w:r>
    </w:p>
    <w:p>
      <w:pPr>
        <w:spacing w:after="0" w:line="15" w:lineRule="exact"/>
        <w:rPr>
          <w:rFonts w:ascii="Arial" w:cs="Arial" w:eastAsia="Arial" w:hAnsi="Arial"/>
          <w:sz w:val="16"/>
          <w:szCs w:val="16"/>
          <w:color w:val="auto"/>
        </w:rPr>
      </w:pPr>
    </w:p>
    <w:p>
      <w:pPr>
        <w:ind w:left="440" w:right="20" w:hanging="4"/>
        <w:spacing w:after="0" w:line="308" w:lineRule="auto"/>
        <w:tabs>
          <w:tab w:leader="none" w:pos="78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Any other terms of the Securities of such series or any guarantees endorsed thereon (which terms shall not be inconsistent with the provisions of the TIA, but may modify, amend, supplement or delete any of the terms of this Indenture with respect to such series).</w:t>
      </w:r>
    </w:p>
    <w:p>
      <w:pPr>
        <w:spacing w:after="0" w:line="14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such Board Resolution (subject to Section 303) and set forth in such Officers’ Certificate or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174" w:name="page175"/>
    <w:bookmarkEnd w:id="174"/>
    <w:p>
      <w:pPr>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Denominations</w:t>
      </w:r>
      <w:r>
        <w:rPr>
          <w:rFonts w:ascii="Arial" w:cs="Arial" w:eastAsia="Arial" w:hAnsi="Arial"/>
          <w:sz w:val="17"/>
          <w:szCs w:val="17"/>
          <w:color w:val="auto"/>
        </w:rPr>
        <w:t>. The Securities of each series shall be issuable in such denominations as shall be specified as contemplated by</w:t>
      </w:r>
    </w:p>
    <w:p>
      <w:pPr>
        <w:spacing w:after="0" w:line="35"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Section 301. With respect to Securities of any series denominated in Dollars, in the absence of any such provisions with respect to the Securities of any series, the Securities of such series, other than Global Securities (which may be of any denomination), shall be issuable in denominations of $1,000 and any integral multiple thereof or the equivalent amounts thereof in the case of Securities denominated in the Foreign Currency or currency unit.</w:t>
      </w:r>
    </w:p>
    <w:p>
      <w:pPr>
        <w:spacing w:after="0" w:line="15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Execution, Authentication, Delivery and Dating</w:t>
      </w:r>
      <w:r>
        <w:rPr>
          <w:rFonts w:ascii="Arial" w:cs="Arial" w:eastAsia="Arial" w:hAnsi="Arial"/>
          <w:sz w:val="16"/>
          <w:szCs w:val="16"/>
          <w:color w:val="auto"/>
        </w:rPr>
        <w:t>. The Securities and any coupons appertaining thereto shall be executed on behalf of the Company by its Chairman of the Board, its Chief Executive Officer, its President, or one of its Vice Presidents, under its corporate seal reproduced thereon, and attested by its Secretary or one of its Assistant Secretaries. The signature of any of these officers on the Securities and coupons may be manual or facsimile signatures of the present or any future such authorized officer and may be imprinted or otherwise reproduced on the Securities.</w:t>
      </w:r>
    </w:p>
    <w:p>
      <w:pPr>
        <w:spacing w:after="0" w:line="1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At any time and from time to time after the execution and delivery of this Indenture, the Company may deliver Securities of any series, together with any coupon appertaining thereto, executed by the Company to the Trustee for authentication, together with a Company Order for the authentication and delivery of such Securities (accompanied by a copy of the Board Resolution and the Officers’ Certificate or supplemental indenture contemplated by Section 301), and the Trustee in accordance with the Company Order shall authenticate and deliver such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connection with its original issuance, no Bearer Security shall be mailed or otherwise delivered to any location in the United States;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unless otherwise specified with respect to any series of Securities pursuant to Section 301, a Bearer Security may be delivered in connection with its original issuance only if the Person entitled to receive such Bearer Security shall have furnished a certificate to Euroclear or Clearstream, as the case may be, in the form set forth in </w:t>
      </w:r>
      <w:r>
        <w:rPr>
          <w:rFonts w:ascii="Arial" w:cs="Arial" w:eastAsia="Arial" w:hAnsi="Arial"/>
          <w:sz w:val="17"/>
          <w:szCs w:val="17"/>
          <w:u w:val="single" w:color="auto"/>
          <w:color w:val="auto"/>
        </w:rPr>
        <w:t>Exhibit B-1</w:t>
      </w:r>
      <w:r>
        <w:rPr>
          <w:rFonts w:ascii="Arial" w:cs="Arial" w:eastAsia="Arial" w:hAnsi="Arial"/>
          <w:sz w:val="17"/>
          <w:szCs w:val="17"/>
          <w:color w:val="auto"/>
        </w:rPr>
        <w:t xml:space="preserve"> to this Indenture or such other certificate as may be specified by the Company with respect to any series of Securities pursuant to Section 301, dated no earlier than 15 calendar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canceled.</w:t>
      </w:r>
    </w:p>
    <w:p>
      <w:pPr>
        <w:spacing w:after="0" w:line="18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or formula,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w:t>
      </w:r>
    </w:p>
    <w:p>
      <w:pPr>
        <w:spacing w:after="0" w:line="176" w:lineRule="exact"/>
        <w:rPr>
          <w:sz w:val="20"/>
          <w:szCs w:val="20"/>
          <w:color w:val="auto"/>
        </w:rPr>
      </w:pPr>
    </w:p>
    <w:p>
      <w:pPr>
        <w:ind w:left="660" w:hanging="224"/>
        <w:spacing w:after="0"/>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 Opinion of Counsel stating that</w:t>
      </w:r>
    </w:p>
    <w:p>
      <w:pPr>
        <w:spacing w:after="0" w:line="117" w:lineRule="exact"/>
        <w:rPr>
          <w:rFonts w:ascii="Arial" w:cs="Arial" w:eastAsia="Arial" w:hAnsi="Arial"/>
          <w:sz w:val="18"/>
          <w:szCs w:val="18"/>
          <w:color w:val="auto"/>
        </w:rPr>
      </w:pPr>
    </w:p>
    <w:p>
      <w:pPr>
        <w:jc w:val="center"/>
        <w:ind w:left="5420" w:right="700" w:hanging="4561"/>
        <w:spacing w:after="0" w:line="449" w:lineRule="auto"/>
        <w:tabs>
          <w:tab w:leader="none" w:pos="111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form or forms of such Securities and any coupons have been established in conformity with the provisions of this Indenture; 18</w:t>
      </w:r>
    </w:p>
    <w:p>
      <w:pPr>
        <w:sectPr>
          <w:pgSz w:w="11900" w:h="16838" w:orient="portrait"/>
          <w:cols w:equalWidth="0" w:num="1">
            <w:col w:w="11000"/>
          </w:cols>
          <w:pgMar w:left="440" w:top="274" w:right="459" w:bottom="1440" w:gutter="0" w:footer="0" w:header="0"/>
        </w:sectPr>
      </w:pPr>
    </w:p>
    <w:bookmarkStart w:id="175" w:name="page176"/>
    <w:bookmarkEnd w:id="175"/>
    <w:p>
      <w:pPr>
        <w:ind w:left="700" w:hanging="264"/>
        <w:spacing w:after="0"/>
        <w:tabs>
          <w:tab w:leader="none" w:pos="7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terms of such Securities and any coupons have been established in conformity with the provisions of this Indenture; and</w:t>
      </w:r>
    </w:p>
    <w:p>
      <w:pPr>
        <w:spacing w:after="0" w:line="117" w:lineRule="exact"/>
        <w:rPr>
          <w:rFonts w:ascii="Arial" w:cs="Arial" w:eastAsia="Arial" w:hAnsi="Arial"/>
          <w:sz w:val="18"/>
          <w:szCs w:val="18"/>
          <w:color w:val="auto"/>
        </w:rPr>
      </w:pPr>
    </w:p>
    <w:p>
      <w:pPr>
        <w:ind w:left="440" w:right="140" w:hanging="4"/>
        <w:spacing w:after="0" w:line="255" w:lineRule="auto"/>
        <w:tabs>
          <w:tab w:leader="none" w:pos="68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such Securities, together with any coupons appertaining thereto,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legally binding obligations of the Company, enforceable in accordance with their terms, subject to applicable bankruptcy, insolvency, fraudulent transfer, reorganization and other similar laws of general applicability relating to or affecting the enforcement of creditors’ rights generally and to general equitable principles; and</w:t>
      </w:r>
    </w:p>
    <w:p>
      <w:pPr>
        <w:spacing w:after="0" w:line="192" w:lineRule="exact"/>
        <w:rPr>
          <w:sz w:val="20"/>
          <w:szCs w:val="20"/>
          <w:color w:val="auto"/>
        </w:rPr>
      </w:pPr>
    </w:p>
    <w:p>
      <w:pPr>
        <w:ind w:right="40" w:firstLine="436"/>
        <w:spacing w:after="0" w:line="263" w:lineRule="auto"/>
        <w:tabs>
          <w:tab w:leader="none" w:pos="70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 Officers’ Certificate stating that all conditions precedent provided for in this Indenture relating to the issuance of the Securities have been complied with and that, to the best of the knowledge of the signers of such certificate, that no Event of Default with respect to any of the Securities shall have occurred and be continuing.</w:t>
      </w:r>
    </w:p>
    <w:p>
      <w:pPr>
        <w:spacing w:after="0" w:line="18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If such form or terms have been so established, the Trustee shall not be required to authenticate such Securities (or to enter into the related supplemental indenture, if applicable) if the issue of such Securities pursuant to this Indenture will affect the Trustee’s own rights, duties, obligations or immunities under the Securities and this Indenture or otherwise in a manner which is not reasonably acceptable to the Trustee.</w:t>
      </w:r>
    </w:p>
    <w:p>
      <w:pPr>
        <w:spacing w:after="0" w:line="16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Notwithstanding the provisions of Section 301 and of the preceding paragraph, if all the Securities of any series are not to be issued at one time, it shall not be necessary to deliver an Officers’ Certificate otherwise required pursuant to Section 301 or a Company Order, or an Opinion of Counsel or an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Each Registered Security shall be dated the date of its authentication and each Bearer Security shall be dated as of the date specified as contemplated by Section 301.</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No Security or coupon shall be entitled to any benefit under this Indenture or be valid or obligatory for any purpose unless there appears on such Security or Security to which such coupon appertains a certificate of authentication substantially in the form provided for herein duly executed by the Trustee (subject to Section 611)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(including a Global Security) shall have been 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225" w:lineRule="exact"/>
        <w:rPr>
          <w:sz w:val="20"/>
          <w:szCs w:val="20"/>
          <w:color w:val="auto"/>
        </w:rPr>
      </w:pPr>
    </w:p>
    <w:p>
      <w:pPr>
        <w:ind w:right="160" w:firstLine="436"/>
        <w:spacing w:after="0" w:line="255" w:lineRule="auto"/>
        <w:tabs>
          <w:tab w:leader="none" w:pos="68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76" w:name="page177"/>
    <w:bookmarkEnd w:id="176"/>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in the case of temporary Global Securities (which shall be exchanged as otherwise provided herein or as otherwise provided in or pursuant to a Board Resolution or supplemental indenture pursuant to Section 301),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non-matured coupons appertaining thereto), the Company shall execute (in accordance with a Company Order delivered at or prior to the authentication of the first definitive security to such series) and the Trustee shall authenticate and deliver in exchange therefor a like principal amount of definitive Securities of the same series of authorized denominations;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definitive Bearer Security shall be delivered in exchange for a temporary Registered Security;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172" w:lineRule="exact"/>
        <w:rPr>
          <w:sz w:val="20"/>
          <w:szCs w:val="20"/>
          <w:color w:val="auto"/>
        </w:rPr>
      </w:pPr>
    </w:p>
    <w:p>
      <w:pPr>
        <w:ind w:firstLine="436"/>
        <w:spacing w:after="0" w:line="296" w:lineRule="auto"/>
        <w:tabs>
          <w:tab w:leader="none" w:pos="69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Unless otherwise provided in or pursuant to a Board Resolution or supplemental indenture pursuant to Section 301, the following provisions of this Section 304(b) shall govern the exchange of temporary Securities other than through the facilities of the DTC. If any such temporary Security is issued in global form, then such temporary Global Security shall, unless otherwise provided therein, be delivered to the London office of a depository or common depository upon and pursuant to written direction of the Company (the “Common Depository”), for the benefit of Euroclear and Clearstream, for credit to the respective accounts of the beneficial owners of such Securities (or to such other accounts as they may direct).</w:t>
      </w:r>
    </w:p>
    <w:p>
      <w:pPr>
        <w:spacing w:after="0" w:line="16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Without unnecessary delay but in any event not later than the date specified in, or determined pursuant to the terms of, any such temporary Global Security (the “Exchange Date”), the Company shall deliver to the Trustee definitive Securities, in aggregate principal amount equal to the principal amount of such temporary Global Security, executed by the Company. On or after the Exchange Date, such temporary Global Security shall be surrendered by the Common Depository to the Trustee, as the Company’s agent for such purpose, to be exchanged, in whole or from time to time in part, for definitive Securities without charge, and the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(as directed by or pursuant to information provided by the Common Depository);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unless otherwise specified in such temporary Global Security, upon such presentation by the Common Depository, such temporary Global Security shall be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w:t>
      </w:r>
      <w:r>
        <w:rPr>
          <w:rFonts w:ascii="Arial" w:cs="Arial" w:eastAsia="Arial" w:hAnsi="Arial"/>
          <w:sz w:val="17"/>
          <w:szCs w:val="17"/>
          <w:u w:val="single" w:color="auto"/>
          <w:color w:val="auto"/>
        </w:rPr>
        <w:t>Exhibit B-2</w:t>
      </w:r>
      <w:r>
        <w:rPr>
          <w:rFonts w:ascii="Arial" w:cs="Arial" w:eastAsia="Arial" w:hAnsi="Arial"/>
          <w:sz w:val="17"/>
          <w:szCs w:val="17"/>
          <w:color w:val="auto"/>
        </w:rPr>
        <w:t xml:space="preserve"> to this Indenture or in such other form as may be established pursuant to Section 301;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definitive Bearer Securities shall be delivered in exchange for a portion of a temporary Global Security only in compliance with the requirements of Section 303.</w:t>
      </w:r>
    </w:p>
    <w:p>
      <w:pPr>
        <w:spacing w:after="0" w:line="18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 xml:space="preserve">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to this Indenture (or in such other form as may be established pursuant to Section 301), dated no earlier than 15 calendar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unless such Person takes delivery of such definitive Securities in person at the offices of Euroclear or Clearstream. Definitive Securities in bearer form to be delivered in exchange for any portion of a temporary Global Security shall be delivered only to an address located outside the United States.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177" w:name="page178"/>
    <w:bookmarkEnd w:id="17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Euroclear and Clearstream on such Interest Payment Date upon delivery by Euroclear and Clearstream to the Trustee of a certificate or certificates in the form set forth in </w:t>
      </w:r>
      <w:r>
        <w:rPr>
          <w:rFonts w:ascii="Arial" w:cs="Arial" w:eastAsia="Arial" w:hAnsi="Arial"/>
          <w:sz w:val="16"/>
          <w:szCs w:val="16"/>
          <w:u w:val="single" w:color="auto"/>
          <w:color w:val="auto"/>
        </w:rPr>
        <w:t>Exhibit B-2</w:t>
      </w:r>
      <w:r>
        <w:rPr>
          <w:rFonts w:ascii="Arial" w:cs="Arial" w:eastAsia="Arial" w:hAnsi="Arial"/>
          <w:sz w:val="16"/>
          <w:szCs w:val="16"/>
          <w:color w:val="auto"/>
        </w:rPr>
        <w:t xml:space="preserve"> to this Indenture (or in such other forms as may be established pursuant to Section 301), for credit without further interest on or after such Interest Payment Date to the respective accounts of Persons who are the beneficial owners of such temporary Global Security on such Interest Payment Date and who have each delivered to Euroclear or Clearstream, as the case may be, a certificate dated no earlier than 15 calendar days prior to the Interest Payment Date occurring prior to such Exchange Date in the form set forth as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to this Indenture (or in such other forms as may be established pursuant to Section 301). Notwithstanding anything to the contrary herein contained, the certifications made pursuant to this paragraph shall satisfy the certification requirements of the preceding two paragraphs of this Section 304(b) and of the third paragraph of Section 303 of this Indenture and the interests of the Persons who are the beneficial owners of the temporary Global Security with respect to which such certification was made will be exchanged for definitive Securities of the same series and of like tenor on the Exchange Date or the date of certification if such date occurs after the Exchange Date, without further act or deed by such beneficial owners. Except as otherwise provided in this paragraph, no payments of principal or interest owing with respect to a beneficial interest in a temporary Global Security will be made unless and until such interest in such temporary Global Security shall have been exchanged for an interest in a definitive Security. Any interest so received by Euroclear and Clearstream and not paid as herein provided shall be returned to the Trustee prior to the expiration of two years after such Interest Payment Date in order to be repaid to the Company.</w:t>
      </w:r>
    </w:p>
    <w:p>
      <w:pPr>
        <w:spacing w:after="0" w:line="17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With respect to Exhibit B-1 or B-2 to this Indenture, the Company may, in its discretion and if required or desirable under applicable law, substitute one or more other forms of such exhibits for such exhibits, eliminate the requirement that any or all certificate be provided, or change the time that any certificate may be required,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substitute form or forms or notice of elimination or change of such certification requirement have theretofore been delivered to the Trustee with a Company Request and such form or forms, elimination or change is reasonably acceptable to the Trustee.</w:t>
      </w:r>
    </w:p>
    <w:p>
      <w:pPr>
        <w:spacing w:after="0" w:line="1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Registration, Registration of Transfer, Conversion and Exchange</w:t>
      </w:r>
      <w:r>
        <w:rPr>
          <w:rFonts w:ascii="Arial" w:cs="Arial" w:eastAsia="Arial" w:hAnsi="Arial"/>
          <w:sz w:val="16"/>
          <w:szCs w:val="16"/>
          <w:color w:val="auto"/>
        </w:rPr>
        <w:t>. 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“Security Register”)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In the event that the Trustee shall cease to be Security Registrar, it shall have the right to examine, and be provided a copy of, the Security Register at all reasonable times.</w:t>
      </w:r>
    </w:p>
    <w:p>
      <w:pPr>
        <w:spacing w:after="0" w:line="16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Subject to the provisions of this Section 305, 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Subject to the provisions of this Section 305, 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such Registered Securities are so surrendered for exchange, the Company shall execute, and the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78" w:name="page179"/>
    <w:bookmarkEnd w:id="17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(but only if) permitted by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(or to the Trustee for the Security in case of matured coupons in default)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 Whenever any Securities are so surrendered for exchange, the Company shall execute, and the Trustee shall authenticate and deliver, the Securities which the Holder making the exchange is entitled to receive.</w:t>
      </w:r>
    </w:p>
    <w:p>
      <w:pPr>
        <w:spacing w:after="0" w:line="18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Notwithstanding the foregoing, except as otherwise specified as contemplated by Section 301, any permanent Global Security shall be exchangeable only as provided in this paragraph. If the depository for any permanent Global Security is DTC, then, unless the terms of such Global Security expressly permit such Global Security to be exchanged in whole or in part for definitive Securities, a Global Security may be transferred, in whole but not in part, only to a nominee of DTC, or by a nominee of DTC to DTC, or to a successor to DTC for such Global Security selected or approved by the Company or to a nominee of such successor to DTC. If at any time DTC notifies the Company that it is unwilling or unable to continue as depository for the applicable Global Security or Securities or if at any time DTC ceases to be a clearing agency registered under the Exchange Act if so required by applicable law or regulation, the Company shall appoint a successor depository with respect to such Global Security or Securities. If (w) a successor depository for such Global Security or Securities is not appointed by the Company within 90 calendar days after the Company receives such notice or becomes aware of such unwillingness, inability or ineligibility, (x) the Company delivers to the Trustee for Securities of such series in registered form a Company Order stating that the Securities of such series shall be exchangeable, (y) an Event of Default has occurred and is continuing and the beneficial owners representing a majority in principal amount of the applicable series of Securities represented by such Global Security or Securities advise DTC to cease acting as depository for such Global Security or Securities or (z) the Company, in its sole discretion, determines at any time that all Outstanding Securities (but not less than all) of any series issued or issuable in the form of one or more Global Securities shall no longer be represented by such Global Security or Securities, then the Company shall execute, and the Trustee shall authenticate and deliver definitive Securities of like series, rank, tenor and terms in definitive form in an aggregate principal amount equal to the principal amount of such Global Security or Securities. If any beneficial owner of an interest in a permanent global Security is otherwise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execute, and the Trustee shall authenticate and deliver definitive Securities in aggregate principal amount equal to the principal amount of such beneficial owner’s interest in such permanent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79" w:name="page180"/>
    <w:bookmarkEnd w:id="17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Global Security. On or after the earliest date on which such interests may be so exchanged, such permanent Global Security shall be surrendered for exchange by DTC or such other depository as shall be specified in the Company Order with respect thereto to the Trustee, as the Company’s agent for such purpose;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such exchanges may occur during a period beginning at the opening of business 15 calendar days before any selection of Securities to be redeemed and ending on the relevant Redemption Date if the Security for which exchange is requested may be among those selected for redemption;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Bearer Security delivered in exchange for a portion of a permanent Global Security shall be mailed or otherwise delivered to any location in the United States.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6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All Securities issued upon any registration of transfer or conversion or exchange of Securities shall be the valid obligations of the Company, evidencing the same debt, and entitled to the same benefits under this Indenture, as the Securities surrendered upon such registration of transfer or conversion or exchange.</w:t>
      </w:r>
    </w:p>
    <w:p>
      <w:pPr>
        <w:spacing w:after="0" w:line="18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Every Registered Security presented or surrendered for registration of transfer or for conversion, exchange or redemption shall (if so required by the Company or the Security Registrar) be duly endorsed, or be accompanied by a written instrument of transfer in form satisfactory to the Company and the Security Registrar, duly executed by the Holder thereof or his attorney duly authorized in writing.</w:t>
      </w:r>
    </w:p>
    <w:p>
      <w:pPr>
        <w:spacing w:after="0" w:line="18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No service charge shall be made to the Holder for any registration of transfer or conversion or exchange of Securities, but the Company may require payment of a sum sufficient to cover any tax or other governmental charge that may be imposed in connection with any registration of transfer or conversion or exchange of Securities, other than exchanges pursuant to Section 304, 906, 1107 or 1305 not involving any transfer.</w:t>
      </w:r>
    </w:p>
    <w:p>
      <w:pPr>
        <w:spacing w:after="0" w:line="165"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 xml:space="preserve">The Company or the Trustee, as applicable, shall not be required (i) to issue, register the transfer of or exchange any Security if such Security may be among those selected for redemption during a period beginning at the opening of business 15 calendar days before selection of the Securities to be redeemed under Section 1103 and ending at the close of business on (A) if such Securities are issuable only as Registered Securities, the day of the mailing of the relevant notice of redemption and (B) if such Securities are issuable as Bearer Securities, the day of the first publication of the relevant notice of redemption or, if such Securities are also issuable as Registered Securities and there is no publication, the mailing of the relevant notice of redemption, or (ii) to register the transfer of or exchange any Registered Security so selected for redemption in whole or in part, except, in the case of any Registered Security to be redeemed in part, the portion thereof not to be redeemed, or (iii) to exchange any Bearer Security so selected for redemption except that such a Bearer Security may be exchanged for a Registered Security of that series and like tenor,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Registered Security shall be simultaneously surrendered for redemption, or (iv) to issue, register the transfer of or exchange any Security which has been surrendered for repayment at the option of the Holder, except the portion, if any, of such Security not to be so repaid.</w:t>
      </w:r>
    </w:p>
    <w:p>
      <w:pPr>
        <w:spacing w:after="0" w:line="16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Furthermore, notwithstanding any other provision of this Section 305, the Company will not be required to exchange any Securities if, as a result of the exchange, the Company would suffer adverse consequences under any United States law or regulation.</w:t>
      </w:r>
    </w:p>
    <w:p>
      <w:pPr>
        <w:spacing w:after="0" w:line="17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Mutilated, Destroyed, Lost and Stolen Securities</w:t>
      </w:r>
      <w:r>
        <w:rPr>
          <w:rFonts w:ascii="Arial" w:cs="Arial" w:eastAsia="Arial" w:hAnsi="Arial"/>
          <w:sz w:val="17"/>
          <w:szCs w:val="17"/>
          <w:color w:val="auto"/>
        </w:rPr>
        <w:t>. If any mutilated Security or a Security with a mutilated coupon appertaining to it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with coupons corresponding to the coupons, if any, appertaining to the surrendered Security.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80" w:name="page181"/>
    <w:bookmarkEnd w:id="180"/>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there shall be delivered to the Company and to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its request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principal amount, containing identical terms and provisions and bearing a number not contemporaneously outstanding, with coupons corresponding to the coupons, if any, appertaining to such destroyed, lost or stolen Security or to the Security to which such destroyed, lost or stolen coupon appertains.</w:t>
      </w:r>
    </w:p>
    <w:p>
      <w:pPr>
        <w:spacing w:after="0" w:line="16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destroyed, lost or stolen Security or to the Security to which such destroyed, lost or stolen coupon appertains, pay such Security or coupon if the applicant for such payment shall furnish to the Company and the Trustee for such Security such security or indemnity as may be required by them to save each of them harmless, and in the case of destruction, loss or theft, evidence satisfactory to the Company and Trustee and any agent of any of them of the destruction, loss or theft of such Security and the ownership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payment of principal of (and premium or Make-Whole Amount, if any), and interest, if any, on, Bearer Securities shall, except as otherwise provided in Section 1002,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166" w:lineRule="exact"/>
        <w:rPr>
          <w:sz w:val="20"/>
          <w:szCs w:val="20"/>
          <w:color w:val="auto"/>
        </w:rPr>
      </w:pPr>
    </w:p>
    <w:p>
      <w:pPr>
        <w:ind w:right="660"/>
        <w:spacing w:after="0" w:line="263" w:lineRule="auto"/>
        <w:rPr>
          <w:sz w:val="20"/>
          <w:szCs w:val="20"/>
          <w:color w:val="auto"/>
        </w:rPr>
      </w:pPr>
      <w:r>
        <w:rPr>
          <w:rFonts w:ascii="Arial" w:cs="Arial" w:eastAsia="Arial" w:hAnsi="Arial"/>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Payment of Interest; Interest Rights Preserved</w:t>
      </w:r>
      <w:r>
        <w:rPr>
          <w:rFonts w:ascii="Arial" w:cs="Arial" w:eastAsia="Arial" w:hAnsi="Arial"/>
          <w:sz w:val="17"/>
          <w:szCs w:val="17"/>
          <w:color w:val="auto"/>
        </w:rPr>
        <w:t xml:space="preserve">. Except as otherwise specified with respect to a series of Securities in accordance with the provisions of Section 301, interest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payment at the office or agency of the Company maintained for such purpose pursuant to Section 1002;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each installment of interest on any Registered Security may at the Company’s option be paid by (i) mailing a check for such interest, payable to or upon the written order of the Person entitled thereto pursuant to Section 308, to the address of such Person as it appears on the Security Register or (ii) transfer to an account maintained by the payee located inside the United States.</w:t>
      </w:r>
    </w:p>
    <w:p>
      <w:pPr>
        <w:spacing w:after="0" w:line="1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Unless otherwise provided as contemplated by Section 301 with respect to the Securities of any series, payment of interest may be made, in the case of a Bearer Security, by transfer to an account maintained by the payee with a bank located outside the United States.</w:t>
      </w:r>
    </w:p>
    <w:p>
      <w:pPr>
        <w:spacing w:after="0" w:line="17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Unless otherwise provided as contemplated by Section 301, every permanent Global Security will provide that interest, if any, payable on any Interest Payment Date will be paid to DTC, Euroclear and/or Clearstream, as the case may be, with respect to that portion of such permanent Global Security held for its account by Cede &amp; Co. or the Common Depository, as the case may be, for the purpose of permitting such party to credit the interest received by it in respect of such permanent Global Security to the accounts of the beneficial owners thereof.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81" w:name="page182"/>
    <w:bookmarkEnd w:id="181"/>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a Bearer Security of any series is surrendered in exchange for a Registered Security of such series after the close of business (at an office or agency in a Place of Payment for such series) on any Regular Record Date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will be payable only to the Holder of such coupon when due in accordance with the provisions of this Indenture.</w:t>
      </w:r>
    </w:p>
    <w:p>
      <w:pPr>
        <w:spacing w:after="0" w:line="17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“Defaulted Interest”) shall forthwith cease to be payable to the registered Holder thereof on the relevant Regular Record Date by virtue of having been such Holder, and such Defaulted Interest may be paid by the Company, at its election in each case, as provided in clause (1) or (2) below:</w:t>
      </w:r>
    </w:p>
    <w:p>
      <w:pPr>
        <w:spacing w:after="0" w:line="171" w:lineRule="exact"/>
        <w:rPr>
          <w:sz w:val="20"/>
          <w:szCs w:val="20"/>
          <w:color w:val="auto"/>
        </w:rPr>
      </w:pPr>
    </w:p>
    <w:p>
      <w:pPr>
        <w:ind w:right="20" w:firstLine="436"/>
        <w:spacing w:after="0" w:line="284" w:lineRule="auto"/>
        <w:tabs>
          <w:tab w:leader="none" w:pos="69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calendar days after such notice is received by the Trustee), and at the same time the Company shall deposit with the Trustee an amount of money in the currency or currencies, currency unit or units or composite currency or currencies in which the Securities of such series are payable (except as otherwise specified pursuant to</w:t>
      </w:r>
    </w:p>
    <w:p>
      <w:pPr>
        <w:spacing w:after="0" w:line="4" w:lineRule="exact"/>
        <w:rPr>
          <w:rFonts w:ascii="Arial" w:cs="Arial" w:eastAsia="Arial" w:hAnsi="Arial"/>
          <w:sz w:val="16"/>
          <w:szCs w:val="16"/>
          <w:color w:val="auto"/>
        </w:rPr>
      </w:pPr>
    </w:p>
    <w:p>
      <w:pPr>
        <w:ind w:right="20"/>
        <w:spacing w:after="0" w:line="284" w:lineRule="auto"/>
        <w:rPr>
          <w:rFonts w:ascii="Arial" w:cs="Arial" w:eastAsia="Arial" w:hAnsi="Arial"/>
          <w:sz w:val="16"/>
          <w:szCs w:val="16"/>
          <w:color w:val="auto"/>
        </w:rPr>
      </w:pPr>
      <w:r>
        <w:rPr>
          <w:rFonts w:ascii="Arial" w:cs="Arial" w:eastAsia="Arial" w:hAnsi="Arial"/>
          <w:sz w:val="16"/>
          <w:szCs w:val="16"/>
          <w:color w:val="auto"/>
        </w:rPr>
        <w:t>Section 301 for the Securities of such series)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calendar days and not less than 10 calendar days prior to the date of the proposed payment and not less than 10 calendar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his address as it appears in the Security Register not less than 10 calendar days prior to such Special Record Date. The Trustee may, in its discretion, in the name and at the expense of the Company, cause a similar notice to be published at least once in an Authorized Newspaper in each Place of Payment, but such publications shall not be a condition precedent to the establishment of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 In case a Bearer Security of any series is surrendered at the office or agency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 payment and Defaulted Interest will not be payable on such proposed date of payment in respect of the Registered Security issued in exchange for such Bearer Security, but will be payable only to the Holder of such coupon when due in accordance with the provisions of this Indenture.</w:t>
      </w:r>
    </w:p>
    <w:p>
      <w:pPr>
        <w:spacing w:after="0" w:line="170" w:lineRule="exact"/>
        <w:rPr>
          <w:rFonts w:ascii="Arial" w:cs="Arial" w:eastAsia="Arial" w:hAnsi="Arial"/>
          <w:sz w:val="16"/>
          <w:szCs w:val="16"/>
          <w:color w:val="auto"/>
        </w:rPr>
      </w:pPr>
    </w:p>
    <w:p>
      <w:pPr>
        <w:ind w:right="180" w:firstLine="436"/>
        <w:spacing w:after="0" w:line="259" w:lineRule="auto"/>
        <w:tabs>
          <w:tab w:leader="none" w:pos="69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Registered Securities of any series in any other lawful manner not inconsistent with the requirements of any over-the-counter market or securities exchange on which such Securities may be quoted or listed, and upon such notice as may be required by such market or exchange, if, after notice given by the Company to the Trustee of the proposed payment pursuant to this clause, such manner of payment shall be deemed practicable by the Trustee.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40" w:top="274" w:right="499" w:bottom="1440" w:gutter="0" w:footer="0" w:header="0"/>
        </w:sectPr>
      </w:pPr>
    </w:p>
    <w:bookmarkStart w:id="182" w:name="page183"/>
    <w:bookmarkEnd w:id="182"/>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the foregoing provisions of this Section and Section 305, each Security delivered under this Indenture upon registration of transfer of or upon conversion of or in exchange for or in lieu of any other Security shall carry the rights to interest accrued and unpaid, and to accrue, which were carried by such other Security.</w:t>
      </w:r>
    </w:p>
    <w:p>
      <w:pPr>
        <w:spacing w:after="0" w:line="1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Persons Deemed Owners</w:t>
      </w:r>
      <w:r>
        <w:rPr>
          <w:rFonts w:ascii="Arial" w:cs="Arial" w:eastAsia="Arial" w:hAnsi="Arial"/>
          <w:sz w:val="18"/>
          <w:szCs w:val="18"/>
          <w:color w:val="auto"/>
        </w:rPr>
        <w:t>. Prior to due presentment of a Registered Security for registration of transfer, the Company, the Trustee and any agent of the Company or the Trustee may treat the Person in whose name such Registered Security is registered as the owner of such Security for the purpose of receiving payment of principal of (and premium or Make-Whole Amount, if any), and (subject to Sections 305 and 307) interest on, such Registered Security and for all other purposes whatsoever, whether or not such Registered Security be overdue, and neither the Company, the Trustee nor any agent of the Company or the Trustee shall be affected by notice to the contrary. All such payments so made to any such Person, or upon such Person’s order, shall be valid, and, to the extent of the sum or sums so paid, effectual to satisfy and discharge the liability for money payable upon any such Security.</w:t>
      </w:r>
    </w:p>
    <w:p>
      <w:pPr>
        <w:spacing w:after="0" w:line="19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Title to any Bearer Security and any coupons appertaining thereto shall pass by delivery. The Company, the Trustee and any agent of the Company or the Trustee may treat the Holder of any Bearer Security and the Holder of any coupon as the absolute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5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No holder of any beneficial interest in any Global Security held on its behalf by a depository shall have any rights under this Indenture with respect to such Global Security and such depository (which is the Holder of such security) shall be treated by the Company, the Trustee, and any agent of the Company or the Trustee as the owner of such Global Security for all purposes whatsoever. 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6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Notwithstanding the foregoing, with respect to any Global Security, nothing herein shall prevent the Company, the Trustee, or any agent of the Company or the Trustee, from giving effect to any written certification, proxy or other authorization furnished by any depository, as a Holder, with respect to such Global Security or impair, as between such depository and owners of beneficial interests in such Global Security, the operation of customary practices governing the exercise of the rights of such depository (or its nominee) as Holder of such Global Security.</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Cancellation</w:t>
      </w:r>
      <w:r>
        <w:rPr>
          <w:rFonts w:ascii="Arial" w:cs="Arial" w:eastAsia="Arial" w:hAnsi="Arial"/>
          <w:sz w:val="16"/>
          <w:szCs w:val="16"/>
          <w:color w:val="auto"/>
        </w:rPr>
        <w:t>. All Securities and coupons surrendered for payment, redemption, repayment at the option of the Holder, registration of transfer or conversion or exchange or for credit against any sinking fund payment shall, if surrendered to any Person other than the Trustee, be delivered to the Trustee, and any such Securities and coupons and Securities and coupons surrendered directly to the Trustee for any such purpose, upon direction by the Company,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and coupons held by the Trustee shall be disposed of by the Trustee in accordance with its customary practices (subject to the record retention requirements of the Exchange Act).</w:t>
      </w:r>
    </w:p>
    <w:p>
      <w:pPr>
        <w:spacing w:after="0" w:line="17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 Except as otherwise specified as contemplated by Section 301 with respect to Securities of any series, interest on the Securities of each series shall be computed on the basis of a 360-day year consisting of twelve 30-day months.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183" w:name="page184"/>
    <w:bookmarkEnd w:id="183"/>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311. </w:t>
      </w:r>
      <w:r>
        <w:rPr>
          <w:rFonts w:ascii="Arial" w:cs="Arial" w:eastAsia="Arial" w:hAnsi="Arial"/>
          <w:sz w:val="17"/>
          <w:szCs w:val="17"/>
          <w:u w:val="single" w:color="auto"/>
          <w:color w:val="auto"/>
        </w:rPr>
        <w:t>CUSIP Numbers</w:t>
      </w:r>
      <w:r>
        <w:rPr>
          <w:rFonts w:ascii="Arial" w:cs="Arial" w:eastAsia="Arial" w:hAnsi="Arial"/>
          <w:sz w:val="17"/>
          <w:szCs w:val="17"/>
          <w:color w:val="auto"/>
        </w:rPr>
        <w:t xml:space="preserve">. The Company in issuing the Securities may use “CUSIP” numbers (if then generally in use), and, if so, the Trustee shall use “CUSIP” numbers in notices of redemption as a convenience to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of any change in the “CUSIP” numbers.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FOUR—SATISFACTION AND DISCHARGE</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 This Indenture shall upon Company Request cease to be of further effect with respect to any series of Securities specified in such Company Request (except as to any surviving rights of registration of transfer or conversion or exchange of Securities of such series herein expressly provided for), and the Trustee, upon receipt of a Company Order, and at the expense of the Company, shall execute instruments in form and substance satisfactory to the Trustee and the Company acknowledging satisfaction and discharge of this Indenture as to such series when</w:t>
      </w:r>
    </w:p>
    <w:p>
      <w:pPr>
        <w:spacing w:after="0" w:line="188" w:lineRule="exact"/>
        <w:rPr>
          <w:sz w:val="20"/>
          <w:szCs w:val="20"/>
          <w:color w:val="auto"/>
        </w:rPr>
      </w:pPr>
    </w:p>
    <w:p>
      <w:pPr>
        <w:ind w:left="700" w:hanging="264"/>
        <w:spacing w:after="0"/>
        <w:tabs>
          <w:tab w:leader="none" w:pos="7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980" w:firstLine="7"/>
        <w:spacing w:after="0" w:line="254" w:lineRule="auto"/>
        <w:tabs>
          <w:tab w:leader="none" w:pos="1275"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all Securities of such series theretofore authenticated and delivered and all coupons, if any, appertaining thereto (other than (i) 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83" w:lineRule="exact"/>
        <w:rPr>
          <w:rFonts w:ascii="Arial" w:cs="Arial" w:eastAsia="Arial" w:hAnsi="Arial"/>
          <w:sz w:val="18"/>
          <w:szCs w:val="18"/>
          <w:color w:val="auto"/>
        </w:rPr>
      </w:pPr>
    </w:p>
    <w:p>
      <w:pPr>
        <w:ind w:left="980" w:right="500" w:firstLine="7"/>
        <w:spacing w:after="0" w:line="277" w:lineRule="auto"/>
        <w:tabs>
          <w:tab w:leader="none" w:pos="1265"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all Securities of such series and, in the case of (i) or (ii) below, any coupons appertaining thereto not theretofore delivered to the Trustee for cancellation</w:t>
      </w:r>
    </w:p>
    <w:p>
      <w:pPr>
        <w:spacing w:after="0" w:line="62" w:lineRule="exact"/>
        <w:rPr>
          <w:rFonts w:ascii="Arial" w:cs="Arial" w:eastAsia="Arial" w:hAnsi="Arial"/>
          <w:sz w:val="18"/>
          <w:szCs w:val="18"/>
          <w:color w:val="auto"/>
        </w:rPr>
      </w:pPr>
    </w:p>
    <w:p>
      <w:pPr>
        <w:ind w:left="1640" w:hanging="212"/>
        <w:spacing w:after="0"/>
        <w:tabs>
          <w:tab w:leader="none" w:pos="1640" w:val="left"/>
        </w:tabs>
        <w:numPr>
          <w:ilvl w:val="2"/>
          <w:numId w:val="160"/>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17" w:lineRule="exact"/>
        <w:rPr>
          <w:rFonts w:ascii="Arial" w:cs="Arial" w:eastAsia="Arial" w:hAnsi="Arial"/>
          <w:sz w:val="18"/>
          <w:szCs w:val="18"/>
          <w:color w:val="auto"/>
        </w:rPr>
      </w:pPr>
    </w:p>
    <w:p>
      <w:pPr>
        <w:ind w:left="1700" w:hanging="272"/>
        <w:spacing w:after="0"/>
        <w:tabs>
          <w:tab w:leader="none" w:pos="1700" w:val="left"/>
        </w:tabs>
        <w:numPr>
          <w:ilvl w:val="2"/>
          <w:numId w:val="160"/>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left="1420" w:right="120" w:firstLine="8"/>
        <w:spacing w:after="0" w:line="342" w:lineRule="auto"/>
        <w:tabs>
          <w:tab w:leader="none" w:pos="1735" w:val="left"/>
        </w:tabs>
        <w:numPr>
          <w:ilvl w:val="2"/>
          <w:numId w:val="160"/>
        </w:numPr>
        <w:rPr>
          <w:rFonts w:ascii="Arial" w:cs="Arial" w:eastAsia="Arial" w:hAnsi="Arial"/>
          <w:sz w:val="16"/>
          <w:szCs w:val="16"/>
          <w:color w:val="auto"/>
        </w:rPr>
      </w:pPr>
      <w:r>
        <w:rPr>
          <w:rFonts w:ascii="Arial" w:cs="Arial" w:eastAsia="Arial" w:hAnsi="Arial"/>
          <w:sz w:val="16"/>
          <w:szCs w:val="16"/>
          <w:color w:val="auto"/>
        </w:rPr>
        <w:t>if redeemable at the option of the Company, are to be called for redemption within one year under arrangements satisfactory to the Trustee for the giving of notice of redemption by the Trustee in the name, and at the expense, of the Company,</w:t>
      </w:r>
    </w:p>
    <w:p>
      <w:pPr>
        <w:spacing w:after="0" w:line="12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and the Company, in the case of (i), (ii) or (iii) above, has irrevocably deposited or caused to be deposited with the Trustee as trust funds in trust for the purpose an amount in the currency or currencies, currency unit or units or composite currency or currencies in which the Securities of such series are payable, sufficient to pay and discharge the entire indebtedness on such Securities and such coupons not theretofore delivered to the Trustee for cancellation, for principal (and premium or Make-Whole Amount, if any) and interest to the date of such deposit (in the case of Securities which have become due and payable) or to the Stated Maturity or Redemption Date, as the case may be;</w:t>
      </w:r>
    </w:p>
    <w:p>
      <w:pPr>
        <w:spacing w:after="0" w:line="176" w:lineRule="exact"/>
        <w:rPr>
          <w:sz w:val="20"/>
          <w:szCs w:val="20"/>
          <w:color w:val="auto"/>
        </w:rPr>
      </w:pPr>
    </w:p>
    <w:p>
      <w:pPr>
        <w:ind w:left="700" w:hanging="264"/>
        <w:spacing w:after="0"/>
        <w:tabs>
          <w:tab w:leader="none" w:pos="7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right="80" w:firstLine="436"/>
        <w:spacing w:after="0" w:line="277" w:lineRule="auto"/>
        <w:tabs>
          <w:tab w:leader="none" w:pos="69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184" w:name="page185"/>
    <w:bookmarkEnd w:id="184"/>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satisfaction and discharge of this Indenture, the obligations of the Company to the Trustee and any predecessor Trustee under Section 606, the obligations of the Company to any Authenticating Agent under Section 611 and, if money shall have been deposited with and held by the Trustee pursuant to subclause (B) of clause (1) of this Section, the obligations of the Trustee under Section 402 and the last paragraph of Section 1003 shall survive such satisfaction and discharge.</w:t>
      </w:r>
    </w:p>
    <w:p>
      <w:pPr>
        <w:spacing w:after="0" w:line="18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Application of Trust Funds</w:t>
      </w:r>
      <w:r>
        <w:rPr>
          <w:rFonts w:ascii="Arial" w:cs="Arial" w:eastAsia="Arial" w:hAnsi="Arial"/>
          <w:sz w:val="16"/>
          <w:szCs w:val="16"/>
          <w:color w:val="auto"/>
        </w:rPr>
        <w:t>. 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premium or Make-Whole Amount, if any), and any interest for whose payment such money has been deposited with or received by the Trustee, but such money need not be segregated from other funds except to the extent required by law.</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FIVE—REMEDIES</w:t>
      </w:r>
    </w:p>
    <w:p>
      <w:pPr>
        <w:spacing w:after="0" w:line="225"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Events of Default</w:t>
      </w:r>
      <w:r>
        <w:rPr>
          <w:rFonts w:ascii="Arial" w:cs="Arial" w:eastAsia="Arial" w:hAnsi="Arial"/>
          <w:sz w:val="16"/>
          <w:szCs w:val="16"/>
          <w:color w:val="auto"/>
        </w:rPr>
        <w:t>. “Event of Default,”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149" w:lineRule="exact"/>
        <w:rPr>
          <w:sz w:val="20"/>
          <w:szCs w:val="20"/>
          <w:color w:val="auto"/>
        </w:rPr>
      </w:pPr>
    </w:p>
    <w:p>
      <w:pPr>
        <w:ind w:right="500" w:firstLine="436"/>
        <w:spacing w:after="0" w:line="277" w:lineRule="auto"/>
        <w:tabs>
          <w:tab w:leader="none" w:pos="69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or of any coupon appertaining thereto, when such interest or coupon becomes due and payable, and continuance of such default for a period of 30 calendar days; or</w:t>
      </w:r>
    </w:p>
    <w:p>
      <w:pPr>
        <w:spacing w:after="0" w:line="170" w:lineRule="exact"/>
        <w:rPr>
          <w:rFonts w:ascii="Arial" w:cs="Arial" w:eastAsia="Arial" w:hAnsi="Arial"/>
          <w:sz w:val="18"/>
          <w:szCs w:val="18"/>
          <w:color w:val="auto"/>
        </w:rPr>
      </w:pPr>
    </w:p>
    <w:p>
      <w:pPr>
        <w:ind w:right="260" w:firstLine="436"/>
        <w:spacing w:after="0" w:line="277" w:lineRule="auto"/>
        <w:tabs>
          <w:tab w:leader="none" w:pos="69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or Make-Whole Amount, if any, on) any Security of that series when it becomes due and payable at its Maturity; or</w:t>
      </w:r>
    </w:p>
    <w:p>
      <w:pPr>
        <w:spacing w:after="0" w:line="170" w:lineRule="exact"/>
        <w:rPr>
          <w:rFonts w:ascii="Arial" w:cs="Arial" w:eastAsia="Arial" w:hAnsi="Arial"/>
          <w:sz w:val="18"/>
          <w:szCs w:val="18"/>
          <w:color w:val="auto"/>
        </w:rPr>
      </w:pPr>
    </w:p>
    <w:p>
      <w:pPr>
        <w:ind w:right="220" w:firstLine="436"/>
        <w:spacing w:after="0" w:line="277" w:lineRule="auto"/>
        <w:tabs>
          <w:tab w:leader="none" w:pos="69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to the extent applicable to such series of Securities, when and as due by the terms of any Security of that series; or</w:t>
      </w:r>
    </w:p>
    <w:p>
      <w:pPr>
        <w:spacing w:after="0" w:line="170" w:lineRule="exact"/>
        <w:rPr>
          <w:rFonts w:ascii="Arial" w:cs="Arial" w:eastAsia="Arial" w:hAnsi="Arial"/>
          <w:sz w:val="18"/>
          <w:szCs w:val="18"/>
          <w:color w:val="auto"/>
        </w:rPr>
      </w:pPr>
    </w:p>
    <w:p>
      <w:pPr>
        <w:ind w:right="60" w:firstLine="436"/>
        <w:spacing w:after="0" w:line="273" w:lineRule="auto"/>
        <w:tabs>
          <w:tab w:leader="none" w:pos="69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or warranty of the Company in this Indenture with respect to any Security of that series (other than a covenant or warranty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90 calendar days after there has been given, by registered or certified mail, to the Company by the Trustee or to the Company and the Trustee by the Holders of at least 33% in principal amount of the Outstanding Securities of that series a written notice specifying such default or breach and requiring it to be remedied and stating that such notice is a “Notice of Default” hereunder; or</w:t>
      </w:r>
    </w:p>
    <w:p>
      <w:pPr>
        <w:spacing w:after="0" w:line="177" w:lineRule="exact"/>
        <w:rPr>
          <w:rFonts w:ascii="Arial" w:cs="Arial" w:eastAsia="Arial" w:hAnsi="Arial"/>
          <w:sz w:val="17"/>
          <w:szCs w:val="17"/>
          <w:color w:val="auto"/>
        </w:rPr>
      </w:pPr>
    </w:p>
    <w:p>
      <w:pPr>
        <w:ind w:firstLine="436"/>
        <w:spacing w:after="0" w:line="287" w:lineRule="auto"/>
        <w:tabs>
          <w:tab w:leader="none" w:pos="69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default under any bond, debenture, note, mortgage, indenture or instrument under which there may be issued or by which there may be secured or evidenced any indebtedness for money borrowed by the Company (or by any Subsidiary, the repayment of which the Company has guaranteed or for which the Company is directly responsible or liable as obligor or guarantor), having an aggregate principal amount outstanding of a minimum amount to be specified in a prospectus supplement, whether such indebtedness now exists or shall hereafter be created, which default shall have resulted in such indebtedness becoming or being declared due and payable prior to the date on which it would otherwise have become due and payable, without such indebtedness having been discharged, or such acceleration having been rescinded or annulled, within a period of 30 calendar days after there shall have been given, by registered or certified mail, to the Company by the Trustee or to the Company and the Trustee by the Holders of at least 10% in principal amount of the Outstanding Securities of that series a written notice specifying such default and requiring the Company to cause such indebtedness to be discharged or cause such acceleration to be rescinded or annulled and stating that such notice is a “Notice of Default”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subject to the provisions of Sections 601 and 602, the Trustee shall not be deemed to have knowledge of such default unless either (A) a Responsible Officer of the Trustee shall have knowledge of such default or (B) the Trustee shall have received written notice thereof from the Company, from any Holder, from the holder of any such indebtedness or from the trustee under any such mortgage, indenture or other instrument; or</w:t>
      </w:r>
    </w:p>
    <w:p>
      <w:pPr>
        <w:spacing w:after="0" w:line="167" w:lineRule="exact"/>
        <w:rPr>
          <w:rFonts w:ascii="Arial" w:cs="Arial" w:eastAsia="Arial" w:hAnsi="Arial"/>
          <w:sz w:val="16"/>
          <w:szCs w:val="16"/>
          <w:color w:val="auto"/>
        </w:rPr>
      </w:pPr>
    </w:p>
    <w:p>
      <w:pPr>
        <w:ind w:left="700" w:hanging="264"/>
        <w:spacing w:after="0"/>
        <w:tabs>
          <w:tab w:leader="none" w:pos="7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Bankruptcy Law:</w:t>
      </w:r>
    </w:p>
    <w:p>
      <w:pPr>
        <w:spacing w:after="0" w:line="117" w:lineRule="exact"/>
        <w:rPr>
          <w:rFonts w:ascii="Arial" w:cs="Arial" w:eastAsia="Arial" w:hAnsi="Arial"/>
          <w:sz w:val="18"/>
          <w:szCs w:val="18"/>
          <w:color w:val="auto"/>
        </w:rPr>
      </w:pPr>
    </w:p>
    <w:p>
      <w:pPr>
        <w:ind w:left="1720" w:hanging="292"/>
        <w:spacing w:after="0"/>
        <w:tabs>
          <w:tab w:leader="none" w:pos="172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185" w:name="page186"/>
    <w:bookmarkEnd w:id="185"/>
    <w:p>
      <w:pPr>
        <w:ind w:left="1280" w:hanging="293"/>
        <w:spacing w:after="0"/>
        <w:tabs>
          <w:tab w:leader="none" w:pos="12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consents to the entry of an order for relief against it in an involuntary case,</w:t>
      </w:r>
    </w:p>
    <w:p>
      <w:pPr>
        <w:spacing w:after="0" w:line="117" w:lineRule="exact"/>
        <w:rPr>
          <w:rFonts w:ascii="Arial" w:cs="Arial" w:eastAsia="Arial" w:hAnsi="Arial"/>
          <w:sz w:val="18"/>
          <w:szCs w:val="18"/>
          <w:color w:val="auto"/>
        </w:rPr>
      </w:pPr>
    </w:p>
    <w:p>
      <w:pPr>
        <w:ind w:left="1280" w:hanging="293"/>
        <w:spacing w:after="0"/>
        <w:tabs>
          <w:tab w:leader="none" w:pos="12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 or</w:t>
      </w:r>
    </w:p>
    <w:p>
      <w:pPr>
        <w:spacing w:after="0" w:line="117" w:lineRule="exact"/>
        <w:rPr>
          <w:rFonts w:ascii="Arial" w:cs="Arial" w:eastAsia="Arial" w:hAnsi="Arial"/>
          <w:sz w:val="18"/>
          <w:szCs w:val="18"/>
          <w:color w:val="auto"/>
        </w:rPr>
      </w:pPr>
    </w:p>
    <w:p>
      <w:pPr>
        <w:ind w:left="1280" w:hanging="293"/>
        <w:spacing w:after="0"/>
        <w:tabs>
          <w:tab w:leader="none" w:pos="12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280" w:hanging="293"/>
        <w:spacing w:after="0"/>
        <w:tabs>
          <w:tab w:leader="none" w:pos="12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an involuntary case,</w:t>
      </w:r>
    </w:p>
    <w:p>
      <w:pPr>
        <w:spacing w:after="0" w:line="117" w:lineRule="exact"/>
        <w:rPr>
          <w:rFonts w:ascii="Arial" w:cs="Arial" w:eastAsia="Arial" w:hAnsi="Arial"/>
          <w:sz w:val="18"/>
          <w:szCs w:val="18"/>
          <w:color w:val="auto"/>
        </w:rPr>
      </w:pPr>
    </w:p>
    <w:p>
      <w:pPr>
        <w:ind w:left="1280" w:hanging="293"/>
        <w:spacing w:after="0"/>
        <w:tabs>
          <w:tab w:leader="none" w:pos="12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appoints a Custodian of the Company or any Significant Subsidiary or for all or substantially all of either of its property, or</w:t>
      </w:r>
    </w:p>
    <w:p>
      <w:pPr>
        <w:spacing w:after="0" w:line="117" w:lineRule="exact"/>
        <w:rPr>
          <w:rFonts w:ascii="Arial" w:cs="Arial" w:eastAsia="Arial" w:hAnsi="Arial"/>
          <w:sz w:val="18"/>
          <w:szCs w:val="18"/>
          <w:color w:val="auto"/>
        </w:rPr>
      </w:pPr>
    </w:p>
    <w:p>
      <w:pPr>
        <w:ind w:left="980" w:right="380" w:firstLine="7"/>
        <w:spacing w:after="0" w:line="277" w:lineRule="auto"/>
        <w:tabs>
          <w:tab w:leader="none" w:pos="1265" w:val="left"/>
        </w:tabs>
        <w:numPr>
          <w:ilvl w:val="1"/>
          <w:numId w:val="164"/>
        </w:numPr>
        <w:rPr>
          <w:rFonts w:ascii="Arial" w:cs="Arial" w:eastAsia="Arial" w:hAnsi="Arial"/>
          <w:sz w:val="18"/>
          <w:szCs w:val="18"/>
          <w:color w:val="auto"/>
        </w:rPr>
      </w:pPr>
      <w:r>
        <w:rPr>
          <w:rFonts w:ascii="Arial" w:cs="Arial" w:eastAsia="Arial" w:hAnsi="Arial"/>
          <w:sz w:val="18"/>
          <w:szCs w:val="18"/>
          <w:color w:val="auto"/>
        </w:rPr>
        <w:t>orders the liquidation of the Company or any Significant Subsidiary, and the order or decree remains unstayed and in effect for 90 calendar days; or</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used in this Section 501, the term “Bankruptcy Law” means title 11, U.S. Code or any similar Federal or state law for the relief of debtors and the term “Custodian” means any receiver, trustee, assignee, liquidator or other similar official under any Bankruptcy Law.</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 If an Event of Default with respect to Securities of any series at the time Outstanding occurs and is continuing, then and in every such case the Trustee or the Holders of not less than 33% in principal amount of the Outstanding Securities of that series may declare the principal amount (or, if Securities of that Series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of acceleration and its consequences if:</w:t>
      </w:r>
    </w:p>
    <w:p>
      <w:pPr>
        <w:spacing w:after="0" w:line="187" w:lineRule="exact"/>
        <w:rPr>
          <w:sz w:val="20"/>
          <w:szCs w:val="20"/>
          <w:color w:val="auto"/>
        </w:rPr>
      </w:pPr>
    </w:p>
    <w:p>
      <w:pPr>
        <w:ind w:right="140" w:firstLine="436"/>
        <w:spacing w:after="0" w:line="308" w:lineRule="auto"/>
        <w:tabs>
          <w:tab w:leader="none" w:pos="69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Company has paid or deposited with the Trustee a sum sufficient to pay in the currency, currency unit or composite currency in which the Securities of such series are payable (except as otherwise specified pursuant to Section 301 for the Securities of such series):</w:t>
      </w:r>
    </w:p>
    <w:p>
      <w:pPr>
        <w:spacing w:after="0" w:line="38" w:lineRule="exact"/>
        <w:rPr>
          <w:rFonts w:ascii="Arial" w:cs="Arial" w:eastAsia="Arial" w:hAnsi="Arial"/>
          <w:sz w:val="17"/>
          <w:szCs w:val="17"/>
          <w:color w:val="auto"/>
        </w:rPr>
      </w:pPr>
    </w:p>
    <w:p>
      <w:pPr>
        <w:ind w:left="1280" w:hanging="293"/>
        <w:spacing w:after="0"/>
        <w:tabs>
          <w:tab w:leader="none" w:pos="128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all overdue installments of interest on all Outstanding Securities of that series and any related coupons,</w:t>
      </w:r>
    </w:p>
    <w:p>
      <w:pPr>
        <w:spacing w:after="0" w:line="117" w:lineRule="exact"/>
        <w:rPr>
          <w:rFonts w:ascii="Arial" w:cs="Arial" w:eastAsia="Arial" w:hAnsi="Arial"/>
          <w:sz w:val="18"/>
          <w:szCs w:val="18"/>
          <w:color w:val="auto"/>
        </w:rPr>
      </w:pPr>
    </w:p>
    <w:p>
      <w:pPr>
        <w:ind w:left="980" w:right="200" w:firstLine="7"/>
        <w:spacing w:after="0" w:line="342" w:lineRule="auto"/>
        <w:tabs>
          <w:tab w:leader="none" w:pos="1265"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principal of (and premium or Make-Whole Amount, if any, on) any Outstanding Securities of that series which have become due otherwise than by such declaration of acceleration and interest thereon at the rate or rates borne by or provided for in such Securities,</w:t>
      </w:r>
    </w:p>
    <w:p>
      <w:pPr>
        <w:spacing w:after="0" w:line="15" w:lineRule="exact"/>
        <w:rPr>
          <w:rFonts w:ascii="Arial" w:cs="Arial" w:eastAsia="Arial" w:hAnsi="Arial"/>
          <w:sz w:val="16"/>
          <w:szCs w:val="16"/>
          <w:color w:val="auto"/>
        </w:rPr>
      </w:pPr>
    </w:p>
    <w:p>
      <w:pPr>
        <w:ind w:left="980" w:right="500" w:firstLine="7"/>
        <w:spacing w:after="0" w:line="277" w:lineRule="auto"/>
        <w:tabs>
          <w:tab w:leader="none" w:pos="1265"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installments of interest at the rate or rates borne by or provided for in such Securities, and</w:t>
      </w:r>
    </w:p>
    <w:p>
      <w:pPr>
        <w:spacing w:after="0" w:line="62" w:lineRule="exact"/>
        <w:rPr>
          <w:rFonts w:ascii="Arial" w:cs="Arial" w:eastAsia="Arial" w:hAnsi="Arial"/>
          <w:sz w:val="18"/>
          <w:szCs w:val="18"/>
          <w:color w:val="auto"/>
        </w:rPr>
      </w:pPr>
    </w:p>
    <w:p>
      <w:pPr>
        <w:ind w:left="980" w:right="260" w:firstLine="7"/>
        <w:spacing w:after="0" w:line="277" w:lineRule="auto"/>
        <w:tabs>
          <w:tab w:leader="none" w:pos="1275"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70" w:lineRule="exact"/>
        <w:rPr>
          <w:rFonts w:ascii="Arial" w:cs="Arial" w:eastAsia="Arial" w:hAnsi="Arial"/>
          <w:sz w:val="18"/>
          <w:szCs w:val="18"/>
          <w:color w:val="auto"/>
        </w:rPr>
      </w:pPr>
    </w:p>
    <w:p>
      <w:pPr>
        <w:ind w:right="120" w:firstLine="436"/>
        <w:spacing w:after="0" w:line="263" w:lineRule="auto"/>
        <w:tabs>
          <w:tab w:leader="none" w:pos="69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other than the nonpayment of the principal of (or premium or Make-Whole Amount, if any) or interest on Securities of that series which have become due solely by such declaration of acceleration, have been cured or waived as provided in Section 513.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 The Company covenants that if:</w:t>
      </w:r>
    </w:p>
    <w:p>
      <w:pPr>
        <w:spacing w:after="0" w:line="117" w:lineRule="exact"/>
        <w:rPr>
          <w:sz w:val="20"/>
          <w:szCs w:val="20"/>
          <w:color w:val="auto"/>
        </w:rPr>
      </w:pPr>
    </w:p>
    <w:p>
      <w:pPr>
        <w:ind w:right="60" w:firstLine="436"/>
        <w:spacing w:after="0" w:line="277" w:lineRule="auto"/>
        <w:tabs>
          <w:tab w:leader="none" w:pos="69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default is made in the payment of any installment of interest on any Security of any series and any related coupon when such interest becomes due and payable and such default continues for a period of 30 calendar days, or</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default is made in the payment of the principal of (or premium or Make-Whole Amount, if any, on) any Security of any series at its Maturity,</w:t>
      </w:r>
    </w:p>
    <w:p>
      <w:pPr>
        <w:spacing w:after="0" w:line="24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then the Company will, upon demand of the Trustee, pay to the Trustee, for the benefit of the Holders of such Securities of such series and coupons, the whole amount then due and payable on such Securities and coupons for principal (and premium or Make-Whole Amount, if any) and interest, with interest upon any overdue principal (and premium or Make-Whole Amount, if any) and, to the extent that payment of such interest shall be legally enforceable, upon any overdue installments of interest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92"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Securities of such series and collect the moneys adjudged or decreed to be payable in the manner provided by law out of the property of the Company or any other obligor upon such Securities of such series, wherever situated.</w:t>
      </w:r>
    </w:p>
    <w:p>
      <w:pPr>
        <w:spacing w:after="0" w:line="157"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necessary to protect and enforce any such rights, whether for the specific enforcement of any covenant or agreement in this Indenture or in aid of the exercise of any power granted herein, or to enforce any other proper remedy.</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overdue principal, premium or Make-Whole Amount, if any, or interest) shall be entitled and empowered, by intervention in such proceeding or otherwise:</w:t>
      </w:r>
    </w:p>
    <w:p>
      <w:pPr>
        <w:spacing w:after="0" w:line="192" w:lineRule="exact"/>
        <w:rPr>
          <w:sz w:val="20"/>
          <w:szCs w:val="20"/>
          <w:color w:val="auto"/>
        </w:rPr>
      </w:pPr>
    </w:p>
    <w:p>
      <w:pPr>
        <w:jc w:val="both"/>
        <w:ind w:right="80" w:firstLine="436"/>
        <w:spacing w:after="0" w:line="279" w:lineRule="auto"/>
        <w:tabs>
          <w:tab w:leader="none" w:pos="65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to file and prove a claim for the whole amount, or such lesser amount as may be provided for in the Securities of such series, of principal (and premium or Make-Whole Amount, if any)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71" w:lineRule="exact"/>
        <w:rPr>
          <w:rFonts w:ascii="Arial" w:cs="Arial" w:eastAsia="Arial" w:hAnsi="Arial"/>
          <w:sz w:val="17"/>
          <w:szCs w:val="17"/>
          <w:color w:val="auto"/>
        </w:rPr>
      </w:pPr>
    </w:p>
    <w:p>
      <w:pPr>
        <w:ind w:left="700" w:hanging="264"/>
        <w:spacing w:after="0"/>
        <w:tabs>
          <w:tab w:leader="none" w:pos="7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of Securities of such series and coupons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w:t>
      </w:r>
    </w:p>
    <w:p>
      <w:pPr>
        <w:spacing w:after="0" w:line="188"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Nothing herein contained shall be deemed to authorize the Trustee to authorize or consent to or accept or adopt on behalf of any Holder of a Security or coupon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187" w:name="page188"/>
    <w:bookmarkEnd w:id="187"/>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any proceedings brought by the Trustee (and also any proceedings involving the interpretation of any provision of this Indenture to which the Trustee shall be a party) the Trustee shall be held to represent all the Holders of the Securities, and it shall not be necessary to make any Holders of the Securities parties to any such proceedings.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Trustee May Enforce Claims Without Possession of Securities or Coupons</w:t>
      </w:r>
      <w:r>
        <w:rPr>
          <w:rFonts w:ascii="Arial" w:cs="Arial" w:eastAsia="Arial" w:hAnsi="Arial"/>
          <w:sz w:val="18"/>
          <w:szCs w:val="18"/>
          <w:color w:val="auto"/>
        </w:rPr>
        <w:t>. All rights of action and claims under this Indenture or 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and coupons in respect of which such judgment has been recovered.</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 Any money collected by the Trustee pursuant to this Article shall be applied in the following order, at the date or dates fixed by the Trustee and, in case of the distribution of such money on account of principal (or premium or Make-Whole Amount, if any) or interest, upon presentation of the Securities or coupons, or both, as the case may be, and the notation thereon of the payment if only partially paid and upon surrender thereof if fully paid:</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FIRST: To the payment of all amounts due the Trustee and any predecessor Trustee under Section 606;</w:t>
      </w:r>
    </w:p>
    <w:p>
      <w:pPr>
        <w:spacing w:after="0" w:line="117" w:lineRule="exact"/>
        <w:rPr>
          <w:sz w:val="20"/>
          <w:szCs w:val="20"/>
          <w:color w:val="auto"/>
        </w:rPr>
      </w:pPr>
    </w:p>
    <w:p>
      <w:pPr>
        <w:ind w:left="440" w:right="40"/>
        <w:spacing w:after="0" w:line="259" w:lineRule="auto"/>
        <w:rPr>
          <w:sz w:val="20"/>
          <w:szCs w:val="20"/>
          <w:color w:val="auto"/>
        </w:rPr>
      </w:pPr>
      <w:r>
        <w:rPr>
          <w:rFonts w:ascii="Arial" w:cs="Arial" w:eastAsia="Arial" w:hAnsi="Arial"/>
          <w:sz w:val="18"/>
          <w:szCs w:val="18"/>
          <w:color w:val="auto"/>
        </w:rPr>
        <w:t>SECOND: To the payment of the amounts then due and unpaid upon the Securities and coupons for principal (and premium or Make-Whole Amount, if any) and interest, in respect of which or for the benefit of which such money has been collected, ratably, without preference or priority of any kind, according to the aggregate amounts due and payable on such Securities and coupons for principal (and premium or Make-Whole Amount, if any) and interest, respectively; and</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THIRD: To the payment of the remainder, if any, to the Company.</w:t>
      </w:r>
    </w:p>
    <w:p>
      <w:pPr>
        <w:spacing w:after="0" w:line="22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Limitation on Suits</w:t>
      </w:r>
      <w:r>
        <w:rPr>
          <w:rFonts w:ascii="Arial" w:cs="Arial" w:eastAsia="Arial" w:hAnsi="Arial"/>
          <w:sz w:val="16"/>
          <w:szCs w:val="16"/>
          <w:color w:val="auto"/>
        </w:rPr>
        <w:t>. No Holder of any Security of any series or any related coupon shall have any right to institute any proceeding, judicial or otherwise, with respect to this Indenture, or for the appointment of a receiver or trustee, or for any other remedy hereunder, unless:</w:t>
      </w:r>
    </w:p>
    <w:p>
      <w:pPr>
        <w:spacing w:after="0" w:line="16" w:lineRule="exact"/>
        <w:rPr>
          <w:sz w:val="20"/>
          <w:szCs w:val="20"/>
          <w:color w:val="auto"/>
        </w:rPr>
      </w:pPr>
    </w:p>
    <w:p>
      <w:pPr>
        <w:ind w:left="700" w:hanging="264"/>
        <w:spacing w:after="0"/>
        <w:tabs>
          <w:tab w:leader="none" w:pos="70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 that series;</w:t>
      </w:r>
    </w:p>
    <w:p>
      <w:pPr>
        <w:spacing w:after="0" w:line="248" w:lineRule="exact"/>
        <w:rPr>
          <w:rFonts w:ascii="Arial" w:cs="Arial" w:eastAsia="Arial" w:hAnsi="Arial"/>
          <w:sz w:val="16"/>
          <w:szCs w:val="16"/>
          <w:color w:val="auto"/>
        </w:rPr>
      </w:pPr>
    </w:p>
    <w:p>
      <w:pPr>
        <w:ind w:right="40" w:firstLine="436"/>
        <w:spacing w:after="0" w:line="277" w:lineRule="auto"/>
        <w:tabs>
          <w:tab w:leader="none" w:pos="69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right="140" w:firstLine="436"/>
        <w:spacing w:after="0" w:line="277" w:lineRule="auto"/>
        <w:tabs>
          <w:tab w:leader="none" w:pos="69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reasonably satisfactory to the Trustee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Trustee for 60 calendar days after its receipt of such notice, request and offer of indemnity has failed to institute any such proceeding; and</w:t>
      </w:r>
    </w:p>
    <w:p>
      <w:pPr>
        <w:spacing w:after="0" w:line="248" w:lineRule="exact"/>
        <w:rPr>
          <w:rFonts w:ascii="Arial" w:cs="Arial" w:eastAsia="Arial" w:hAnsi="Arial"/>
          <w:sz w:val="16"/>
          <w:szCs w:val="16"/>
          <w:color w:val="auto"/>
        </w:rPr>
      </w:pPr>
    </w:p>
    <w:p>
      <w:pPr>
        <w:ind w:right="320" w:firstLine="436"/>
        <w:spacing w:after="0" w:line="277" w:lineRule="auto"/>
        <w:tabs>
          <w:tab w:leader="none" w:pos="69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188" w:name="page189"/>
    <w:bookmarkEnd w:id="188"/>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508. </w:t>
      </w:r>
      <w:r>
        <w:rPr>
          <w:rFonts w:ascii="Arial" w:cs="Arial" w:eastAsia="Arial" w:hAnsi="Arial"/>
          <w:sz w:val="17"/>
          <w:szCs w:val="17"/>
          <w:u w:val="single" w:color="auto"/>
          <w:color w:val="auto"/>
        </w:rPr>
        <w:t>Unconditional Right of Holders to Receive Principal, Premium or Make-Whole Amount, if any, and Interest</w:t>
      </w:r>
      <w:r>
        <w:rPr>
          <w:rFonts w:ascii="Arial" w:cs="Arial" w:eastAsia="Arial" w:hAnsi="Arial"/>
          <w:sz w:val="17"/>
          <w:szCs w:val="17"/>
          <w:color w:val="auto"/>
        </w:rPr>
        <w:t>. Notwithstanding any other provision in this Indenture, the Holder of any Security or coupon shall have the right which is absolute and unconditional to receive payment of the principal of (and premium or Make-Whole Amount, if any) and (subject to Sections 305 and 307) interest on such Security or payment of such coupon on the respective due dates expressed in such Security or coupon (or, in the case of redemption, on the Redemption Date) and to institute suit for the enforcement of any such payment, and such rights shall not be impaired without the consent of such Holder.</w:t>
      </w:r>
    </w:p>
    <w:p>
      <w:pPr>
        <w:spacing w:after="0" w:line="17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u w:val="single" w:color="auto"/>
          <w:color w:val="auto"/>
        </w:rPr>
        <w:t>Restoration of Rights and Remedies</w:t>
      </w:r>
      <w:r>
        <w:rPr>
          <w:rFonts w:ascii="Arial" w:cs="Arial" w:eastAsia="Arial" w:hAnsi="Arial"/>
          <w:sz w:val="17"/>
          <w:szCs w:val="17"/>
          <w:color w:val="auto"/>
        </w:rPr>
        <w:t>. 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and coupons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 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9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Delay or Omission Not Waiver</w:t>
      </w:r>
      <w:r>
        <w:rPr>
          <w:rFonts w:ascii="Arial" w:cs="Arial" w:eastAsia="Arial" w:hAnsi="Arial"/>
          <w:sz w:val="17"/>
          <w:szCs w:val="17"/>
          <w:color w:val="auto"/>
        </w:rPr>
        <w:t>. 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or coupons, as the case may be.</w:t>
      </w:r>
    </w:p>
    <w:p>
      <w:pPr>
        <w:spacing w:after="0" w:line="17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Control by Holders of Securities</w:t>
      </w:r>
      <w:r>
        <w:rPr>
          <w:rFonts w:ascii="Arial" w:cs="Arial" w:eastAsia="Arial" w:hAnsi="Arial"/>
          <w:sz w:val="18"/>
          <w:szCs w:val="18"/>
          <w:color w:val="auto"/>
        </w:rPr>
        <w:t xml:space="preserve">. 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6" w:lineRule="exact"/>
        <w:rPr>
          <w:sz w:val="20"/>
          <w:szCs w:val="20"/>
          <w:color w:val="auto"/>
        </w:rPr>
      </w:pPr>
    </w:p>
    <w:p>
      <w:pPr>
        <w:ind w:left="700" w:hanging="264"/>
        <w:spacing w:after="0"/>
        <w:tabs>
          <w:tab w:leader="none" w:pos="7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117" w:lineRule="exact"/>
        <w:rPr>
          <w:rFonts w:ascii="Arial" w:cs="Arial" w:eastAsia="Arial" w:hAnsi="Arial"/>
          <w:sz w:val="18"/>
          <w:szCs w:val="18"/>
          <w:color w:val="auto"/>
        </w:rPr>
      </w:pPr>
    </w:p>
    <w:p>
      <w:pPr>
        <w:ind w:left="440" w:right="240" w:hanging="4"/>
        <w:spacing w:after="0" w:line="277" w:lineRule="auto"/>
        <w:tabs>
          <w:tab w:leader="none" w:pos="69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Trustee need not take any action which might involve it in personal liability or be unduly prejudicial to the Holders of Securities of such series not joining therein.</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Nothing in this Indenture shall impair the right of the Trustee in its discretion to take any action deemed proper by the Trustee and which is not inconsistent with such direction by Holders.</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 The Holders of not less than a majority in principal amount of the Outstanding Securities of any series may on behalf of the Holders of all the Securities of such series and any related coupons waive any past default hereunder with respect to such series and its consequences, except a default</w:t>
      </w:r>
    </w:p>
    <w:p>
      <w:pPr>
        <w:spacing w:after="0" w:line="184" w:lineRule="exact"/>
        <w:rPr>
          <w:sz w:val="20"/>
          <w:szCs w:val="20"/>
          <w:color w:val="auto"/>
        </w:rPr>
      </w:pPr>
    </w:p>
    <w:p>
      <w:pPr>
        <w:ind w:right="560" w:firstLine="436"/>
        <w:spacing w:after="0" w:line="277" w:lineRule="auto"/>
        <w:tabs>
          <w:tab w:leader="none" w:pos="69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the payment of the principal of (or premium or Make-Whole Amount, if any) or interest on any Security of such series or any related coupons, or</w:t>
      </w:r>
    </w:p>
    <w:p>
      <w:pPr>
        <w:spacing w:after="0" w:line="170" w:lineRule="exact"/>
        <w:rPr>
          <w:rFonts w:ascii="Arial" w:cs="Arial" w:eastAsia="Arial" w:hAnsi="Arial"/>
          <w:sz w:val="18"/>
          <w:szCs w:val="18"/>
          <w:color w:val="auto"/>
        </w:rPr>
      </w:pPr>
    </w:p>
    <w:p>
      <w:pPr>
        <w:ind w:right="320" w:firstLine="436"/>
        <w:spacing w:after="0" w:line="277" w:lineRule="auto"/>
        <w:tabs>
          <w:tab w:leader="none" w:pos="69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Nine cannot be modified or amended without the consent of the Holder of each Outstanding Security of such series affected; or</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respect of a covenant or provision hereof for the benefit or protection of the Trustee, without its express written consent.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189" w:name="page190"/>
    <w:bookmarkEnd w:id="189"/>
    <w:p>
      <w:pPr>
        <w:ind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2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Waiver of Usury, Stay or Extension Laws</w:t>
      </w:r>
      <w:r>
        <w:rPr>
          <w:rFonts w:ascii="Arial" w:cs="Arial" w:eastAsia="Arial" w:hAnsi="Arial"/>
          <w:sz w:val="16"/>
          <w:szCs w:val="16"/>
          <w:color w:val="auto"/>
        </w:rPr>
        <w:t>.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6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SECTION 515. </w:t>
      </w:r>
      <w:r>
        <w:rPr>
          <w:rFonts w:ascii="Arial" w:cs="Arial" w:eastAsia="Arial" w:hAnsi="Arial"/>
          <w:sz w:val="17"/>
          <w:szCs w:val="17"/>
          <w:u w:val="single" w:color="auto"/>
          <w:color w:val="auto"/>
        </w:rPr>
        <w:t>Undertaking for Costs</w:t>
      </w:r>
      <w:r>
        <w:rPr>
          <w:rFonts w:ascii="Arial" w:cs="Arial" w:eastAsia="Arial" w:hAnsi="Arial"/>
          <w:sz w:val="17"/>
          <w:szCs w:val="17"/>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premium or Make-Whole Amount, if any) or interest on any Security on or after the respective Stated Maturities expressed in such Security (or, in the case of redemption, on or after the Redemption Date).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SIX—THE TRUSTEE</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Notice of Defaults</w:t>
      </w:r>
      <w:r>
        <w:rPr>
          <w:rFonts w:ascii="Arial" w:cs="Arial" w:eastAsia="Arial" w:hAnsi="Arial"/>
          <w:sz w:val="17"/>
          <w:szCs w:val="17"/>
          <w:color w:val="auto"/>
        </w:rPr>
        <w:t xml:space="preserve">. Within 90 calendar days after the occurrence of any default hereunder with respect to the Securities of any series, the Trustee shall transmit in the manner and to the extent provided in TIA Section 313(c), notice of such default hereunder known to the Trustee, unless such default shall have been cured or waived;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in the case of a default in the payment of the principal of (or premium or Make-Whole Amount, if any) or interest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Holders of the Securities and coupons of such series;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the case of any default or breach of the character specified in Section 501(4) with respect to the Securities and coupons of such series, no such notice to Holders shall be given until at least 60 calendar days after the occurrence thereof. For the purpose of this Section, the term “default” means any event which is, or after notice or lapse of time or both would become, an Event of Default with respect to the Securities of such series.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 Subject to the provisions of TIA Section 315(a) through 315(d):</w:t>
      </w:r>
    </w:p>
    <w:p>
      <w:pPr>
        <w:spacing w:after="0" w:line="117" w:lineRule="exact"/>
        <w:rPr>
          <w:sz w:val="20"/>
          <w:szCs w:val="20"/>
          <w:color w:val="auto"/>
        </w:rPr>
      </w:pPr>
    </w:p>
    <w:p>
      <w:pPr>
        <w:jc w:val="both"/>
        <w:ind w:left="440" w:right="260" w:hanging="4"/>
        <w:spacing w:after="0" w:line="311" w:lineRule="auto"/>
        <w:tabs>
          <w:tab w:leader="none" w:pos="69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Trustee may conclusively rely and shall be fully protected in acting or refraining from acting upon any resolution, certificate, statement, instrument, opinion, report, notice, request, direction, consent, order, bond, debenture, note, coupon or other paper or document (whether in its original or facsimile form) reasonably believed by it to be genuine and to have been signed or presented by the proper party or parties;</w:t>
      </w:r>
    </w:p>
    <w:p>
      <w:pPr>
        <w:spacing w:after="0" w:line="40" w:lineRule="exact"/>
        <w:rPr>
          <w:rFonts w:ascii="Arial" w:cs="Arial" w:eastAsia="Arial" w:hAnsi="Arial"/>
          <w:sz w:val="16"/>
          <w:szCs w:val="16"/>
          <w:color w:val="auto"/>
        </w:rPr>
      </w:pPr>
    </w:p>
    <w:p>
      <w:pPr>
        <w:ind w:left="440" w:right="80" w:hanging="4"/>
        <w:spacing w:after="0" w:line="259" w:lineRule="auto"/>
        <w:tabs>
          <w:tab w:leader="none" w:pos="69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78" w:lineRule="exact"/>
        <w:rPr>
          <w:rFonts w:ascii="Arial" w:cs="Arial" w:eastAsia="Arial" w:hAnsi="Arial"/>
          <w:sz w:val="18"/>
          <w:szCs w:val="18"/>
          <w:color w:val="auto"/>
        </w:rPr>
      </w:pPr>
    </w:p>
    <w:p>
      <w:pPr>
        <w:ind w:left="440" w:hanging="4"/>
        <w:spacing w:after="0" w:line="263" w:lineRule="auto"/>
        <w:tabs>
          <w:tab w:leader="none" w:pos="69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190" w:name="page191"/>
    <w:bookmarkEnd w:id="190"/>
    <w:p>
      <w:pPr>
        <w:ind w:left="440" w:right="220" w:hanging="4"/>
        <w:spacing w:after="0" w:line="342" w:lineRule="auto"/>
        <w:tabs>
          <w:tab w:leader="none" w:pos="695" w:val="left"/>
        </w:tabs>
        <w:numPr>
          <w:ilvl w:val="0"/>
          <w:numId w:val="1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may consult with counsel of its own selection and the written advice of such counsel or any Opinion of Counsel shall be full and complete authorization and protection in respect of any action taken, suffered or omitted by it hereunder in good faith and in reliance thereon;</w:t>
      </w:r>
    </w:p>
    <w:p>
      <w:pPr>
        <w:spacing w:after="0" w:line="15" w:lineRule="exact"/>
        <w:rPr>
          <w:rFonts w:ascii="Arial" w:cs="Arial" w:eastAsia="Arial" w:hAnsi="Arial"/>
          <w:sz w:val="16"/>
          <w:szCs w:val="16"/>
          <w:color w:val="auto"/>
        </w:rPr>
      </w:pPr>
    </w:p>
    <w:p>
      <w:pPr>
        <w:jc w:val="both"/>
        <w:ind w:left="440" w:right="80" w:hanging="4"/>
        <w:spacing w:after="0" w:line="259" w:lineRule="auto"/>
        <w:tabs>
          <w:tab w:leader="none" w:pos="69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security or indemnity reasonably satisfactory to the Trustee against the costs, expenses and liabilities which might be incurred by it in compliance with such request or direction;</w:t>
      </w:r>
    </w:p>
    <w:p>
      <w:pPr>
        <w:spacing w:after="0" w:line="78" w:lineRule="exact"/>
        <w:rPr>
          <w:rFonts w:ascii="Arial" w:cs="Arial" w:eastAsia="Arial" w:hAnsi="Arial"/>
          <w:sz w:val="18"/>
          <w:szCs w:val="18"/>
          <w:color w:val="auto"/>
        </w:rPr>
      </w:pPr>
    </w:p>
    <w:p>
      <w:pPr>
        <w:ind w:left="700" w:hanging="264"/>
        <w:spacing w:after="0"/>
        <w:tabs>
          <w:tab w:leader="none" w:pos="70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w:t>
      </w:r>
    </w:p>
    <w:p>
      <w:pPr>
        <w:spacing w:after="0" w:line="46" w:lineRule="exact"/>
        <w:rPr>
          <w:rFonts w:ascii="Arial" w:cs="Arial" w:eastAsia="Arial" w:hAnsi="Arial"/>
          <w:sz w:val="16"/>
          <w:szCs w:val="16"/>
          <w:color w:val="auto"/>
        </w:rPr>
      </w:pPr>
    </w:p>
    <w:p>
      <w:pPr>
        <w:ind w:left="440" w:right="2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opinion, report, notice, request, direction, consent, order, bond, debenture, note, coupon or other paper or document, unless requested in writing so to do by the Holders of not less than a majority in aggregate principal amount of the Outstanding Securities of any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examination shall be paid by the Holders or, if paid by the Trustee, shall be repaid by the Holders upon demand.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relevant to the facts or matters that are the subject of its inquiry, personally or by agent or attorney at the expense of the Company and shall incur no liability or additional liability of any kind by reason of such inquiry or investigation;</w:t>
      </w:r>
    </w:p>
    <w:p>
      <w:pPr>
        <w:spacing w:after="0" w:line="70" w:lineRule="exact"/>
        <w:rPr>
          <w:rFonts w:ascii="Arial" w:cs="Arial" w:eastAsia="Arial" w:hAnsi="Arial"/>
          <w:sz w:val="16"/>
          <w:szCs w:val="16"/>
          <w:color w:val="auto"/>
        </w:rPr>
      </w:pPr>
    </w:p>
    <w:p>
      <w:pPr>
        <w:ind w:left="440" w:hanging="4"/>
        <w:spacing w:after="0" w:line="263" w:lineRule="auto"/>
        <w:tabs>
          <w:tab w:leader="none" w:pos="69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75" w:lineRule="exact"/>
        <w:rPr>
          <w:rFonts w:ascii="Arial" w:cs="Arial" w:eastAsia="Arial" w:hAnsi="Arial"/>
          <w:sz w:val="18"/>
          <w:szCs w:val="18"/>
          <w:color w:val="auto"/>
        </w:rPr>
      </w:pPr>
    </w:p>
    <w:p>
      <w:pPr>
        <w:ind w:left="440" w:right="360" w:hanging="4"/>
        <w:spacing w:after="0" w:line="277" w:lineRule="auto"/>
        <w:tabs>
          <w:tab w:leader="none" w:pos="69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by it in good faith and reasonably believed by it to be authorized or within the discretion or rights or powers conferred upon it by this Indenture;</w:t>
      </w:r>
    </w:p>
    <w:p>
      <w:pPr>
        <w:spacing w:after="0" w:line="62" w:lineRule="exact"/>
        <w:rPr>
          <w:rFonts w:ascii="Arial" w:cs="Arial" w:eastAsia="Arial" w:hAnsi="Arial"/>
          <w:sz w:val="18"/>
          <w:szCs w:val="18"/>
          <w:color w:val="auto"/>
        </w:rPr>
      </w:pPr>
    </w:p>
    <w:p>
      <w:pPr>
        <w:ind w:left="440" w:right="100" w:hanging="4"/>
        <w:spacing w:after="0" w:line="277" w:lineRule="auto"/>
        <w:tabs>
          <w:tab w:leader="none" w:pos="69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permissive right or power available to the Trustee under this Indenture or any supplement hereto shall not be construed to be a mandatory duty or obligation;</w:t>
      </w:r>
    </w:p>
    <w:p>
      <w:pPr>
        <w:spacing w:after="0" w:line="62" w:lineRule="exact"/>
        <w:rPr>
          <w:rFonts w:ascii="Arial" w:cs="Arial" w:eastAsia="Arial" w:hAnsi="Arial"/>
          <w:sz w:val="18"/>
          <w:szCs w:val="18"/>
          <w:color w:val="auto"/>
        </w:rPr>
      </w:pPr>
    </w:p>
    <w:p>
      <w:pPr>
        <w:ind w:left="440" w:right="260" w:hanging="4"/>
        <w:spacing w:after="0" w:line="263" w:lineRule="auto"/>
        <w:tabs>
          <w:tab w:leader="none" w:pos="78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Trustee shall not be charged with knowledge of any matter (including any default, other than as described in Section 501(1), (2) or (3)) unless and except to the extent actually known to a Responsible Officer of the Trustee or to the extent written notice thereof is received by the Trustee at the Corporate Trust Office;</w:t>
      </w:r>
    </w:p>
    <w:p>
      <w:pPr>
        <w:spacing w:after="0" w:line="75" w:lineRule="exact"/>
        <w:rPr>
          <w:rFonts w:ascii="Arial" w:cs="Arial" w:eastAsia="Arial" w:hAnsi="Arial"/>
          <w:sz w:val="18"/>
          <w:szCs w:val="18"/>
          <w:color w:val="auto"/>
        </w:rPr>
      </w:pPr>
    </w:p>
    <w:p>
      <w:pPr>
        <w:ind w:left="440" w:right="500" w:hanging="4"/>
        <w:spacing w:after="0" w:line="277" w:lineRule="auto"/>
        <w:tabs>
          <w:tab w:leader="none" w:pos="77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Trustee shall have no liability for any inaccuracy in the books and records of, or for any actions or omissions of, DTC, Euroclear or Clearstream or any depository acting on behalf of any of them;</w:t>
      </w:r>
    </w:p>
    <w:p>
      <w:pPr>
        <w:spacing w:after="0" w:line="62" w:lineRule="exact"/>
        <w:rPr>
          <w:rFonts w:ascii="Arial" w:cs="Arial" w:eastAsia="Arial" w:hAnsi="Arial"/>
          <w:sz w:val="18"/>
          <w:szCs w:val="18"/>
          <w:color w:val="auto"/>
        </w:rPr>
      </w:pPr>
    </w:p>
    <w:p>
      <w:pPr>
        <w:jc w:val="both"/>
        <w:ind w:left="440" w:right="140" w:hanging="4"/>
        <w:spacing w:after="0" w:line="263" w:lineRule="auto"/>
        <w:tabs>
          <w:tab w:leader="none" w:pos="78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by the Trustee to act hereunder; and</w:t>
      </w:r>
    </w:p>
    <w:p>
      <w:pPr>
        <w:spacing w:after="0" w:line="75" w:lineRule="exact"/>
        <w:rPr>
          <w:rFonts w:ascii="Arial" w:cs="Arial" w:eastAsia="Arial" w:hAnsi="Arial"/>
          <w:sz w:val="18"/>
          <w:szCs w:val="18"/>
          <w:color w:val="auto"/>
        </w:rPr>
      </w:pPr>
    </w:p>
    <w:p>
      <w:pPr>
        <w:ind w:left="440" w:right="60" w:hanging="4"/>
        <w:spacing w:after="0" w:line="311" w:lineRule="auto"/>
        <w:tabs>
          <w:tab w:leader="none" w:pos="78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4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191" w:name="page192"/>
    <w:bookmarkEnd w:id="191"/>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during the continuance of an Event of Default, the Trustee undertakes to perform only such duties as are specifically set forth in this Indenture, and no implied covenants or obligations shall be read into this Indenture against the Trustee.</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Not Responsible for Recitals or Issuance of Securities</w:t>
      </w:r>
      <w:r>
        <w:rPr>
          <w:rFonts w:ascii="Arial" w:cs="Arial" w:eastAsia="Arial" w:hAnsi="Arial"/>
          <w:sz w:val="17"/>
          <w:szCs w:val="17"/>
          <w:color w:val="auto"/>
        </w:rPr>
        <w:t>. The recitals contained herein and in the Securities, except the Trustee’s certificate of authentication, and in any coupons shall be taken as the statements of the Company, and neither the Trustee nor any Authenticating Agent assumes any responsibility for their correctness. The 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Neither the Trustee nor any Authenticating Agent shall be accountable for the use or application by the Company of Securities or the proceeds thereof. The Trustee shall have no responsibility with respect to any information, statement or recital in any offering prospectus or other disclosure materials prepared or distributed with respect to the Securities.</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May Hold Securities</w:t>
      </w:r>
      <w:r>
        <w:rPr>
          <w:rFonts w:ascii="Arial" w:cs="Arial" w:eastAsia="Arial" w:hAnsi="Arial"/>
          <w:sz w:val="18"/>
          <w:szCs w:val="18"/>
          <w:color w:val="auto"/>
        </w:rPr>
        <w:t>. The Trustee, any Paying Agent, Security Registrar, Authenticating Agent or any other agent of the Company, in its individual or any other capacity, may become the owner or pledgee of Securities and coupons and, subject to TIA Sections 310(b) and 311, may otherwise deal with the Company with the same rights it would have if it were not Trustee, Paying Agent, Security Registrar, Authenticating Agent or such other agent.</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Money Held in Trust</w:t>
      </w:r>
      <w:r>
        <w:rPr>
          <w:rFonts w:ascii="Arial" w:cs="Arial" w:eastAsia="Arial" w:hAnsi="Arial"/>
          <w:sz w:val="18"/>
          <w:szCs w:val="18"/>
          <w:color w:val="auto"/>
        </w:rPr>
        <w:t>.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 The Company agrees:</w:t>
      </w:r>
    </w:p>
    <w:p>
      <w:pPr>
        <w:spacing w:after="0" w:line="117" w:lineRule="exact"/>
        <w:rPr>
          <w:sz w:val="20"/>
          <w:szCs w:val="20"/>
          <w:color w:val="auto"/>
        </w:rPr>
      </w:pPr>
    </w:p>
    <w:p>
      <w:pPr>
        <w:ind w:left="440" w:right="360" w:hanging="4"/>
        <w:spacing w:after="0" w:line="308" w:lineRule="auto"/>
        <w:tabs>
          <w:tab w:leader="none" w:pos="695"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to pay to the Trustee as agreed upon in writing from time to time reasonable compensation for all services rendered by it hereunder (which compensation shall not be limited by any provision of law in regard to the compensation of a trustee of an express trust);</w:t>
      </w:r>
    </w:p>
    <w:p>
      <w:pPr>
        <w:spacing w:after="0" w:line="38" w:lineRule="exact"/>
        <w:rPr>
          <w:rFonts w:ascii="Arial" w:cs="Arial" w:eastAsia="Arial" w:hAnsi="Arial"/>
          <w:sz w:val="17"/>
          <w:szCs w:val="17"/>
          <w:color w:val="auto"/>
        </w:rPr>
      </w:pPr>
    </w:p>
    <w:p>
      <w:pPr>
        <w:ind w:left="440" w:right="20" w:hanging="4"/>
        <w:spacing w:after="0" w:line="259" w:lineRule="auto"/>
        <w:tabs>
          <w:tab w:leader="none" w:pos="69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each of the Trustee and any predecessor Trustee upon its request for all reasonable expenses, and disbursements incurred by the Trustee in accordance with any provision of this Indenture (including the reasonable compensation and the reasonable expenses and disbursements of its agents and counsel), except any such expense or disbursement as shall be determined to have been caused by its own negligence, willful misconduct or bad faith; and</w:t>
      </w:r>
    </w:p>
    <w:p>
      <w:pPr>
        <w:spacing w:after="0" w:line="78" w:lineRule="exact"/>
        <w:rPr>
          <w:rFonts w:ascii="Arial" w:cs="Arial" w:eastAsia="Arial" w:hAnsi="Arial"/>
          <w:sz w:val="18"/>
          <w:szCs w:val="18"/>
          <w:color w:val="auto"/>
        </w:rPr>
      </w:pPr>
    </w:p>
    <w:p>
      <w:pPr>
        <w:ind w:left="440" w:right="20" w:hanging="4"/>
        <w:spacing w:after="0" w:line="259" w:lineRule="auto"/>
        <w:tabs>
          <w:tab w:leader="none" w:pos="69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to indemnify each of the Trustee and any predecessor Trustee for, and to hold it harmless against, any loss, liability, claim, damage or expense incurred without negligence, willful misconduct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When the Trustee incurs expenses or renders services in connection with an Event of Default specified in Section 501(7) or Section 501(8),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8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 security for the performance of the obligations of the Company under this Section, the Trustee shall have a lien for payment of the Trustee’s fees and expenses prior to the Securities upon all property and funds held or collected by the Trustee as such, except funds held in trust for the payment of principal of (or premium or Make-Whole Amount, if any) or interest on particular Securities or any coupons.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this Section shall survive the termination of this Indenture and the resignation or removal of the Trustee.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192" w:name="page193"/>
    <w:bookmarkEnd w:id="192"/>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607. </w:t>
      </w:r>
      <w:r>
        <w:rPr>
          <w:rFonts w:ascii="Arial" w:cs="Arial" w:eastAsia="Arial" w:hAnsi="Arial"/>
          <w:sz w:val="16"/>
          <w:szCs w:val="16"/>
          <w:u w:val="single" w:color="auto"/>
          <w:color w:val="auto"/>
        </w:rPr>
        <w:t>Corporate Trustee Required; Eligibility; Conflicting Interests</w:t>
      </w:r>
      <w:r>
        <w:rPr>
          <w:rFonts w:ascii="Arial" w:cs="Arial" w:eastAsia="Arial" w:hAnsi="Arial"/>
          <w:sz w:val="16"/>
          <w:szCs w:val="16"/>
          <w:color w:val="auto"/>
        </w:rPr>
        <w:t>. There shall at all times be a Trustee hereunder which shall be eligible to act as Trustee under TIA Section 310(a)(1) and shall have at all times a combined capital and surplus of at least $50,000,000 (or which shall have a combined capital and surplus of at least $10,000,000 and whose ultimate parent holding company shall have a combined capital and surplus of at least $50,000,000. If the Trustee publishes reports of condition at least annually, pursuant to law or the requirements of Federal, state, territorial or District of Columbia supervising or examining authority, then for the purposes of this Section, the combined capital and surplus of the Trustee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Neither the Company nor any Person directly or indirectly controlling, controlled by, or under common control with the Company shall serve as Trustee.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225" w:lineRule="exact"/>
        <w:rPr>
          <w:sz w:val="20"/>
          <w:szCs w:val="20"/>
          <w:color w:val="auto"/>
        </w:rPr>
      </w:pPr>
    </w:p>
    <w:p>
      <w:pPr>
        <w:ind w:right="280" w:firstLine="436"/>
        <w:spacing w:after="0" w:line="277" w:lineRule="auto"/>
        <w:tabs>
          <w:tab w:leader="none" w:pos="68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609.</w:t>
      </w:r>
    </w:p>
    <w:p>
      <w:pPr>
        <w:spacing w:after="0" w:line="170" w:lineRule="exact"/>
        <w:rPr>
          <w:rFonts w:ascii="Arial" w:cs="Arial" w:eastAsia="Arial" w:hAnsi="Arial"/>
          <w:sz w:val="18"/>
          <w:szCs w:val="18"/>
          <w:color w:val="auto"/>
        </w:rPr>
      </w:pPr>
    </w:p>
    <w:p>
      <w:pPr>
        <w:ind w:right="140" w:firstLine="436"/>
        <w:spacing w:after="0" w:line="259" w:lineRule="auto"/>
        <w:tabs>
          <w:tab w:leader="none" w:pos="69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Trustee may resign at any time with respect to the Securities of one or more series by giving written notice thereof to the Company. If an instrument of acceptance by a successor Trustee shall not have been delivered to the Trustee within 60 calendar days after the giving of such notice of resignation, the resigning Trustee may petition, at the expense of the Company, any court of competent jurisdiction for the appointment of a successor Trustee.</w:t>
      </w:r>
    </w:p>
    <w:p>
      <w:pPr>
        <w:spacing w:after="0" w:line="186" w:lineRule="exact"/>
        <w:rPr>
          <w:rFonts w:ascii="Arial" w:cs="Arial" w:eastAsia="Arial" w:hAnsi="Arial"/>
          <w:sz w:val="18"/>
          <w:szCs w:val="18"/>
          <w:color w:val="auto"/>
        </w:rPr>
      </w:pPr>
    </w:p>
    <w:p>
      <w:pPr>
        <w:ind w:right="60" w:firstLine="436"/>
        <w:spacing w:after="0" w:line="279" w:lineRule="auto"/>
        <w:tabs>
          <w:tab w:leader="none" w:pos="68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Trustee may be removed at any time with respect to the Securities of any series by Act of the Holders of a majority in principal amount of the Outstanding Securities of such series delivered to the Trustee and to the Company. If an instrument of acceptance by a successor Trustee shall not have been delivered to the Trustee within 60 calendar days after the giving of such notice of resignation, the resigning Trustee may petition, at the expense of the Company, any court of competent jurisdiction for the appointment of a successor Trustee.</w:t>
      </w:r>
    </w:p>
    <w:p>
      <w:pPr>
        <w:spacing w:after="0" w:line="171" w:lineRule="exact"/>
        <w:rPr>
          <w:rFonts w:ascii="Arial" w:cs="Arial" w:eastAsia="Arial" w:hAnsi="Arial"/>
          <w:sz w:val="17"/>
          <w:szCs w:val="17"/>
          <w:color w:val="auto"/>
        </w:rPr>
      </w:pPr>
    </w:p>
    <w:p>
      <w:pPr>
        <w:ind w:left="700" w:hanging="264"/>
        <w:spacing w:after="0"/>
        <w:tabs>
          <w:tab w:leader="none" w:pos="7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117" w:lineRule="exact"/>
        <w:rPr>
          <w:rFonts w:ascii="Arial" w:cs="Arial" w:eastAsia="Arial" w:hAnsi="Arial"/>
          <w:sz w:val="18"/>
          <w:szCs w:val="18"/>
          <w:color w:val="auto"/>
        </w:rPr>
      </w:pPr>
    </w:p>
    <w:p>
      <w:pPr>
        <w:ind w:left="980" w:right="380" w:firstLine="7"/>
        <w:spacing w:after="0" w:line="277" w:lineRule="auto"/>
        <w:tabs>
          <w:tab w:leader="none" w:pos="1235"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62" w:lineRule="exact"/>
        <w:rPr>
          <w:rFonts w:ascii="Arial" w:cs="Arial" w:eastAsia="Arial" w:hAnsi="Arial"/>
          <w:sz w:val="18"/>
          <w:szCs w:val="18"/>
          <w:color w:val="auto"/>
        </w:rPr>
      </w:pPr>
    </w:p>
    <w:p>
      <w:pPr>
        <w:ind w:left="980" w:right="100" w:firstLine="7"/>
        <w:spacing w:after="0" w:line="277" w:lineRule="auto"/>
        <w:tabs>
          <w:tab w:leader="none" w:pos="1235"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62" w:lineRule="exact"/>
        <w:rPr>
          <w:rFonts w:ascii="Arial" w:cs="Arial" w:eastAsia="Arial" w:hAnsi="Arial"/>
          <w:sz w:val="18"/>
          <w:szCs w:val="18"/>
          <w:color w:val="auto"/>
        </w:rPr>
      </w:pPr>
    </w:p>
    <w:p>
      <w:pPr>
        <w:ind w:left="980" w:right="100" w:firstLine="7"/>
        <w:spacing w:after="0" w:line="263" w:lineRule="auto"/>
        <w:tabs>
          <w:tab w:leader="none" w:pos="1235"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87" w:lineRule="exact"/>
        <w:rPr>
          <w:sz w:val="20"/>
          <w:szCs w:val="20"/>
          <w:color w:val="auto"/>
        </w:rPr>
      </w:pPr>
    </w:p>
    <w:p>
      <w:pPr>
        <w:ind w:firstLine="436"/>
        <w:spacing w:after="0" w:line="254" w:lineRule="auto"/>
        <w:tabs>
          <w:tab w:leader="none" w:pos="68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193" w:name="page194"/>
    <w:bookmarkEnd w:id="193"/>
    <w:p>
      <w:pPr>
        <w:ind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161" w:lineRule="exact"/>
        <w:rPr>
          <w:sz w:val="20"/>
          <w:szCs w:val="20"/>
          <w:color w:val="auto"/>
        </w:rPr>
      </w:pPr>
    </w:p>
    <w:p>
      <w:pPr>
        <w:ind w:right="280" w:firstLine="436"/>
        <w:spacing w:after="0" w:line="259" w:lineRule="auto"/>
        <w:tabs>
          <w:tab w:leader="none" w:pos="66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225" w:lineRule="exact"/>
        <w:rPr>
          <w:sz w:val="20"/>
          <w:szCs w:val="20"/>
          <w:color w:val="auto"/>
        </w:rPr>
      </w:pPr>
    </w:p>
    <w:p>
      <w:pPr>
        <w:ind w:right="100" w:firstLine="436"/>
        <w:spacing w:after="0" w:line="272" w:lineRule="auto"/>
        <w:tabs>
          <w:tab w:leader="none" w:pos="685"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177" w:lineRule="exact"/>
        <w:rPr>
          <w:rFonts w:ascii="Arial" w:cs="Arial" w:eastAsia="Arial" w:hAnsi="Arial"/>
          <w:sz w:val="17"/>
          <w:szCs w:val="17"/>
          <w:color w:val="auto"/>
        </w:rPr>
      </w:pPr>
    </w:p>
    <w:p>
      <w:pPr>
        <w:ind w:firstLine="436"/>
        <w:spacing w:after="0" w:line="285" w:lineRule="auto"/>
        <w:tabs>
          <w:tab w:leader="none" w:pos="69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pursuant to Article Nine hereof,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76" w:lineRule="exact"/>
        <w:rPr>
          <w:rFonts w:ascii="Arial" w:cs="Arial" w:eastAsia="Arial" w:hAnsi="Arial"/>
          <w:sz w:val="16"/>
          <w:szCs w:val="16"/>
          <w:color w:val="auto"/>
        </w:rPr>
      </w:pPr>
    </w:p>
    <w:p>
      <w:pPr>
        <w:ind w:right="300" w:firstLine="436"/>
        <w:spacing w:after="0" w:line="342" w:lineRule="auto"/>
        <w:tabs>
          <w:tab w:leader="none" w:pos="68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609, as the case may be.</w:t>
      </w:r>
    </w:p>
    <w:p>
      <w:pPr>
        <w:spacing w:after="0" w:line="123" w:lineRule="exact"/>
        <w:rPr>
          <w:rFonts w:ascii="Arial" w:cs="Arial" w:eastAsia="Arial" w:hAnsi="Arial"/>
          <w:sz w:val="16"/>
          <w:szCs w:val="16"/>
          <w:color w:val="auto"/>
        </w:rPr>
      </w:pPr>
    </w:p>
    <w:p>
      <w:pPr>
        <w:ind w:right="140" w:firstLine="436"/>
        <w:spacing w:after="0" w:line="277" w:lineRule="auto"/>
        <w:tabs>
          <w:tab w:leader="none" w:pos="69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Merger, Conversion, Consolidation or Succession to Business</w:t>
      </w:r>
      <w:r>
        <w:rPr>
          <w:rFonts w:ascii="Arial" w:cs="Arial" w:eastAsia="Arial" w:hAnsi="Arial"/>
          <w:sz w:val="18"/>
          <w:szCs w:val="18"/>
          <w:color w:val="auto"/>
        </w:rPr>
        <w:t>. Any corporation into which the Trustee may be merged or converted or with which it may be consolidated, or any corporation resulting from any merger, conversion or consolidation to which the Trustee shall be a party, or any corporation succeeding to all or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40" w:top="274" w:right="479" w:bottom="1440" w:gutter="0" w:footer="0" w:header="0"/>
        </w:sectPr>
      </w:pPr>
    </w:p>
    <w:bookmarkStart w:id="194" w:name="page195"/>
    <w:bookmarkEnd w:id="194"/>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substantially all of the corporate trust business of the Trustee, shall be the successor of the Trustee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Securities or coupons shall not have been authenticated by such predecessor Trustee, any such successor Trustee may authenticate and deliver such Securities or coupons, in either its own name or that of its predecessor Trustee, with the full force and effect which this Indenture provides for the certificate of authentication of the Trustee.</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u w:val="single" w:color="auto"/>
          <w:color w:val="auto"/>
        </w:rPr>
        <w:t>Appointment of Authenticating Agent</w:t>
      </w:r>
      <w:r>
        <w:rPr>
          <w:rFonts w:ascii="Arial" w:cs="Arial" w:eastAsia="Arial" w:hAnsi="Arial"/>
          <w:sz w:val="17"/>
          <w:szCs w:val="17"/>
          <w:color w:val="auto"/>
        </w:rPr>
        <w:t>. At any time when any of the Securities remain Outstanding, the Trustee may appoint an Authenticating Agent or Agents with respect to one or more series of Securities which shall be authorized to act on behalf of the Trustee to authenticate Securities of such series issued upon conversion or exchange, registration of transfer or partial redemption or repayment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$50,000,000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180"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5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9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agrees to pay to each Authenticating Agent from time to time reasonable compensation including reimbursement of its reasonable expenses for its services under this Section, subject to Section 606.</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4" w:right="479" w:bottom="1440" w:gutter="0" w:footer="0" w:header="0"/>
        </w:sectPr>
      </w:pPr>
    </w:p>
    <w:bookmarkStart w:id="195" w:name="page196"/>
    <w:bookmarkEnd w:id="195"/>
    <w:p>
      <w:pPr>
        <w:ind w:right="6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therein referred to in the within- mentioned Indenture.</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5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as Trustee</w:t>
            </w:r>
          </w:p>
        </w:tc>
      </w:tr>
      <w:tr>
        <w:trPr>
          <w:trHeight w:val="377"/>
        </w:trPr>
        <w:tc>
          <w:tcPr>
            <w:tcW w:w="5500" w:type="dxa"/>
            <w:vAlign w:val="bottom"/>
            <w:gridSpan w:val="5"/>
          </w:tcPr>
          <w:p>
            <w:pPr>
              <w:spacing w:after="0"/>
              <w:rPr>
                <w:sz w:val="20"/>
                <w:szCs w:val="20"/>
                <w:color w:val="auto"/>
              </w:rPr>
            </w:pPr>
            <w:r>
              <w:rPr>
                <w:rFonts w:ascii="Arial" w:cs="Arial" w:eastAsia="Arial" w:hAnsi="Arial"/>
                <w:sz w:val="18"/>
                <w:szCs w:val="18"/>
                <w:color w:val="auto"/>
              </w:rPr>
              <w:t>Dated:</w:t>
            </w:r>
          </w:p>
        </w:tc>
        <w:tc>
          <w:tcPr>
            <w:tcW w:w="5520" w:type="dxa"/>
            <w:vAlign w:val="bottom"/>
            <w:gridSpan w:val="2"/>
          </w:tcPr>
          <w:p>
            <w:pPr>
              <w:ind w:left="120"/>
              <w:spacing w:after="0"/>
              <w:rPr>
                <w:sz w:val="20"/>
                <w:szCs w:val="20"/>
                <w:color w:val="auto"/>
              </w:rPr>
            </w:pPr>
            <w:r>
              <w:rPr>
                <w:rFonts w:ascii="Arial" w:cs="Arial" w:eastAsia="Arial" w:hAnsi="Arial"/>
                <w:sz w:val="18"/>
                <w:szCs w:val="18"/>
                <w:color w:val="auto"/>
              </w:rPr>
              <w:t>By:</w:t>
            </w:r>
          </w:p>
        </w:tc>
      </w:tr>
      <w:tr>
        <w:trPr>
          <w:trHeight w:val="21"/>
        </w:trPr>
        <w:tc>
          <w:tcPr>
            <w:tcW w:w="5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r>
      <w:tr>
        <w:trPr>
          <w:trHeight w:val="224"/>
        </w:trPr>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as Authenticating Agent</w:t>
            </w:r>
          </w:p>
        </w:tc>
      </w:tr>
      <w:tr>
        <w:trPr>
          <w:trHeight w:val="377"/>
        </w:trPr>
        <w:tc>
          <w:tcPr>
            <w:tcW w:w="5500" w:type="dxa"/>
            <w:vAlign w:val="bottom"/>
            <w:gridSpan w:val="5"/>
          </w:tcPr>
          <w:p>
            <w:pPr>
              <w:spacing w:after="0"/>
              <w:rPr>
                <w:sz w:val="20"/>
                <w:szCs w:val="20"/>
                <w:color w:val="auto"/>
              </w:rPr>
            </w:pPr>
            <w:r>
              <w:rPr>
                <w:rFonts w:ascii="Arial" w:cs="Arial" w:eastAsia="Arial" w:hAnsi="Arial"/>
                <w:sz w:val="18"/>
                <w:szCs w:val="18"/>
                <w:color w:val="auto"/>
              </w:rPr>
              <w:t>Dated:</w:t>
            </w:r>
          </w:p>
        </w:tc>
        <w:tc>
          <w:tcPr>
            <w:tcW w:w="5520" w:type="dxa"/>
            <w:vAlign w:val="bottom"/>
            <w:gridSpan w:val="2"/>
          </w:tcPr>
          <w:p>
            <w:pPr>
              <w:ind w:left="120"/>
              <w:spacing w:after="0"/>
              <w:rPr>
                <w:sz w:val="20"/>
                <w:szCs w:val="20"/>
                <w:color w:val="auto"/>
              </w:rPr>
            </w:pPr>
            <w:r>
              <w:rPr>
                <w:rFonts w:ascii="Arial" w:cs="Arial" w:eastAsia="Arial" w:hAnsi="Arial"/>
                <w:sz w:val="18"/>
                <w:szCs w:val="18"/>
                <w:color w:val="auto"/>
              </w:rPr>
              <w:t>By:</w:t>
            </w:r>
          </w:p>
        </w:tc>
      </w:tr>
      <w:tr>
        <w:trPr>
          <w:trHeight w:val="21"/>
        </w:trPr>
        <w:tc>
          <w:tcPr>
            <w:tcW w:w="5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r>
      <w:tr>
        <w:trPr>
          <w:trHeight w:val="224"/>
        </w:trPr>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as Authenticating Agent</w:t>
            </w:r>
          </w:p>
        </w:tc>
      </w:tr>
      <w:tr>
        <w:trPr>
          <w:trHeight w:val="377"/>
        </w:trPr>
        <w:tc>
          <w:tcPr>
            <w:tcW w:w="5500" w:type="dxa"/>
            <w:vAlign w:val="bottom"/>
            <w:gridSpan w:val="5"/>
          </w:tcPr>
          <w:p>
            <w:pPr>
              <w:spacing w:after="0"/>
              <w:rPr>
                <w:sz w:val="20"/>
                <w:szCs w:val="20"/>
                <w:color w:val="auto"/>
              </w:rPr>
            </w:pPr>
            <w:r>
              <w:rPr>
                <w:rFonts w:ascii="Arial" w:cs="Arial" w:eastAsia="Arial" w:hAnsi="Arial"/>
                <w:sz w:val="18"/>
                <w:szCs w:val="18"/>
                <w:color w:val="auto"/>
              </w:rPr>
              <w:t>SECTION 612. Certain Duties and Responsibilities of the Trustee.</w:t>
            </w:r>
          </w:p>
        </w:tc>
        <w:tc>
          <w:tcPr>
            <w:tcW w:w="44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bl>
    <w:p>
      <w:pPr>
        <w:spacing w:after="0" w:line="229" w:lineRule="exact"/>
        <w:rPr>
          <w:sz w:val="20"/>
          <w:szCs w:val="20"/>
          <w:color w:val="auto"/>
        </w:rPr>
      </w:pPr>
    </w:p>
    <w:p>
      <w:pPr>
        <w:ind w:left="680" w:hanging="244"/>
        <w:spacing w:after="0"/>
        <w:tabs>
          <w:tab w:leader="none" w:pos="6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With respect to the Securities of any series, except during the continuance of an Event of Default with respect to the Securities of such series:</w:t>
      </w:r>
    </w:p>
    <w:p>
      <w:pPr>
        <w:spacing w:after="0" w:line="140" w:lineRule="exact"/>
        <w:rPr>
          <w:rFonts w:ascii="Arial" w:cs="Arial" w:eastAsia="Arial" w:hAnsi="Arial"/>
          <w:sz w:val="16"/>
          <w:szCs w:val="16"/>
          <w:color w:val="auto"/>
        </w:rPr>
      </w:pPr>
    </w:p>
    <w:p>
      <w:pPr>
        <w:ind w:left="980" w:right="620" w:firstLine="7"/>
        <w:spacing w:after="0" w:line="277" w:lineRule="auto"/>
        <w:tabs>
          <w:tab w:leader="none" w:pos="123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62" w:lineRule="exact"/>
        <w:rPr>
          <w:rFonts w:ascii="Arial" w:cs="Arial" w:eastAsia="Arial" w:hAnsi="Arial"/>
          <w:sz w:val="18"/>
          <w:szCs w:val="18"/>
          <w:color w:val="auto"/>
        </w:rPr>
      </w:pPr>
    </w:p>
    <w:p>
      <w:pPr>
        <w:ind w:left="980" w:right="20" w:firstLine="7"/>
        <w:spacing w:after="0" w:line="275" w:lineRule="auto"/>
        <w:tabs>
          <w:tab w:leader="none" w:pos="1235" w:val="left"/>
        </w:tabs>
        <w:numPr>
          <w:ilvl w:val="1"/>
          <w:numId w:val="178"/>
        </w:numPr>
        <w:rPr>
          <w:rFonts w:ascii="Arial" w:cs="Arial" w:eastAsia="Arial" w:hAnsi="Arial"/>
          <w:sz w:val="17"/>
          <w:szCs w:val="17"/>
          <w:color w:val="auto"/>
        </w:rPr>
      </w:pPr>
      <w:r>
        <w:rPr>
          <w:rFonts w:ascii="Arial" w:cs="Arial" w:eastAsia="Arial" w:hAnsi="Arial"/>
          <w:sz w:val="17"/>
          <w:szCs w:val="17"/>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shall not be under any duty to verify the contents or accuracy thereof.</w:t>
      </w:r>
    </w:p>
    <w:p>
      <w:pPr>
        <w:spacing w:after="0" w:line="176" w:lineRule="exact"/>
        <w:rPr>
          <w:rFonts w:ascii="Arial" w:cs="Arial" w:eastAsia="Arial" w:hAnsi="Arial"/>
          <w:sz w:val="17"/>
          <w:szCs w:val="17"/>
          <w:color w:val="auto"/>
        </w:rPr>
      </w:pPr>
    </w:p>
    <w:p>
      <w:pPr>
        <w:ind w:right="80" w:firstLine="436"/>
        <w:spacing w:after="0" w:line="263" w:lineRule="auto"/>
        <w:tabs>
          <w:tab w:leader="none" w:pos="69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 case an Event of Default with respect to the Securities of any series has occurred and is continuing, the Trustee shall, with respect to Securities of such series, exercise such of the rights and powers vested in it by this Indenture, and use the same degree of care and skill in their exercise, as a prudent man would exercise or use under the circumstances in the conduct of his own affairs.</w:t>
      </w:r>
    </w:p>
    <w:p>
      <w:pPr>
        <w:spacing w:after="0" w:line="183" w:lineRule="exact"/>
        <w:rPr>
          <w:rFonts w:ascii="Arial" w:cs="Arial" w:eastAsia="Arial" w:hAnsi="Arial"/>
          <w:sz w:val="18"/>
          <w:szCs w:val="18"/>
          <w:color w:val="auto"/>
        </w:rPr>
      </w:pPr>
    </w:p>
    <w:p>
      <w:pPr>
        <w:ind w:right="200" w:firstLine="436"/>
        <w:spacing w:after="0" w:line="277" w:lineRule="auto"/>
        <w:tabs>
          <w:tab w:leader="none" w:pos="68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this Subsection shall not be construed to limit the effect of Subsection (a) of this Section;</w:t>
      </w:r>
    </w:p>
    <w:p>
      <w:pPr>
        <w:spacing w:after="0" w:line="117" w:lineRule="exact"/>
        <w:rPr>
          <w:rFonts w:ascii="Arial" w:cs="Arial" w:eastAsia="Arial" w:hAnsi="Arial"/>
          <w:sz w:val="18"/>
          <w:szCs w:val="18"/>
          <w:color w:val="auto"/>
        </w:rPr>
      </w:pPr>
    </w:p>
    <w:p>
      <w:pPr>
        <w:ind w:left="980" w:right="160" w:firstLine="7"/>
        <w:spacing w:after="0" w:line="277" w:lineRule="auto"/>
        <w:tabs>
          <w:tab w:leader="none" w:pos="123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62" w:lineRule="exact"/>
        <w:rPr>
          <w:rFonts w:ascii="Arial" w:cs="Arial" w:eastAsia="Arial" w:hAnsi="Arial"/>
          <w:sz w:val="18"/>
          <w:szCs w:val="18"/>
          <w:color w:val="auto"/>
        </w:rPr>
      </w:pPr>
    </w:p>
    <w:p>
      <w:pPr>
        <w:ind w:left="980" w:right="20" w:firstLine="7"/>
        <w:spacing w:after="0" w:line="259" w:lineRule="auto"/>
        <w:tabs>
          <w:tab w:leader="none" w:pos="123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w:t>
      </w:r>
    </w:p>
    <w:p>
      <w:pPr>
        <w:spacing w:after="0" w:line="78" w:lineRule="exact"/>
        <w:rPr>
          <w:rFonts w:ascii="Arial" w:cs="Arial" w:eastAsia="Arial" w:hAnsi="Arial"/>
          <w:sz w:val="18"/>
          <w:szCs w:val="18"/>
          <w:color w:val="auto"/>
        </w:rPr>
      </w:pPr>
    </w:p>
    <w:p>
      <w:pPr>
        <w:ind w:left="980" w:right="20" w:firstLine="7"/>
        <w:spacing w:after="0" w:line="275" w:lineRule="auto"/>
        <w:tabs>
          <w:tab w:leader="none" w:pos="1235" w:val="left"/>
        </w:tabs>
        <w:numPr>
          <w:ilvl w:val="1"/>
          <w:numId w:val="178"/>
        </w:numPr>
        <w:rPr>
          <w:rFonts w:ascii="Arial" w:cs="Arial" w:eastAsia="Arial" w:hAnsi="Arial"/>
          <w:sz w:val="17"/>
          <w:szCs w:val="17"/>
          <w:color w:val="auto"/>
        </w:rPr>
      </w:pPr>
      <w:r>
        <w:rPr>
          <w:rFonts w:ascii="Arial" w:cs="Arial" w:eastAsia="Arial" w:hAnsi="Arial"/>
          <w:sz w:val="17"/>
          <w:szCs w:val="17"/>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and, the Trustee shall be under no obligation to exercise any of its rights and powers under this Indenture at the request of any Holder, unless such Holder shall have offered to the Trustee security and indemnity satisfactory to it against any loss, liability or expense.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4" w:right="439" w:bottom="1440" w:gutter="0" w:footer="0" w:header="0"/>
        </w:sectPr>
      </w:pPr>
    </w:p>
    <w:bookmarkStart w:id="196" w:name="page197"/>
    <w:bookmarkEnd w:id="196"/>
    <w:p>
      <w:pPr>
        <w:ind w:left="4" w:right="120" w:firstLine="436"/>
        <w:spacing w:after="0" w:line="277" w:lineRule="auto"/>
        <w:tabs>
          <w:tab w:leader="none" w:pos="699" w:val="left"/>
        </w:tabs>
        <w:numPr>
          <w:ilvl w:val="0"/>
          <w:numId w:val="1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or not therein expressly so provided, every provision of this Indenture relating to the conduct or affecting the liability of or affording protection to the Trustee shall be subject to the provisions of this Section 612.</w:t>
      </w:r>
    </w:p>
    <w:p>
      <w:pPr>
        <w:spacing w:after="0" w:line="170" w:lineRule="exact"/>
        <w:rPr>
          <w:rFonts w:ascii="Arial" w:cs="Arial" w:eastAsia="Arial" w:hAnsi="Arial"/>
          <w:sz w:val="18"/>
          <w:szCs w:val="18"/>
          <w:color w:val="auto"/>
        </w:rPr>
      </w:pPr>
    </w:p>
    <w:p>
      <w:pPr>
        <w:ind w:left="4" w:right="420" w:firstLine="436"/>
        <w:spacing w:after="0" w:line="308" w:lineRule="auto"/>
        <w:tabs>
          <w:tab w:leader="none" w:pos="689"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Trustee shall not be liable for interest on any money or assets held by it except to the extent the Trustee may agree in writing with the Company. Assets held in trust by the Trustee need not be segregated from other assets except to the extent required by law.</w:t>
      </w:r>
    </w:p>
    <w:p>
      <w:pPr>
        <w:spacing w:after="0" w:line="3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SEVEN—HOLDERS’ LISTS AND REPORTS BY TRUSTEE AND COMPANY</w:t>
      </w:r>
    </w:p>
    <w:p>
      <w:pPr>
        <w:spacing w:after="0" w:line="225" w:lineRule="exact"/>
        <w:rPr>
          <w:sz w:val="20"/>
          <w:szCs w:val="20"/>
          <w:color w:val="auto"/>
        </w:rPr>
      </w:pPr>
    </w:p>
    <w:p>
      <w:pPr>
        <w:ind w:left="4" w:right="120"/>
        <w:spacing w:after="0" w:line="275"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Disclosure of Names and Addresses of Holders</w:t>
      </w:r>
      <w:r>
        <w:rPr>
          <w:rFonts w:ascii="Arial" w:cs="Arial" w:eastAsia="Arial" w:hAnsi="Arial"/>
          <w:sz w:val="17"/>
          <w:szCs w:val="17"/>
          <w:color w:val="auto"/>
        </w:rPr>
        <w:t>. Every Holder of Securities or coupons, by receiving and holding the same, agrees with the Company and the Trustee that neither the Company nor the Trustee nor any Authenticating Agent nor any Paying Agent nor any Security Registrar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any material pursuant to a request made under TIA Section 312(b).</w:t>
      </w:r>
    </w:p>
    <w:p>
      <w:pPr>
        <w:spacing w:after="0" w:line="176"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Reports by Trustee</w:t>
      </w:r>
      <w:r>
        <w:rPr>
          <w:rFonts w:ascii="Arial" w:cs="Arial" w:eastAsia="Arial" w:hAnsi="Arial"/>
          <w:sz w:val="16"/>
          <w:szCs w:val="16"/>
          <w:color w:val="auto"/>
        </w:rPr>
        <w:t>. The Trustee shall transmit to Holders such reports concerning the Trustee and its actions under this Indenture as may be required by TIA Section 313 at the times and in the manner provided by the TIA, which shall initially be not less than every twelve months commencing on __________, 20__. A copy of each such report shall, at the time of such transmission to Holders, be filed by the Trustee with each</w:t>
      </w:r>
    </w:p>
    <w:p>
      <w:pPr>
        <w:spacing w:after="0" w:line="2" w:lineRule="exact"/>
        <w:rPr>
          <w:sz w:val="20"/>
          <w:szCs w:val="20"/>
          <w:color w:val="auto"/>
        </w:rPr>
      </w:pPr>
    </w:p>
    <w:p>
      <w:pPr>
        <w:ind w:left="4" w:right="60"/>
        <w:spacing w:after="0" w:line="323" w:lineRule="auto"/>
        <w:rPr>
          <w:sz w:val="20"/>
          <w:szCs w:val="20"/>
          <w:color w:val="auto"/>
        </w:rPr>
      </w:pPr>
      <w:r>
        <w:rPr>
          <w:rFonts w:ascii="Arial" w:cs="Arial" w:eastAsia="Arial" w:hAnsi="Arial"/>
          <w:sz w:val="16"/>
          <w:szCs w:val="16"/>
          <w:color w:val="auto"/>
        </w:rPr>
        <w:t>over-the-counter market or securities exchange, if any, upon which any Securities are quoted or listed, with the Commission and with the Company. The Company will notify the Trustee when any Securities are quoted or listed on any over-the-counter market or securities exchange or delisted therefrom.</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Reports by Company</w:t>
      </w:r>
      <w:r>
        <w:rPr>
          <w:rFonts w:ascii="Arial" w:cs="Arial" w:eastAsia="Arial" w:hAnsi="Arial"/>
          <w:sz w:val="18"/>
          <w:szCs w:val="18"/>
          <w:color w:val="auto"/>
        </w:rPr>
        <w:t>. The Company will:</w:t>
      </w:r>
    </w:p>
    <w:p>
      <w:pPr>
        <w:spacing w:after="0" w:line="117" w:lineRule="exact"/>
        <w:rPr>
          <w:sz w:val="20"/>
          <w:szCs w:val="20"/>
          <w:color w:val="auto"/>
        </w:rPr>
      </w:pPr>
    </w:p>
    <w:p>
      <w:pPr>
        <w:ind w:left="4" w:right="80" w:firstLine="436"/>
        <w:spacing w:after="0" w:line="291" w:lineRule="auto"/>
        <w:tabs>
          <w:tab w:leader="none" w:pos="699" w:val="left"/>
        </w:tabs>
        <w:numPr>
          <w:ilvl w:val="1"/>
          <w:numId w:val="180"/>
        </w:numPr>
        <w:rPr>
          <w:rFonts w:ascii="Arial" w:cs="Arial" w:eastAsia="Arial" w:hAnsi="Arial"/>
          <w:sz w:val="16"/>
          <w:szCs w:val="16"/>
          <w:color w:val="auto"/>
        </w:rPr>
      </w:pPr>
      <w:r>
        <w:rPr>
          <w:rFonts w:ascii="Arial" w:cs="Arial" w:eastAsia="Arial" w:hAnsi="Arial"/>
          <w:sz w:val="16"/>
          <w:szCs w:val="16"/>
          <w:color w:val="auto"/>
        </w:rPr>
        <w:t>file with the Trustee, within 15 calendar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Exchange Act; or, if the Company is not required to file information, documents or reports pursuant to either of such Sections, then it will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quoted or listed and registered on an over-the-counter market or national securities exchange as may be prescribed from time to time in such rules and regulations;</w:t>
      </w:r>
    </w:p>
    <w:p>
      <w:pPr>
        <w:spacing w:after="0" w:line="166" w:lineRule="exact"/>
        <w:rPr>
          <w:rFonts w:ascii="Arial" w:cs="Arial" w:eastAsia="Arial" w:hAnsi="Arial"/>
          <w:sz w:val="16"/>
          <w:szCs w:val="16"/>
          <w:color w:val="auto"/>
        </w:rPr>
      </w:pPr>
    </w:p>
    <w:p>
      <w:pPr>
        <w:ind w:left="4" w:right="200" w:firstLine="436"/>
        <w:spacing w:after="0" w:line="263" w:lineRule="auto"/>
        <w:tabs>
          <w:tab w:leader="none" w:pos="699" w:val="left"/>
        </w:tabs>
        <w:numPr>
          <w:ilvl w:val="1"/>
          <w:numId w:val="180"/>
        </w:numPr>
        <w:rPr>
          <w:rFonts w:ascii="Arial" w:cs="Arial" w:eastAsia="Arial" w:hAnsi="Arial"/>
          <w:sz w:val="18"/>
          <w:szCs w:val="18"/>
          <w:color w:val="auto"/>
        </w:rPr>
      </w:pPr>
      <w:r>
        <w:rPr>
          <w:rFonts w:ascii="Arial" w:cs="Arial" w:eastAsia="Arial" w:hAnsi="Arial"/>
          <w:sz w:val="18"/>
          <w:szCs w:val="18"/>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w:t>
      </w:r>
    </w:p>
    <w:p>
      <w:pPr>
        <w:spacing w:after="0" w:line="183" w:lineRule="exact"/>
        <w:rPr>
          <w:rFonts w:ascii="Arial" w:cs="Arial" w:eastAsia="Arial" w:hAnsi="Arial"/>
          <w:sz w:val="18"/>
          <w:szCs w:val="18"/>
          <w:color w:val="auto"/>
        </w:rPr>
      </w:pPr>
    </w:p>
    <w:p>
      <w:pPr>
        <w:ind w:left="4" w:right="60" w:firstLine="436"/>
        <w:spacing w:after="0" w:line="291" w:lineRule="auto"/>
        <w:tabs>
          <w:tab w:leader="none" w:pos="699" w:val="left"/>
        </w:tabs>
        <w:numPr>
          <w:ilvl w:val="1"/>
          <w:numId w:val="180"/>
        </w:numPr>
        <w:rPr>
          <w:rFonts w:ascii="Arial" w:cs="Arial" w:eastAsia="Arial" w:hAnsi="Arial"/>
          <w:sz w:val="16"/>
          <w:szCs w:val="16"/>
          <w:color w:val="auto"/>
        </w:rPr>
      </w:pPr>
      <w:r>
        <w:rPr>
          <w:rFonts w:ascii="Arial" w:cs="Arial" w:eastAsia="Arial" w:hAnsi="Arial"/>
          <w:sz w:val="16"/>
          <w:szCs w:val="16"/>
          <w:color w:val="auto"/>
        </w:rPr>
        <w:t>transmit by mail to the Holders of Securities, within 30 calendar days after the filing thereof with the Trustee, in the manner and to the extent provided in TIA Section 313(c), such summaries of any information, documents and reports required to be filed by the Company pursuant to paragraphs</w:t>
      </w:r>
    </w:p>
    <w:p>
      <w:pPr>
        <w:ind w:left="264" w:hanging="264"/>
        <w:spacing w:after="0"/>
        <w:tabs>
          <w:tab w:leader="none" w:pos="26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and (2) of this Section as may be required by rules and regulations prescribed from time to time by the Commission; and</w:t>
      </w:r>
    </w:p>
    <w:p>
      <w:pPr>
        <w:spacing w:after="0" w:line="210" w:lineRule="exact"/>
        <w:rPr>
          <w:rFonts w:ascii="Arial" w:cs="Arial" w:eastAsia="Arial" w:hAnsi="Arial"/>
          <w:sz w:val="18"/>
          <w:szCs w:val="18"/>
          <w:color w:val="auto"/>
        </w:rPr>
      </w:pPr>
    </w:p>
    <w:p>
      <w:pPr>
        <w:jc w:val="both"/>
        <w:ind w:left="4" w:right="280" w:firstLine="436"/>
        <w:spacing w:after="0" w:line="286" w:lineRule="auto"/>
        <w:tabs>
          <w:tab w:leader="none" w:pos="699" w:val="left"/>
        </w:tabs>
        <w:numPr>
          <w:ilvl w:val="1"/>
          <w:numId w:val="181"/>
        </w:numPr>
        <w:rPr>
          <w:rFonts w:ascii="Arial" w:cs="Arial" w:eastAsia="Arial" w:hAnsi="Arial"/>
          <w:sz w:val="17"/>
          <w:szCs w:val="17"/>
          <w:color w:val="auto"/>
        </w:rPr>
      </w:pPr>
      <w:r>
        <w:rPr>
          <w:rFonts w:ascii="Arial" w:cs="Arial" w:eastAsia="Arial" w:hAnsi="Arial"/>
          <w:sz w:val="17"/>
          <w:szCs w:val="17"/>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4"/>
          </w:cols>
          <w:pgMar w:left="436" w:top="274" w:right="439" w:bottom="1440" w:gutter="0" w:footer="0" w:header="0"/>
        </w:sectPr>
      </w:pPr>
    </w:p>
    <w:bookmarkStart w:id="197" w:name="page198"/>
    <w:bookmarkEnd w:id="19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704. </w:t>
      </w:r>
      <w:r>
        <w:rPr>
          <w:rFonts w:ascii="Arial" w:cs="Arial" w:eastAsia="Arial" w:hAnsi="Arial"/>
          <w:sz w:val="17"/>
          <w:szCs w:val="17"/>
          <w:u w:val="single" w:color="auto"/>
          <w:color w:val="auto"/>
        </w:rPr>
        <w:t>Company to Furnish Trustee Names and Addresses of Holders</w:t>
      </w:r>
      <w:r>
        <w:rPr>
          <w:rFonts w:ascii="Arial" w:cs="Arial" w:eastAsia="Arial" w:hAnsi="Arial"/>
          <w:sz w:val="17"/>
          <w:szCs w:val="17"/>
          <w:color w:val="auto"/>
        </w:rPr>
        <w:t>. The Company will furnish or cause to be furnished to the Trustee:</w:t>
      </w:r>
    </w:p>
    <w:p>
      <w:pPr>
        <w:spacing w:after="0" w:line="129" w:lineRule="exact"/>
        <w:rPr>
          <w:sz w:val="20"/>
          <w:szCs w:val="20"/>
          <w:color w:val="auto"/>
        </w:rPr>
      </w:pPr>
    </w:p>
    <w:p>
      <w:pPr>
        <w:jc w:val="both"/>
        <w:ind w:right="100" w:firstLine="436"/>
        <w:spacing w:after="0" w:line="259" w:lineRule="auto"/>
        <w:tabs>
          <w:tab w:leader="none" w:pos="68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semiannually, not later than 15 calendar days after the Regular Record Date for interest for each series of Securities, a list, in such form as the Trustee may reasonably require, of the names and addresses of the Holders of Registered Securities of such series as of such Regular Record Date, or if there is no Regular Record Date for interest for such series of Securities, semiannually, upon such dates as are set forth in the Board Resolution or indenture supplemental hereto authorizing such series, and</w:t>
      </w:r>
    </w:p>
    <w:p>
      <w:pPr>
        <w:spacing w:after="0" w:line="186" w:lineRule="exact"/>
        <w:rPr>
          <w:rFonts w:ascii="Arial" w:cs="Arial" w:eastAsia="Arial" w:hAnsi="Arial"/>
          <w:sz w:val="18"/>
          <w:szCs w:val="18"/>
          <w:color w:val="auto"/>
        </w:rPr>
      </w:pPr>
    </w:p>
    <w:p>
      <w:pPr>
        <w:ind w:right="160" w:firstLine="436"/>
        <w:spacing w:after="0" w:line="277" w:lineRule="auto"/>
        <w:tabs>
          <w:tab w:leader="none" w:pos="69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calendar days after the receipt by the Company of any such request, a list of similar form and content as of a date not more than 15 calendar days prior to the time such list is furnished,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so long as the Trustee is the Security Registrar, no such list shall be required to be furnished.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EIGHT—CONSOLIDATION, MERGER, SALE, LEASE OR CONVEYANCE</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Consolidations and Mergers of Company and Sales, Leases and Conveyances Permitted Subject to Certain Conditions</w:t>
      </w:r>
      <w:r>
        <w:rPr>
          <w:rFonts w:ascii="Arial" w:cs="Arial" w:eastAsia="Arial" w:hAnsi="Arial"/>
          <w:sz w:val="16"/>
          <w:szCs w:val="16"/>
          <w:color w:val="auto"/>
        </w:rPr>
        <w:t>. The Company may consolidate with, or sell, lease or convey all or substantially all of its assets to, or merge with or into any other corporation, provided that in any such case, (1) either the Company shall be the continuing corporation, or the successor corporation shall be a corporation organized and existing under the laws of the United States or a State thereof and such successor corporation shall expressly assume the due and punctual payment of the principal of (and premium or Make-Whole Amount, if any) and any interest on all of the Securities, according to their tenor, and the due and punctual performance and observance of all of the covenants and conditions of this Indenture to be performed by the Company by supplemental indenture, complying with Article Nine hereof, satisfactory to the Trustee, executed and delivered to the Trustee by such corporation, (2) immediately after giving effect to such transaction and treating any indebtedness which becomes an obligation of the Company or any Subsidiary as a result thereof as having been incurred by the Company or such Subsidiary at the time of such transaction, no Event of Default, and no event which, after notice or the lapse of time, or both, would become an Event of Default, shall have occurred and be continuing and (3) the Company shall have delivered to the Trustee the Officer’s Certificate and Opinion of Counsel required pursuant to Section 803 below.</w:t>
      </w:r>
    </w:p>
    <w:p>
      <w:pPr>
        <w:spacing w:after="0" w:line="17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Rights and Duties of Successor Corporation</w:t>
      </w:r>
      <w:r>
        <w:rPr>
          <w:rFonts w:ascii="Arial" w:cs="Arial" w:eastAsia="Arial" w:hAnsi="Arial"/>
          <w:sz w:val="17"/>
          <w:szCs w:val="17"/>
          <w:color w:val="auto"/>
        </w:rPr>
        <w:t>. In case of any such consolidation, merger, sale, lease or conveyance and upon any such assumption by the successor corporation, such successor corporation shall succeed to and be substituted for the Company, with the same effect as if it had been named herein as the party of the first part, and the predecessor corporation, except in the event of a lease, shall be relieved of any further obligation under this Indenture and the Securities. Such successor corporation thereupon may cause to be signed, and may issue either in its own name or in the name of the Company, any or all of the Securities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shall deliver any Securities which previously shall have been signed and delivered by the officers of the Company to the Trustee for authentication, and any Securities which such successor corporation thereafter shall cause to be signed and delivered to the Trustee for that purpose.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case of any such consolidation, merger, sale, lease or conveyance, such changes in phraseology and form (but not in substance) may be made in the Securities thereafter to be issued as may be appropriate.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Officers’ Certificate and Opinion of Counsel</w:t>
      </w:r>
      <w:r>
        <w:rPr>
          <w:rFonts w:ascii="Arial" w:cs="Arial" w:eastAsia="Arial" w:hAnsi="Arial"/>
          <w:sz w:val="18"/>
          <w:szCs w:val="18"/>
          <w:color w:val="auto"/>
        </w:rPr>
        <w:t>. Any consolidation, merger, sale, lease or conveyance permitted under Section 801 is also subject to the condition that the Trustee receive an Officers’ Certificate and an Opinion of Counsel to the effect that any such consolidation, merger, sale, lease or conveyance, and the assumption by any successor corporation, complies with the provisions of this Article and that all conditions precedent herein provided for relating to such transaction have been complied with.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198" w:name="page199"/>
    <w:bookmarkEnd w:id="19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NINE—SUPPLEMENTAL INDENTURES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Consent of Holders</w:t>
      </w:r>
      <w:r>
        <w:rPr>
          <w:rFonts w:ascii="Arial" w:cs="Arial" w:eastAsia="Arial" w:hAnsi="Arial"/>
          <w:sz w:val="18"/>
          <w:szCs w:val="18"/>
          <w:color w:val="auto"/>
        </w:rPr>
        <w:t>. Without the consent of any Holders of Securities or coupons,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76" w:lineRule="exact"/>
        <w:rPr>
          <w:sz w:val="20"/>
          <w:szCs w:val="20"/>
          <w:color w:val="auto"/>
        </w:rPr>
      </w:pPr>
    </w:p>
    <w:p>
      <w:pPr>
        <w:ind w:right="400" w:firstLine="436"/>
        <w:spacing w:after="0" w:line="277" w:lineRule="auto"/>
        <w:tabs>
          <w:tab w:leader="none" w:pos="69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contained herein and in the Securities; or</w:t>
      </w:r>
    </w:p>
    <w:p>
      <w:pPr>
        <w:spacing w:after="0" w:line="170" w:lineRule="exact"/>
        <w:rPr>
          <w:rFonts w:ascii="Arial" w:cs="Arial" w:eastAsia="Arial" w:hAnsi="Arial"/>
          <w:sz w:val="18"/>
          <w:szCs w:val="18"/>
          <w:color w:val="auto"/>
        </w:rPr>
      </w:pPr>
    </w:p>
    <w:p>
      <w:pPr>
        <w:jc w:val="both"/>
        <w:ind w:right="140" w:firstLine="436"/>
        <w:spacing w:after="0" w:line="263" w:lineRule="auto"/>
        <w:tabs>
          <w:tab w:leader="none" w:pos="69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3" w:lineRule="exact"/>
        <w:rPr>
          <w:rFonts w:ascii="Arial" w:cs="Arial" w:eastAsia="Arial" w:hAnsi="Arial"/>
          <w:sz w:val="18"/>
          <w:szCs w:val="18"/>
          <w:color w:val="auto"/>
        </w:rPr>
      </w:pPr>
    </w:p>
    <w:p>
      <w:pPr>
        <w:ind w:right="20" w:firstLine="436"/>
        <w:spacing w:after="0" w:line="293" w:lineRule="auto"/>
        <w:tabs>
          <w:tab w:leader="none" w:pos="69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to add, delete or modify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respect of any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164" w:lineRule="exact"/>
        <w:rPr>
          <w:rFonts w:ascii="Arial" w:cs="Arial" w:eastAsia="Arial" w:hAnsi="Arial"/>
          <w:sz w:val="16"/>
          <w:szCs w:val="16"/>
          <w:color w:val="auto"/>
        </w:rPr>
      </w:pPr>
    </w:p>
    <w:p>
      <w:pPr>
        <w:ind w:right="160" w:firstLine="436"/>
        <w:spacing w:after="0" w:line="275" w:lineRule="auto"/>
        <w:tabs>
          <w:tab w:leader="none" w:pos="695" w:val="left"/>
        </w:tabs>
        <w:numPr>
          <w:ilvl w:val="0"/>
          <w:numId w:val="183"/>
        </w:numPr>
        <w:rPr>
          <w:rFonts w:ascii="Arial" w:cs="Arial" w:eastAsia="Arial" w:hAnsi="Arial"/>
          <w:sz w:val="17"/>
          <w:szCs w:val="17"/>
          <w:color w:val="auto"/>
        </w:rPr>
      </w:pPr>
      <w:r>
        <w:rPr>
          <w:rFonts w:ascii="Arial" w:cs="Arial" w:eastAsia="Arial" w:hAnsi="Arial"/>
          <w:sz w:val="17"/>
          <w:szCs w:val="17"/>
          <w:color w:val="auto"/>
        </w:rPr>
        <w:t xml:space="preserve">to add to or change any of the provisions of this Indenture to provide that Bearer Securities may be registrable as to principal, to change or eliminate any restrictions on the payment of principal of or premium or Make-Whole Amount, if any,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action shall not adversely affect the interests of the Holders of Securities of any series or any related coupons in any material respect; or</w:t>
      </w:r>
    </w:p>
    <w:p>
      <w:pPr>
        <w:spacing w:after="0" w:line="176" w:lineRule="exact"/>
        <w:rPr>
          <w:rFonts w:ascii="Arial" w:cs="Arial" w:eastAsia="Arial" w:hAnsi="Arial"/>
          <w:sz w:val="17"/>
          <w:szCs w:val="17"/>
          <w:color w:val="auto"/>
        </w:rPr>
      </w:pPr>
    </w:p>
    <w:p>
      <w:pPr>
        <w:ind w:right="120" w:firstLine="436"/>
        <w:spacing w:after="0" w:line="263" w:lineRule="auto"/>
        <w:tabs>
          <w:tab w:leader="none" w:pos="69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secure the Securities; or</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to establish the form or terms of Securities of any series and any related coupons as permitted or contemplated by Sections 201 and 301; or</w:t>
      </w:r>
    </w:p>
    <w:p>
      <w:pPr>
        <w:spacing w:after="0" w:line="248" w:lineRule="exact"/>
        <w:rPr>
          <w:rFonts w:ascii="Arial" w:cs="Arial" w:eastAsia="Arial" w:hAnsi="Arial"/>
          <w:sz w:val="16"/>
          <w:szCs w:val="16"/>
          <w:color w:val="auto"/>
        </w:rPr>
      </w:pPr>
    </w:p>
    <w:p>
      <w:pPr>
        <w:jc w:val="both"/>
        <w:ind w:right="380" w:firstLine="436"/>
        <w:spacing w:after="0" w:line="263" w:lineRule="auto"/>
        <w:tabs>
          <w:tab w:leader="none" w:pos="69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83" w:lineRule="exact"/>
        <w:rPr>
          <w:rFonts w:ascii="Arial" w:cs="Arial" w:eastAsia="Arial" w:hAnsi="Arial"/>
          <w:sz w:val="18"/>
          <w:szCs w:val="18"/>
          <w:color w:val="auto"/>
        </w:rPr>
      </w:pPr>
    </w:p>
    <w:p>
      <w:pPr>
        <w:jc w:val="both"/>
        <w:ind w:right="180" w:firstLine="436"/>
        <w:spacing w:after="0" w:line="259" w:lineRule="auto"/>
        <w:tabs>
          <w:tab w:leader="none" w:pos="69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to cure any ambiguity, to correct or supplement any provision herein which may be defective or inconsistent with any other provision herein, or to make any other provisions with respect to matters or questions arising under this Indenture which shall not be inconsistent with the provisions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provisions shall not adversely affect the interests of the Holders of Securities of any series or any related coupons in any material respect; or</w:t>
      </w:r>
    </w:p>
    <w:p>
      <w:pPr>
        <w:spacing w:after="0" w:line="186" w:lineRule="exact"/>
        <w:rPr>
          <w:rFonts w:ascii="Arial" w:cs="Arial" w:eastAsia="Arial" w:hAnsi="Arial"/>
          <w:sz w:val="18"/>
          <w:szCs w:val="18"/>
          <w:color w:val="auto"/>
        </w:rPr>
      </w:pPr>
    </w:p>
    <w:p>
      <w:pPr>
        <w:jc w:val="both"/>
        <w:ind w:right="80" w:firstLine="436"/>
        <w:spacing w:after="0" w:line="286" w:lineRule="auto"/>
        <w:tabs>
          <w:tab w:leader="none" w:pos="785" w:val="left"/>
        </w:tabs>
        <w:numPr>
          <w:ilvl w:val="0"/>
          <w:numId w:val="183"/>
        </w:numPr>
        <w:rPr>
          <w:rFonts w:ascii="Arial" w:cs="Arial" w:eastAsia="Arial" w:hAnsi="Arial"/>
          <w:sz w:val="17"/>
          <w:szCs w:val="17"/>
          <w:color w:val="auto"/>
        </w:rPr>
      </w:pPr>
      <w:r>
        <w:rPr>
          <w:rFonts w:ascii="Arial" w:cs="Arial" w:eastAsia="Arial" w:hAnsi="Arial"/>
          <w:sz w:val="17"/>
          <w:szCs w:val="17"/>
          <w:color w:val="auto"/>
        </w:rPr>
        <w:t xml:space="preserve">to supplement any of the provisions of this Indenture to such extent as shall be necessary to permit or facilitate the Defeasance and discharge of any series of Securities pursuant to Sections 401, 1402 and 1403;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action shall not adversely affect the interests of the Holders of Securities of such series and any related coupons or any other series of Securities in any material respect; or</w:t>
      </w:r>
    </w:p>
    <w:p>
      <w:pPr>
        <w:spacing w:after="0" w:line="165" w:lineRule="exact"/>
        <w:rPr>
          <w:rFonts w:ascii="Arial" w:cs="Arial" w:eastAsia="Arial" w:hAnsi="Arial"/>
          <w:sz w:val="17"/>
          <w:szCs w:val="17"/>
          <w:color w:val="auto"/>
        </w:rPr>
      </w:pPr>
    </w:p>
    <w:p>
      <w:pPr>
        <w:ind w:left="780" w:hanging="344"/>
        <w:spacing w:after="0"/>
        <w:tabs>
          <w:tab w:leader="none" w:pos="78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to make provisions with respect to Holders’ rights of conversion with respect to any series of Securities pursuant to Article Seventeen.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199" w:name="page200"/>
    <w:bookmarkEnd w:id="199"/>
    <w:p>
      <w:pPr>
        <w:ind w:left="780" w:hanging="344"/>
        <w:spacing w:after="0"/>
        <w:tabs>
          <w:tab w:leader="none" w:pos="780" w:val="left"/>
        </w:tabs>
        <w:numPr>
          <w:ilvl w:val="0"/>
          <w:numId w:val="18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make any change in any series of Securities that does not adversely affect in any material respect the rights of the Holders of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210" w:lineRule="exact"/>
        <w:rPr>
          <w:rFonts w:ascii="Arial" w:cs="Arial" w:eastAsia="Arial" w:hAnsi="Arial"/>
          <w:sz w:val="17"/>
          <w:szCs w:val="17"/>
          <w:color w:val="auto"/>
        </w:rPr>
      </w:pPr>
    </w:p>
    <w:p>
      <w:pPr>
        <w:ind w:left="780" w:hanging="344"/>
        <w:spacing w:after="0"/>
        <w:tabs>
          <w:tab w:leader="none" w:pos="7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right="140" w:firstLine="436"/>
        <w:spacing w:after="0" w:line="308" w:lineRule="auto"/>
        <w:tabs>
          <w:tab w:leader="none" w:pos="78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hereunder by a successor trustee and to add to or change any of the provisions of the Indenture as shall be necessary to provide for or facilitate the administration of the trusts hereunder by more than one trustee;</w:t>
      </w:r>
    </w:p>
    <w:p>
      <w:pPr>
        <w:spacing w:after="0" w:line="146" w:lineRule="exact"/>
        <w:rPr>
          <w:rFonts w:ascii="Arial" w:cs="Arial" w:eastAsia="Arial" w:hAnsi="Arial"/>
          <w:sz w:val="17"/>
          <w:szCs w:val="17"/>
          <w:color w:val="auto"/>
        </w:rPr>
      </w:pPr>
    </w:p>
    <w:p>
      <w:pPr>
        <w:ind w:right="500" w:firstLine="436"/>
        <w:spacing w:after="0" w:line="277" w:lineRule="auto"/>
        <w:tabs>
          <w:tab w:leader="none" w:pos="78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all or any series of Securities or that does not adversely affect the legal rights hereunder of any such Holder;</w:t>
      </w:r>
    </w:p>
    <w:p>
      <w:pPr>
        <w:spacing w:after="0" w:line="170" w:lineRule="exact"/>
        <w:rPr>
          <w:rFonts w:ascii="Arial" w:cs="Arial" w:eastAsia="Arial" w:hAnsi="Arial"/>
          <w:sz w:val="18"/>
          <w:szCs w:val="18"/>
          <w:color w:val="auto"/>
        </w:rPr>
      </w:pPr>
    </w:p>
    <w:p>
      <w:pPr>
        <w:ind w:right="120" w:firstLine="436"/>
        <w:spacing w:after="0" w:line="277" w:lineRule="auto"/>
        <w:tabs>
          <w:tab w:leader="none" w:pos="78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add to or change or eliminate any provision of this Indenture as shall be necessary or desirable in accordance with any amendments to the Trust Indenture Act;</w:t>
      </w:r>
    </w:p>
    <w:p>
      <w:pPr>
        <w:spacing w:after="0" w:line="170" w:lineRule="exact"/>
        <w:rPr>
          <w:rFonts w:ascii="Arial" w:cs="Arial" w:eastAsia="Arial" w:hAnsi="Arial"/>
          <w:sz w:val="18"/>
          <w:szCs w:val="18"/>
          <w:color w:val="auto"/>
        </w:rPr>
      </w:pPr>
    </w:p>
    <w:p>
      <w:pPr>
        <w:ind w:left="780" w:hanging="344"/>
        <w:spacing w:after="0"/>
        <w:tabs>
          <w:tab w:leader="none" w:pos="7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secure the Company’s obligations in respect of the Securities of any series;</w:t>
      </w:r>
    </w:p>
    <w:p>
      <w:pPr>
        <w:spacing w:after="0" w:line="225" w:lineRule="exact"/>
        <w:rPr>
          <w:rFonts w:ascii="Arial" w:cs="Arial" w:eastAsia="Arial" w:hAnsi="Arial"/>
          <w:sz w:val="18"/>
          <w:szCs w:val="18"/>
          <w:color w:val="auto"/>
        </w:rPr>
      </w:pPr>
    </w:p>
    <w:p>
      <w:pPr>
        <w:ind w:right="340" w:firstLine="436"/>
        <w:spacing w:after="0" w:line="277" w:lineRule="auto"/>
        <w:tabs>
          <w:tab w:leader="none" w:pos="78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add guarantors or co-obligors in respect of the Securities of any series or to release any guarantors from their guarantees in accordance with the terms of the applicable series of Securities;</w:t>
      </w:r>
    </w:p>
    <w:p>
      <w:pPr>
        <w:spacing w:after="0" w:line="170" w:lineRule="exact"/>
        <w:rPr>
          <w:rFonts w:ascii="Arial" w:cs="Arial" w:eastAsia="Arial" w:hAnsi="Arial"/>
          <w:sz w:val="18"/>
          <w:szCs w:val="18"/>
          <w:color w:val="auto"/>
        </w:rPr>
      </w:pPr>
    </w:p>
    <w:p>
      <w:pPr>
        <w:ind w:right="120" w:firstLine="436"/>
        <w:spacing w:after="0" w:line="263" w:lineRule="auto"/>
        <w:tabs>
          <w:tab w:leader="none" w:pos="78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supplement any of the provisions of this Indenture to such extent as shall be necessary to permit or facilitate the defeasance and discharge of any series of Securities; provided that any such action shall not adversely affect the interests of the Holders of Securities of such series or any other series of Securities in any material respect;</w:t>
      </w:r>
    </w:p>
    <w:p>
      <w:pPr>
        <w:spacing w:after="0" w:line="183" w:lineRule="exact"/>
        <w:rPr>
          <w:rFonts w:ascii="Arial" w:cs="Arial" w:eastAsia="Arial" w:hAnsi="Arial"/>
          <w:sz w:val="18"/>
          <w:szCs w:val="18"/>
          <w:color w:val="auto"/>
        </w:rPr>
      </w:pPr>
    </w:p>
    <w:p>
      <w:pPr>
        <w:ind w:left="780" w:hanging="344"/>
        <w:spacing w:after="0"/>
        <w:tabs>
          <w:tab w:leader="none" w:pos="7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prohibit the authentication and delivery of additional series of Securities;</w:t>
      </w:r>
    </w:p>
    <w:p>
      <w:pPr>
        <w:spacing w:after="0" w:line="225" w:lineRule="exact"/>
        <w:rPr>
          <w:rFonts w:ascii="Arial" w:cs="Arial" w:eastAsia="Arial" w:hAnsi="Arial"/>
          <w:sz w:val="18"/>
          <w:szCs w:val="18"/>
          <w:color w:val="auto"/>
        </w:rPr>
      </w:pPr>
    </w:p>
    <w:p>
      <w:pPr>
        <w:ind w:right="80" w:firstLine="436"/>
        <w:spacing w:after="0" w:line="259" w:lineRule="auto"/>
        <w:tabs>
          <w:tab w:leader="none" w:pos="78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the case of convertible or exchangeable Securities of any series, subject to the provisions of the supplemental indenture for such series of Securities, to provide for conversion rights, exchange rights and/or repurchase rights of Holders of such series of Securities in connection with any reclassification or change of the Company’s ordinary shares or in the event of any amalgamation, consolidation, merger or sale of all or substantially all of the assets of the Company or its Subsidiaries substantially as an entirety occurs;</w:t>
      </w:r>
    </w:p>
    <w:p>
      <w:pPr>
        <w:spacing w:after="0" w:line="186" w:lineRule="exact"/>
        <w:rPr>
          <w:rFonts w:ascii="Arial" w:cs="Arial" w:eastAsia="Arial" w:hAnsi="Arial"/>
          <w:sz w:val="18"/>
          <w:szCs w:val="18"/>
          <w:color w:val="auto"/>
        </w:rPr>
      </w:pPr>
    </w:p>
    <w:p>
      <w:pPr>
        <w:ind w:right="100" w:firstLine="436"/>
        <w:spacing w:after="0" w:line="277" w:lineRule="auto"/>
        <w:tabs>
          <w:tab w:leader="none" w:pos="78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the case of convertible or exchangeable Securities of any series, to reduce the conversion price or exchange price applicable to such series of Securities; or</w:t>
      </w:r>
    </w:p>
    <w:p>
      <w:pPr>
        <w:spacing w:after="0" w:line="170" w:lineRule="exact"/>
        <w:rPr>
          <w:rFonts w:ascii="Arial" w:cs="Arial" w:eastAsia="Arial" w:hAnsi="Arial"/>
          <w:sz w:val="18"/>
          <w:szCs w:val="18"/>
          <w:color w:val="auto"/>
        </w:rPr>
      </w:pPr>
    </w:p>
    <w:p>
      <w:pPr>
        <w:ind w:right="140" w:firstLine="436"/>
        <w:spacing w:after="0" w:line="263" w:lineRule="auto"/>
        <w:tabs>
          <w:tab w:leader="none" w:pos="78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the case of convertible or exchangeable Securities of any series, to increase the conversion rate or exchange ratio in the manner described in the supplemental indenture for such series of Securities, provided that the increase will not adversely affect the interests of the Holders of the Securities of such series in any material respect.</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Supplemental Indentures with Consent of Holders</w:t>
      </w:r>
      <w:r>
        <w:rPr>
          <w:rFonts w:ascii="Arial" w:cs="Arial" w:eastAsia="Arial" w:hAnsi="Arial"/>
          <w:sz w:val="18"/>
          <w:szCs w:val="18"/>
          <w:color w:val="auto"/>
        </w:rPr>
        <w:t xml:space="preserve">. With the consent of the Holders of not less than a majority in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and any related coupons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supplemental indenture shall, without the consent of the Holder of each Outstanding Security affected thereby:</w:t>
      </w:r>
    </w:p>
    <w:p>
      <w:pPr>
        <w:spacing w:after="0" w:line="192" w:lineRule="exact"/>
        <w:rPr>
          <w:sz w:val="20"/>
          <w:szCs w:val="20"/>
          <w:color w:val="auto"/>
        </w:rPr>
      </w:pPr>
    </w:p>
    <w:p>
      <w:pPr>
        <w:ind w:firstLine="436"/>
        <w:spacing w:after="0" w:line="269" w:lineRule="auto"/>
        <w:tabs>
          <w:tab w:leader="none" w:pos="69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premium or Make-Whole Amount, if any, on) or any installment of principal of or interest on, any Security; or reduce the principal amount thereof or the rate or amount of interest thereon, or any premium or Make-Whole Amount payable upon the redemption thereof, or reduce the amount of the principal of an Original Issue Discount Security that would be due and payable upon a declaration of acceleration of the Maturity thereof pursuant to Section 502 or the amount thereof provable in bankruptcy pursuant to Section 504, or adversely affect any right of repayment at the option of the Holder of any Security, or change any Place of Payment where, or the currency or currencies, currency unit or units or composite currency or currencies in which, any Security or any premium or Make-Whole Amount or the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(if Securities of such series are convertible) adversely affect the right of the Holder to convert any Security as provided in Article Seventeen, or modify the provisions of this Indenture with respect to the subordination of the Securities in a manner materially adverse to the Holders;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200" w:name="page201"/>
    <w:bookmarkEnd w:id="200"/>
    <w:p>
      <w:pPr>
        <w:ind w:right="40" w:firstLine="436"/>
        <w:spacing w:after="0" w:line="259" w:lineRule="auto"/>
        <w:tabs>
          <w:tab w:leader="none" w:pos="695" w:val="left"/>
        </w:tabs>
        <w:numPr>
          <w:ilvl w:val="0"/>
          <w:numId w:val="1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reduce the percentage in principal amount of the Outstanding Securities of any series, the consent of whose Holders is required for any such supplemental indenture, or the consent of whose Holders is required for any waiver with respect to such series (or compliance with certain provisions of this Indenture or certain defaults hereunder and their consequences) provided for in this Indenture, or reduce the requirements of Section 1504 for quorum or voting, or</w:t>
      </w:r>
    </w:p>
    <w:p>
      <w:pPr>
        <w:spacing w:after="0" w:line="186" w:lineRule="exact"/>
        <w:rPr>
          <w:rFonts w:ascii="Arial" w:cs="Arial" w:eastAsia="Arial" w:hAnsi="Arial"/>
          <w:sz w:val="18"/>
          <w:szCs w:val="18"/>
          <w:color w:val="auto"/>
        </w:rPr>
      </w:pPr>
    </w:p>
    <w:p>
      <w:pPr>
        <w:ind w:firstLine="436"/>
        <w:spacing w:after="0" w:line="257" w:lineRule="auto"/>
        <w:tabs>
          <w:tab w:leader="none" w:pos="69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Section, Section 513 or Section 1006, except to increase the required percentage to effect such action or to provide that certain other provisions of this Indenture cannot be modified or waived without the consent of the Holder of each Outstanding Security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clause shall not be deemed to require the consent of any Holder with respect to changes in the references to “the Trustee” and concomitant changes in this Section 902 and Section 1006 or the deletion of this proviso, in accordance with the requirements of Sections 609(b) and 901(11).</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It shall not be necessary for any Act of Holders under this Section 902 to approve the particular form of any proposed supplemental indenture, but it shall be sufficient if such Act shall approve the substance thereof.</w:t>
      </w:r>
    </w:p>
    <w:p>
      <w:pPr>
        <w:spacing w:after="0" w:line="170"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4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 In executing, or accepting the additional trusts created by, any supplemental indenture permitted by this Article or the modification thereby of the trusts created by this Indenture, the Trustee shall be entitled to receive, and (subject to Section 612)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8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Effect of Supplemental Indentures</w:t>
      </w:r>
      <w:r>
        <w:rPr>
          <w:rFonts w:ascii="Arial" w:cs="Arial" w:eastAsia="Arial" w:hAnsi="Arial"/>
          <w:sz w:val="17"/>
          <w:szCs w:val="17"/>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pacing w:after="0" w:line="1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Conformity with Trust Indenture Act</w:t>
      </w:r>
      <w:r>
        <w:rPr>
          <w:rFonts w:ascii="Arial" w:cs="Arial" w:eastAsia="Arial" w:hAnsi="Arial"/>
          <w:sz w:val="18"/>
          <w:szCs w:val="18"/>
          <w:color w:val="auto"/>
        </w:rPr>
        <w:t>. Every supplemental indenture executed pursuant to this Article shall conform to the requirements of the Trust Indenture Act as then in effect.</w:t>
      </w:r>
    </w:p>
    <w:p>
      <w:pPr>
        <w:spacing w:after="0" w:line="170"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Reference in Securities to Supplemental Indentures</w:t>
      </w:r>
      <w:r>
        <w:rPr>
          <w:rFonts w:ascii="Arial" w:cs="Arial" w:eastAsia="Arial" w:hAnsi="Arial"/>
          <w:sz w:val="17"/>
          <w:szCs w:val="17"/>
          <w:color w:val="auto"/>
        </w:rPr>
        <w: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TEN—COVENANTS</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u w:val="single" w:color="auto"/>
          <w:color w:val="auto"/>
        </w:rPr>
        <w:t>Payment of Principal, Premium or Make-Whole Amount, if any; and Interest</w:t>
      </w:r>
      <w:r>
        <w:rPr>
          <w:rFonts w:ascii="Arial" w:cs="Arial" w:eastAsia="Arial" w:hAnsi="Arial"/>
          <w:sz w:val="17"/>
          <w:szCs w:val="17"/>
          <w:color w:val="auto"/>
        </w:rPr>
        <w:t>. The Company covenants and agrees for the benefit of the Holders of each series of Securities that it will duly and punctually pay the principal of (and premium or Make-Whole Amount, if any) and interest on the Securities of that series in accordance with the terms of such series of Securities, any coupons appertaining thereto and this Indenture.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 Unless otherwise specified with respect to Securities of any series pursuant to Section 301, at the option of the Company (upon written notice to the Trustee), all payments of principal may be paid by check to the registered Holder of the Registered Security or other Person entitled thereto against surrender of such Security.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4" w:right="479" w:bottom="1440" w:gutter="0" w:footer="0" w:header="0"/>
        </w:sectPr>
      </w:pPr>
    </w:p>
    <w:bookmarkStart w:id="201" w:name="page202"/>
    <w:bookmarkEnd w:id="201"/>
    <w:p>
      <w:pPr>
        <w:ind w:left="4"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1002. </w:t>
      </w:r>
      <w:r>
        <w:rPr>
          <w:rFonts w:ascii="Arial" w:cs="Arial" w:eastAsia="Arial" w:hAnsi="Arial"/>
          <w:sz w:val="16"/>
          <w:szCs w:val="16"/>
          <w:u w:val="single" w:color="auto"/>
          <w:color w:val="auto"/>
        </w:rPr>
        <w:t>Maintenance of Office or Agency</w:t>
      </w:r>
      <w:r>
        <w:rPr>
          <w:rFonts w:ascii="Arial" w:cs="Arial" w:eastAsia="Arial" w:hAnsi="Arial"/>
          <w:sz w:val="16"/>
          <w:szCs w:val="16"/>
          <w:color w:val="auto"/>
        </w:rPr>
        <w:t xml:space="preserve">. If Securities of a series are issuable only as Registered Securities, the Company shall maintain in each Place of Payment for any series of Securities an office or agency where Securities of that series may be presented or surrendered for payment or conversion, where Securities of that series may be surrendered for registration of transfer or conversion or exchange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or conversion, where any Registered Securities of that series may be surrendered for registration of transfer, where Securities of that series may be surrendered for conversion or exchange, where notices and demands to or upon the Company in respect of the Securities of that series and this Indenture may be served and where Bearer Securities of that series and related coupons may be presented or surrendered for payment or conversion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Securities of that series are listed on any stock exchange located outside the United States and such stock exchange shall so require, the Company will maintain a Paying Agent for the Securities of that series in any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conversion or exchange and where notices and demands to or upon the Company in respect of the Securities of that series and this Indenture may be served. The Company will give prompt written notice to the Trustee of the location, and any change in the location, of each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except that Bearer Securities of that series and the related coupons may be presented and surrendered for payment or conversion at the offices specified in the Security, in London, England, and the Company hereby appoints the same as its agent to receive such respective presentations, surrenders, notices and demands, and the Company hereby appoints the Trustee its agent to receive all such presentations, surrenders, notices and demands.</w:t>
      </w:r>
    </w:p>
    <w:p>
      <w:pPr>
        <w:spacing w:after="0" w:line="178"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 xml:space="preserve">Unless otherwise specified with respect to any Securities pursuant to Section 301, no payment of principal, premium or Make-Whole Amount or interest on Bearer Securities shall be made at any office or agency of the Company in the United States or by check mailed to any address in the United States or by transfer to an account maintained with a bank located in the United States;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Securities of a series are payable in Dollars, payment of principal of and any premium or Make-Whole Amount and interest on any Bearer Security shall be made at the office of the Company’s Paying Agent in the Borough of Manhattan, The City of New York, if (but only if) payment in Dollars of the full amount of such principal, premium or Make-Whole Amount, or interest, as the case may be, at all offices or agencies outside the United States maintained for the purpose by the Company in accordance with this Indenture, is illegal or effectively precluded by exchange controls or other similar restrictions.</w:t>
      </w:r>
    </w:p>
    <w:p>
      <w:pPr>
        <w:spacing w:after="0" w:line="166" w:lineRule="exact"/>
        <w:rPr>
          <w:sz w:val="20"/>
          <w:szCs w:val="20"/>
          <w:color w:val="auto"/>
        </w:rPr>
      </w:pPr>
    </w:p>
    <w:p>
      <w:pPr>
        <w:ind w:left="4" w:right="20"/>
        <w:spacing w:after="0" w:line="284" w:lineRule="auto"/>
        <w:rPr>
          <w:sz w:val="20"/>
          <w:szCs w:val="20"/>
          <w:color w:val="auto"/>
        </w:rPr>
      </w:pPr>
      <w:r>
        <w:rPr>
          <w:rFonts w:ascii="Arial" w:cs="Arial" w:eastAsia="Arial" w:hAnsi="Arial"/>
          <w:sz w:val="16"/>
          <w:szCs w:val="16"/>
          <w:color w:val="auto"/>
        </w:rPr>
        <w:t xml:space="preserve">The Company may from time to time designate one or more other offices or agencies (in or outside the Place of Payment) where the Securities of one or more series may be presented or surrendered for any or all of such purposes, and may from time to time rescind such designations;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each of</w:t>
      </w:r>
    </w:p>
    <w:p>
      <w:pPr>
        <w:spacing w:after="0" w:line="4" w:lineRule="exact"/>
        <w:rPr>
          <w:sz w:val="20"/>
          <w:szCs w:val="20"/>
          <w:color w:val="auto"/>
        </w:rPr>
      </w:pPr>
    </w:p>
    <w:p>
      <w:pPr>
        <w:jc w:val="both"/>
        <w:ind w:left="4" w:right="60" w:hanging="4"/>
        <w:spacing w:after="0" w:line="302" w:lineRule="auto"/>
        <w:tabs>
          <w:tab w:leader="none" w:pos="21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office or agency of the Company in the Borough of Manhattan, The City of New York, and (ii) the Corporate Trust Office of the Trustee (as Paying Agent); and the Company hereby initially appoints the Trustee at its Corporate Trust Office as Paying Agent in such city; and the Company hereby initially appoints as its agent to receive all such presentations, surrenders, notices and demands each of the Trustee, at its Corporate Trust Office.</w:t>
      </w:r>
    </w:p>
    <w:p>
      <w:pPr>
        <w:spacing w:after="0" w:line="8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4"/>
          </w:cols>
          <w:pgMar w:left="436" w:top="274" w:right="459" w:bottom="1440" w:gutter="0" w:footer="0" w:header="0"/>
        </w:sectPr>
      </w:pPr>
    </w:p>
    <w:bookmarkStart w:id="202" w:name="page203"/>
    <w:bookmarkEnd w:id="20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specified with respect to any Securities pursuant to Section 301, if and so long as the Securities of any series (i) are denominated in a Foreign Currency or (ii) may be payable in a Foreign Currency, or so long as it is required under any other provision of the Indenture, then the Company will maintain with respect to each such series of Securities, or as so required, at least one exchange rate agent (of which it shall give written notice to the Trustee).</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Money for Securities Payments to Be Held in Trust</w:t>
      </w:r>
      <w:r>
        <w:rPr>
          <w:rFonts w:ascii="Arial" w:cs="Arial" w:eastAsia="Arial" w:hAnsi="Arial"/>
          <w:sz w:val="18"/>
          <w:szCs w:val="18"/>
          <w:color w:val="auto"/>
        </w:rPr>
        <w:t>. If the Company shall at any time act as its own Paying Agent with respect to any series of any Securities and any related coupons, it will, on or before each due date of the principal of (and premium or Make-Whole Amount, if any), or interest on any of the Securities of that series, segregate and hold in trust for the benefit of the Persons entitled thereto a sum in the currency or currencies, currency unit or units or composite currency or currencies in which the Securities of such series are payable (except as otherwise specified pursuant to Section 301 for the Securities of such series) sufficient to pay the principal (and premium or Make-Whole Amount, if any) or interest so becoming due until such sums shall be paid to such Persons or otherwise disposed of as herein provided, and will promptly notify the Trustee of its action or failure so to act.</w:t>
      </w:r>
    </w:p>
    <w:p>
      <w:pPr>
        <w:spacing w:after="0" w:line="19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Whenever the Company shall have one or more Paying Agents for any series of Securities and any related coupons, it will, on or before each due date of the principal of (and premium or Make-Whole Amount, if any), or interest on any Securities of that series, deposit with a Paying Agent a sum (in the currency or currencies, currency unit or units or composite currency or currencies described in the preceding paragraph) sufficient to pay the principal (and premium or Make-Whole Amount, if any) or interest so becoming due, such sum to be held in trust for the benefit of the Persons entitled to such principal, premium or Make-Whole Amount, if any, or interest and (unless such Paying Agent is the Trustee) the Company will promptly notify the Trustee of its action or failure so to act.</w:t>
      </w:r>
    </w:p>
    <w:p>
      <w:pPr>
        <w:spacing w:after="0" w:line="19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38" w:lineRule="exact"/>
        <w:rPr>
          <w:sz w:val="20"/>
          <w:szCs w:val="20"/>
          <w:color w:val="auto"/>
        </w:rPr>
      </w:pPr>
    </w:p>
    <w:p>
      <w:pPr>
        <w:ind w:left="440" w:right="80" w:hanging="4"/>
        <w:spacing w:after="0" w:line="308" w:lineRule="auto"/>
        <w:tabs>
          <w:tab w:leader="none" w:pos="695" w:val="left"/>
        </w:tabs>
        <w:numPr>
          <w:ilvl w:val="0"/>
          <w:numId w:val="188"/>
        </w:numPr>
        <w:rPr>
          <w:rFonts w:ascii="Arial" w:cs="Arial" w:eastAsia="Arial" w:hAnsi="Arial"/>
          <w:sz w:val="17"/>
          <w:szCs w:val="17"/>
          <w:color w:val="auto"/>
        </w:rPr>
      </w:pPr>
      <w:r>
        <w:rPr>
          <w:rFonts w:ascii="Arial" w:cs="Arial" w:eastAsia="Arial" w:hAnsi="Arial"/>
          <w:sz w:val="17"/>
          <w:szCs w:val="17"/>
          <w:color w:val="auto"/>
        </w:rPr>
        <w:t>hold all sums held by it for the payment of principal of (and premium or Make-Whole Amount, if any) or interest on Securities in trust for the benefit of the Persons entitled thereto until such sums shall be paid to such Persons or otherwise disposed of as herein provided;</w:t>
      </w:r>
    </w:p>
    <w:p>
      <w:pPr>
        <w:spacing w:after="0" w:line="38" w:lineRule="exact"/>
        <w:rPr>
          <w:rFonts w:ascii="Arial" w:cs="Arial" w:eastAsia="Arial" w:hAnsi="Arial"/>
          <w:sz w:val="17"/>
          <w:szCs w:val="17"/>
          <w:color w:val="auto"/>
        </w:rPr>
      </w:pPr>
    </w:p>
    <w:p>
      <w:pPr>
        <w:ind w:left="440" w:right="580" w:hanging="4"/>
        <w:spacing w:after="0" w:line="277" w:lineRule="auto"/>
        <w:tabs>
          <w:tab w:leader="none" w:pos="69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Securities) in the making of any such payment of principal (and premium or Make-Whole Amount, if any) or interest on the Securities of that series; and</w:t>
      </w:r>
    </w:p>
    <w:p>
      <w:pPr>
        <w:spacing w:after="0" w:line="62" w:lineRule="exact"/>
        <w:rPr>
          <w:rFonts w:ascii="Arial" w:cs="Arial" w:eastAsia="Arial" w:hAnsi="Arial"/>
          <w:sz w:val="18"/>
          <w:szCs w:val="18"/>
          <w:color w:val="auto"/>
        </w:rPr>
      </w:pPr>
    </w:p>
    <w:p>
      <w:pPr>
        <w:ind w:left="440" w:right="80" w:hanging="4"/>
        <w:spacing w:after="0" w:line="277" w:lineRule="auto"/>
        <w:tabs>
          <w:tab w:leader="none" w:pos="69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such Paying Agent.</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7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Except as otherwise provided in the Securities of any series, and subject to applicable laws, any money deposited with the Trustee or any Paying Agent, or then held by the Company, in trust for the payment of the principal of (and premium or Make-Whole Amount, if any) or interest on any Security of any series and remaining unclaimed for two years after such principal (and premium or Make-Whole Amount, if any) or interest has become due and payable shall be paid to the Company upon Company Request or (if then held by the Company) shall be discharged from such trust; and the Holder of such Security shall thereafter, as an unsecured general creditor, look only to the Company for payment of such principal of (and premium or Make-Whole Amount, if any) or interest on any Security, without interest thereon, and all liability of the Trustee or such Paying Agent with respect to such trust money, and all liability of the Company as trustee thereof, shall thereupon cease;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calendar days from the date of such publication, any unclaimed balance of such money then remaining will be repaid to the Company.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203" w:name="page204"/>
    <w:bookmarkEnd w:id="203"/>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1004. </w:t>
      </w:r>
      <w:r>
        <w:rPr>
          <w:rFonts w:ascii="Arial" w:cs="Arial" w:eastAsia="Arial" w:hAnsi="Arial"/>
          <w:sz w:val="18"/>
          <w:szCs w:val="18"/>
          <w:u w:val="single" w:color="auto"/>
          <w:color w:val="auto"/>
        </w:rPr>
        <w:t>Existence</w:t>
      </w:r>
      <w:r>
        <w:rPr>
          <w:rFonts w:ascii="Arial" w:cs="Arial" w:eastAsia="Arial" w:hAnsi="Arial"/>
          <w:sz w:val="18"/>
          <w:szCs w:val="18"/>
          <w:color w:val="auto"/>
        </w:rPr>
        <w:t xml:space="preserve">. Subject to Article Eight, the Company will do or cause to be done all things necessary to preserve and keep in full force and effect its corporate existence, all material rights (by certificate of incorporation, by-laws and statute) and material franchises;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preserve any such right or franchise if the Board of Directors shall determine that the preservation thereof is no longer desirable in the conduct of the business of the Company.</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Statement as to Compliance</w:t>
      </w:r>
      <w:r>
        <w:rPr>
          <w:rFonts w:ascii="Arial" w:cs="Arial" w:eastAsia="Arial" w:hAnsi="Arial"/>
          <w:sz w:val="18"/>
          <w:szCs w:val="18"/>
          <w:color w:val="auto"/>
        </w:rPr>
        <w:t>. The Company will deliver to the Trustee, within 120 calendar days after the end of each fiscal year, a brief certificate from the principal executive officer, principal financial officer or principal accounting officer as to his or her knowledge of the Company’s compliance with all conditions and covenants under this Indenture and, in the event of any noncompliance, specifying such noncompliance and the nature and status thereof. For purposes of this Section 1005, such compliance shall be determined without regard to any period of grace or requirement of notice under this Indenture.</w:t>
      </w:r>
    </w:p>
    <w:p>
      <w:pPr>
        <w:spacing w:after="0" w:line="18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Waiver of Certain Covenants</w:t>
      </w:r>
      <w:r>
        <w:rPr>
          <w:rFonts w:ascii="Arial" w:cs="Arial" w:eastAsia="Arial" w:hAnsi="Arial"/>
          <w:sz w:val="18"/>
          <w:szCs w:val="18"/>
          <w:color w:val="auto"/>
        </w:rPr>
        <w:t>. The Company may omit in any particular instance to comply with any term, provision or condition set forth in Sections 1004 and 1005, if before or after the time for such compliance the Holders of at least a majority in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ELEVEN—REDEMPTION OF SECURITIES</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u w:val="single" w:color="auto"/>
          <w:color w:val="auto"/>
        </w:rPr>
        <w:t>Applicability of Article</w:t>
      </w:r>
      <w:r>
        <w:rPr>
          <w:rFonts w:ascii="Arial" w:cs="Arial" w:eastAsia="Arial" w:hAnsi="Arial"/>
          <w:sz w:val="16"/>
          <w:szCs w:val="16"/>
          <w:color w:val="auto"/>
        </w:rPr>
        <w:t>. 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u w:val="single" w:color="auto"/>
          <w:color w:val="auto"/>
        </w:rPr>
        <w:t>Election to Redeem; Notice to Trustee</w:t>
      </w:r>
      <w:r>
        <w:rPr>
          <w:rFonts w:ascii="Arial" w:cs="Arial" w:eastAsia="Arial" w:hAnsi="Arial"/>
          <w:sz w:val="17"/>
          <w:szCs w:val="17"/>
          <w:color w:val="auto"/>
        </w:rPr>
        <w:t>. The election of the Company to redeem any Securities shall be evidenced by or pursuant to a Board Resolution. In case of any redemption at the election of the Company of less than all of the Securities of any series, the Company shall, at least 45 calendar days prior to the giving of the notice of redemption in Section 1104 (unless a shorter notice shall be satisfactory to the Trustee), notify the Trustee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u w:val="single" w:color="auto"/>
          <w:color w:val="auto"/>
        </w:rPr>
        <w:t>Selection by Trustee of Securities to Be Redeemed</w:t>
      </w:r>
      <w:r>
        <w:rPr>
          <w:rFonts w:ascii="Arial" w:cs="Arial" w:eastAsia="Arial" w:hAnsi="Arial"/>
          <w:sz w:val="17"/>
          <w:szCs w:val="17"/>
          <w:color w:val="auto"/>
        </w:rPr>
        <w:t>. If less than all the Securities of any series issued on the same day with the same terms are to be redeemed, the particular Securities to be redeemed shall be selected not more than 60 calendar days prior to the Redemption Date by the Trustee, from the Outstanding Securities of such series issued on such date with the same terms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2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 Notice of redemption shall be given in the manner provided in Section 106, not less than 10 calendar days nor more than 60 calendar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204" w:name="page205"/>
    <w:bookmarkEnd w:id="20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notice that is mailed to the Holders of Registered Securities in the manner herein provided shall be conclusively presumed to have been duly given, whether or not the Holder receives the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notices of redemption shall state:</w:t>
      </w:r>
    </w:p>
    <w:p>
      <w:pPr>
        <w:spacing w:after="0" w:line="117" w:lineRule="exact"/>
        <w:rPr>
          <w:sz w:val="20"/>
          <w:szCs w:val="20"/>
          <w:color w:val="auto"/>
        </w:rPr>
      </w:pPr>
    </w:p>
    <w:p>
      <w:pPr>
        <w:ind w:left="700" w:hanging="264"/>
        <w:spacing w:after="0"/>
        <w:tabs>
          <w:tab w:leader="none" w:pos="7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Redemption Price, accrued interest to the Redemption Date payable as provided in Section 1106, if any,</w:t>
      </w:r>
    </w:p>
    <w:p>
      <w:pPr>
        <w:spacing w:after="0" w:line="117" w:lineRule="exact"/>
        <w:rPr>
          <w:rFonts w:ascii="Arial" w:cs="Arial" w:eastAsia="Arial" w:hAnsi="Arial"/>
          <w:sz w:val="18"/>
          <w:szCs w:val="18"/>
          <w:color w:val="auto"/>
        </w:rPr>
      </w:pPr>
    </w:p>
    <w:p>
      <w:pPr>
        <w:ind w:left="440" w:right="140" w:hanging="4"/>
        <w:spacing w:after="0" w:line="277" w:lineRule="auto"/>
        <w:tabs>
          <w:tab w:leader="none" w:pos="69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less than all Outstanding Securities of any series are to be redeemed, the identification (and, in the case of partial redemption, the principal amount) of the particular Security or Securities to be redeemed,</w:t>
      </w:r>
    </w:p>
    <w:p>
      <w:pPr>
        <w:spacing w:after="0" w:line="62" w:lineRule="exact"/>
        <w:rPr>
          <w:rFonts w:ascii="Arial" w:cs="Arial" w:eastAsia="Arial" w:hAnsi="Arial"/>
          <w:sz w:val="18"/>
          <w:szCs w:val="18"/>
          <w:color w:val="auto"/>
        </w:rPr>
      </w:pPr>
    </w:p>
    <w:p>
      <w:pPr>
        <w:ind w:left="440" w:right="60" w:hanging="4"/>
        <w:spacing w:after="0" w:line="263" w:lineRule="auto"/>
        <w:tabs>
          <w:tab w:leader="none" w:pos="69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75" w:lineRule="exact"/>
        <w:rPr>
          <w:rFonts w:ascii="Arial" w:cs="Arial" w:eastAsia="Arial" w:hAnsi="Arial"/>
          <w:sz w:val="18"/>
          <w:szCs w:val="18"/>
          <w:color w:val="auto"/>
        </w:rPr>
      </w:pPr>
    </w:p>
    <w:p>
      <w:pPr>
        <w:ind w:left="440" w:right="20" w:hanging="4"/>
        <w:spacing w:after="0" w:line="263" w:lineRule="auto"/>
        <w:tabs>
          <w:tab w:leader="none" w:pos="69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that on the Redemption Date the Redemption Price and accrued interest to the Redemption Date payable as provided in Section 1106, if any, will become due and payable upon each such Security, or the portion thereof, to be redeemed and, if applicable, that interest thereon shall cease to accrue on and after said date,</w:t>
      </w:r>
    </w:p>
    <w:p>
      <w:pPr>
        <w:spacing w:after="0" w:line="75" w:lineRule="exact"/>
        <w:rPr>
          <w:rFonts w:ascii="Arial" w:cs="Arial" w:eastAsia="Arial" w:hAnsi="Arial"/>
          <w:sz w:val="18"/>
          <w:szCs w:val="18"/>
          <w:color w:val="auto"/>
        </w:rPr>
      </w:pPr>
    </w:p>
    <w:p>
      <w:pPr>
        <w:jc w:val="both"/>
        <w:ind w:left="440" w:right="220" w:hanging="4"/>
        <w:spacing w:after="0" w:line="342" w:lineRule="auto"/>
        <w:tabs>
          <w:tab w:leader="none" w:pos="69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Place or Places of Payment where such Securities, together in the case of Bearer Securities with all coupons appertaining thereto, if any, maturing after the Redemption Date, are to be surrendered for payment of the Redemption Price and accrued interest, if any, or for conversion,</w:t>
      </w:r>
    </w:p>
    <w:p>
      <w:pPr>
        <w:spacing w:after="0" w:line="15" w:lineRule="exact"/>
        <w:rPr>
          <w:rFonts w:ascii="Arial" w:cs="Arial" w:eastAsia="Arial" w:hAnsi="Arial"/>
          <w:sz w:val="16"/>
          <w:szCs w:val="16"/>
          <w:color w:val="auto"/>
        </w:rPr>
      </w:pPr>
    </w:p>
    <w:p>
      <w:pPr>
        <w:ind w:left="700" w:hanging="264"/>
        <w:spacing w:after="0"/>
        <w:tabs>
          <w:tab w:leader="none" w:pos="7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w:t>
      </w:r>
    </w:p>
    <w:p>
      <w:pPr>
        <w:spacing w:after="0" w:line="117" w:lineRule="exact"/>
        <w:rPr>
          <w:rFonts w:ascii="Arial" w:cs="Arial" w:eastAsia="Arial" w:hAnsi="Arial"/>
          <w:sz w:val="18"/>
          <w:szCs w:val="18"/>
          <w:color w:val="auto"/>
        </w:rPr>
      </w:pPr>
    </w:p>
    <w:p>
      <w:pPr>
        <w:ind w:left="440" w:right="100" w:hanging="4"/>
        <w:spacing w:after="0" w:line="311" w:lineRule="auto"/>
        <w:tabs>
          <w:tab w:leader="none" w:pos="69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that, unless otherwise specified in such notice, Bearer Securities of any series, if any, surrendered for redemption must be accompanied by all coupons maturing subsequent to the date fixed for redemption or the amount of any such missing coupon or coupons will be deducted from the Redemption Price, unless security or indemnity satisfactory to the Company, the Trustee for such series and any Paying Agent is furnished,</w:t>
      </w:r>
    </w:p>
    <w:p>
      <w:pPr>
        <w:spacing w:after="0" w:line="40" w:lineRule="exact"/>
        <w:rPr>
          <w:rFonts w:ascii="Arial" w:cs="Arial" w:eastAsia="Arial" w:hAnsi="Arial"/>
          <w:sz w:val="16"/>
          <w:szCs w:val="16"/>
          <w:color w:val="auto"/>
        </w:rPr>
      </w:pPr>
    </w:p>
    <w:p>
      <w:pPr>
        <w:ind w:left="440" w:right="160" w:hanging="4"/>
        <w:spacing w:after="0" w:line="263" w:lineRule="auto"/>
        <w:tabs>
          <w:tab w:leader="none" w:pos="69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Bearer Securities of any series are to be redeemed and any Registered Securities of such series are not to be redeemed, and if such Bearer Securities may be exchanged for Registered Securities not subject to redemption on this Redemption Date pursuant to Section 305 or otherwise, the last date, as determined by the Company, on which such exchanges may be made,</w:t>
      </w:r>
    </w:p>
    <w:p>
      <w:pPr>
        <w:spacing w:after="0" w:line="75" w:lineRule="exact"/>
        <w:rPr>
          <w:rFonts w:ascii="Arial" w:cs="Arial" w:eastAsia="Arial" w:hAnsi="Arial"/>
          <w:sz w:val="18"/>
          <w:szCs w:val="18"/>
          <w:color w:val="auto"/>
        </w:rPr>
      </w:pPr>
    </w:p>
    <w:p>
      <w:pPr>
        <w:ind w:left="780" w:hanging="344"/>
        <w:spacing w:after="0"/>
        <w:tabs>
          <w:tab w:leader="none" w:pos="7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CUSIP number of such Security, if any, and</w:t>
      </w:r>
    </w:p>
    <w:p>
      <w:pPr>
        <w:spacing w:after="0" w:line="117" w:lineRule="exact"/>
        <w:rPr>
          <w:rFonts w:ascii="Arial" w:cs="Arial" w:eastAsia="Arial" w:hAnsi="Arial"/>
          <w:sz w:val="18"/>
          <w:szCs w:val="18"/>
          <w:color w:val="auto"/>
        </w:rPr>
      </w:pPr>
    </w:p>
    <w:p>
      <w:pPr>
        <w:ind w:left="440" w:right="520" w:hanging="4"/>
        <w:spacing w:after="0" w:line="263" w:lineRule="auto"/>
        <w:tabs>
          <w:tab w:leader="none" w:pos="77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applicable, that a Holder of Securities who desires to convert Securities for redemption must satisfy the requirements for conversion contained in such Securities, the then existing conversion price or rate, the place or places where such Securities may be surrendered for conversion, and the date and time when the option to convert shall expire.</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SECTION 1105. </w:t>
      </w:r>
      <w:r>
        <w:rPr>
          <w:rFonts w:ascii="Arial" w:cs="Arial" w:eastAsia="Arial" w:hAnsi="Arial"/>
          <w:sz w:val="17"/>
          <w:szCs w:val="17"/>
          <w:u w:val="single" w:color="auto"/>
          <w:color w:val="auto"/>
        </w:rPr>
        <w:t>Deposit of Redemption Price</w:t>
      </w:r>
      <w:r>
        <w:rPr>
          <w:rFonts w:ascii="Arial" w:cs="Arial" w:eastAsia="Arial" w:hAnsi="Arial"/>
          <w:sz w:val="17"/>
          <w:szCs w:val="17"/>
          <w:color w:val="auto"/>
        </w:rPr>
        <w:t>. On or prior to any Redemption Date, the Company shall deposit with the Trustee or with a Paying Agent (or, if the Company is acting as its own Paying Agent, which it may not do in the case of a sinking fund payment under Article Twelve,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on the Redemption Date the Redemption Price of, and (except if the Redemption Date shall be an Interest Payment Date) accrued interest on, all the Securities or portions thereof which are to be redeemed on that date.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440" w:top="274" w:right="499" w:bottom="1440" w:gutter="0" w:footer="0" w:header="0"/>
        </w:sectPr>
      </w:pPr>
    </w:p>
    <w:bookmarkStart w:id="205" w:name="page206"/>
    <w:bookmarkEnd w:id="205"/>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Securities called for redemption are converted, any money deposited with the Trustee or with any Paying Agent or so segregated and held in trust for the redemption of such Security shall be paid to the Company upon Company Request or, if then held by the Company, shall be discharged from such trust.</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u w:val="single" w:color="auto"/>
          <w:color w:val="auto"/>
        </w:rPr>
        <w:t>Securities Payable on Redemption Date</w:t>
      </w:r>
      <w:r>
        <w:rPr>
          <w:rFonts w:ascii="Arial" w:cs="Arial" w:eastAsia="Arial" w:hAnsi="Arial"/>
          <w:sz w:val="16"/>
          <w:szCs w:val="16"/>
          <w:color w:val="auto"/>
        </w:rPr>
        <w:t xml:space="preserve">. Notice of redemption having been given as aforesaid, the Securities so to be redeemed shall, on the Redemption Date, become due and payable at the Redemption Price therein specified in the currency or currencies, currency unit or units or composite currency or currencies in which the Securities of such series are payable (except as otherwise specified pursuant to Section 301 for the Securities of such series) (together with accrued interest, if any, to the Redemption Date), and from and after such date (unless the Company shall default in the payment of the Redemption Price and accrued interest) such Securities shall, if the same were interest-bearing,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except as otherwise provided with respect to Securities convertible into the Company’s Ordinary Shares or Preference Shares,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premium or Make-Whole Amount, if any) shall, until paid, bear interest from the Redemption Date at the rate borne by the Security.</w:t>
      </w:r>
    </w:p>
    <w:p>
      <w:pPr>
        <w:spacing w:after="0" w:line="170"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 xml:space="preserve">SECTION 1107. </w:t>
      </w:r>
      <w:r>
        <w:rPr>
          <w:rFonts w:ascii="Arial" w:cs="Arial" w:eastAsia="Arial" w:hAnsi="Arial"/>
          <w:sz w:val="16"/>
          <w:szCs w:val="16"/>
          <w:u w:val="single" w:color="auto"/>
          <w:color w:val="auto"/>
        </w:rPr>
        <w:t>Securities Redeemed in Part</w:t>
      </w:r>
      <w:r>
        <w:rPr>
          <w:rFonts w:ascii="Arial" w:cs="Arial" w:eastAsia="Arial" w:hAnsi="Arial"/>
          <w:sz w:val="16"/>
          <w:szCs w:val="16"/>
          <w:color w:val="auto"/>
        </w:rPr>
        <w:t>. Any Registered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 If a Global Security is so surrendered, the Company shall execute and the Trustee shall authenticate and deliver to the depository, without service charge, a new Global Security in a denomination equal to and in exchange for the unredeemed portion of the principal of the Global Security so surrendered.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440" w:top="274" w:right="4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TWELVE—SINKING FUNDS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The provisions of this Article shall be applicable to any sinking fund for the retirement of Securities of a series except as otherwise specified as contemplated by Section 301 for Securities of such series.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8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u w:val="single" w:color="auto"/>
          <w:color w:val="auto"/>
        </w:rPr>
        <w:t>Satisfaction of Sinking Fund Payments with Securities</w:t>
      </w:r>
      <w:r>
        <w:rPr>
          <w:rFonts w:ascii="Arial" w:cs="Arial" w:eastAsia="Arial" w:hAnsi="Arial"/>
          <w:sz w:val="16"/>
          <w:szCs w:val="16"/>
          <w:color w:val="auto"/>
        </w:rPr>
        <w:t xml:space="preserve">. The Company may, in satisfaction of all or any part of any mandatory sinking fund payment with respect to the Securities of a series, (1) deliver Outstanding Securities of such series (other than any previously called for redemption) together in the case of any Bearer Securities of such series with all unmatured coupons appertaining thereto and (2)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or which have otherwise been acquired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16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SECTION 1203. </w:t>
      </w:r>
      <w:r>
        <w:rPr>
          <w:rFonts w:ascii="Arial" w:cs="Arial" w:eastAsia="Arial" w:hAnsi="Arial"/>
          <w:sz w:val="17"/>
          <w:szCs w:val="17"/>
          <w:u w:val="single" w:color="auto"/>
          <w:color w:val="auto"/>
        </w:rPr>
        <w:t>Redemption of Securities for Sinking Fund</w:t>
      </w:r>
      <w:r>
        <w:rPr>
          <w:rFonts w:ascii="Arial" w:cs="Arial" w:eastAsia="Arial" w:hAnsi="Arial"/>
          <w:sz w:val="17"/>
          <w:szCs w:val="17"/>
          <w:color w:val="auto"/>
        </w:rPr>
        <w:t>. Not less than 60 calendar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or currencies, currency unit or units or composite currency or currencies in which the Securities of such series are payable (except as otherwise specified pursuant to Section 301 for the Securities of such series)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calendar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THIRTEEN—REPAYMENT AT THE OPTION OF HOLDERS</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Repayment of Securities of any series before their Stated Maturity at the option of Holders thereof shall be made in accordance with the terms of such Securities, if any, and (except as otherwise specified by the terms of such series established pursuant to Section 301) in accordance with this Article.</w:t>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SECTION 1302. </w:t>
      </w:r>
      <w:r>
        <w:rPr>
          <w:rFonts w:ascii="Arial" w:cs="Arial" w:eastAsia="Arial" w:hAnsi="Arial"/>
          <w:sz w:val="16"/>
          <w:szCs w:val="16"/>
          <w:u w:val="single" w:color="auto"/>
          <w:color w:val="auto"/>
        </w:rPr>
        <w:t>Repayment of Securities</w:t>
      </w:r>
      <w:r>
        <w:rPr>
          <w:rFonts w:ascii="Arial" w:cs="Arial" w:eastAsia="Arial" w:hAnsi="Arial"/>
          <w:sz w:val="16"/>
          <w:szCs w:val="16"/>
          <w:color w:val="auto"/>
        </w:rPr>
        <w:t>. Securities of any series subject to repayment in whole or in part at the option of the Holders thereof will, unless otherwise provided in the terms of such Securities, be repaid at a price equal to the principal amount thereof, together with interest, if any, thereon accrued to the Repayment Date specified in or pursuant to the terms of such Securities. The Company covenants that on or prior to the Repayment Date it will deposit with the Trustee or with a Paying Agent (or, if the Company is acting as its own Paying Agent,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the principal (or, if so provided by the terms of the Securities of any series, a percentage of the principal) of, and (except if the Repayment Date shall be an Interest Payment Date) accrued interest on, all the Securities or portions thereof, as the case may be, to be repaid on such date.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207" w:name="page208"/>
    <w:bookmarkEnd w:id="20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1303. </w:t>
      </w:r>
      <w:r>
        <w:rPr>
          <w:rFonts w:ascii="Arial" w:cs="Arial" w:eastAsia="Arial" w:hAnsi="Arial"/>
          <w:sz w:val="16"/>
          <w:szCs w:val="16"/>
          <w:u w:val="single" w:color="auto"/>
          <w:color w:val="auto"/>
        </w:rPr>
        <w:t>Exercise of Option</w:t>
      </w:r>
      <w:r>
        <w:rPr>
          <w:rFonts w:ascii="Arial" w:cs="Arial" w:eastAsia="Arial" w:hAnsi="Arial"/>
          <w:sz w:val="16"/>
          <w:szCs w:val="16"/>
          <w:color w:val="auto"/>
        </w:rPr>
        <w:t xml:space="preserve">. Securities of any series subject to repayment at the option of the Holders thereof will contain an “Option to Elect Repayment” form on the reverse of such Securities. In order for any Security to be repaid at the option of the Holder, the Trustee must receive at the Place of Payment therefor specified in the terms of such Security (or at such other place or places of which the Company shall from time to time notify the Holders of such Securities) not earlier than 60 calendar days nor later than 30 calendar days prior to the Repayment Date (1) the Security so providing for such repayment together with the “Option to Elect Repayment” form on the reverse thereof duly completed by the Holder (or by the Holder’s attorney duly authorized in writing) or (2) electronic transmission, facsimile transmission or a letter from a member of a national securities exchange, or the FINRA, or a commercial bank or trust company in the United States setting forth the name of the Holder of the Security, the principal amount of the Security, the principal amount of the Security to be repaid, the CUSIP number, if any, or a description of the tenor and terms of the Security, a statement that the option to elect repayment is being exercised thereby and a guarantee that the Security to be repaid, together with the duly completed form entitled “Option to Elect Repayment” on the reverse of the Security, will be received by the Trustee not later than the fifth Business Day after the date of such electronic transmission, facsimile transmission or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electronic transmission, facsimile transmission or letter shall only be effective if such Security and form duly completed are received by the Trustee by such fifth Business Day.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16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 xml:space="preserve">SECTION 1304. </w:t>
      </w:r>
      <w:r>
        <w:rPr>
          <w:rFonts w:ascii="Arial" w:cs="Arial" w:eastAsia="Arial" w:hAnsi="Arial"/>
          <w:sz w:val="17"/>
          <w:szCs w:val="17"/>
          <w:u w:val="single" w:color="auto"/>
          <w:color w:val="auto"/>
        </w:rPr>
        <w:t>When Securities Presented for Repayment Become Due and Payable</w:t>
      </w:r>
      <w:r>
        <w:rPr>
          <w:rFonts w:ascii="Arial" w:cs="Arial" w:eastAsia="Arial" w:hAnsi="Arial"/>
          <w:sz w:val="17"/>
          <w:szCs w:val="17"/>
          <w:color w:val="auto"/>
        </w:rPr>
        <w:t xml:space="preserve">. 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principal amount of such Security so to be repaid shall be paid by the Company, together with accrued interest, if any, to the Repayment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coupons whose Stated Maturity is on or prior to the Repayment Date shall be payable only at an office or agency located outside the United States (except as otherwise provided in Section 1002) and, unless otherwise specified pursuant to Section 301, only upon presentation and surrender of such coupons; and provided further that, in the case of Registered Securities, installments of interest, if any, whose Stated Maturity is on or prior to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208" w:name="page209"/>
    <w:bookmarkEnd w:id="208"/>
    <w:p>
      <w:pPr>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principal amount of any Security surrendered for repayment shall not be so repaid upon surrender thereof, such principal amount (together with interest, if any, thereon accrued to such Repayment Date) shall, until paid, bear interest from the Repayment Date at the rate of interest or Yield to Maturity (in the case of Original Issue Discount Securities) set forth in such Security.</w:t>
      </w:r>
    </w:p>
    <w:p>
      <w:pPr>
        <w:spacing w:after="0" w:line="1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SECTION 1305. </w:t>
      </w:r>
      <w:r>
        <w:rPr>
          <w:rFonts w:ascii="Arial" w:cs="Arial" w:eastAsia="Arial" w:hAnsi="Arial"/>
          <w:sz w:val="17"/>
          <w:szCs w:val="17"/>
          <w:u w:val="single" w:color="auto"/>
          <w:color w:val="auto"/>
        </w:rPr>
        <w:t>Securities Repaid in Part</w:t>
      </w:r>
      <w:r>
        <w:rPr>
          <w:rFonts w:ascii="Arial" w:cs="Arial" w:eastAsia="Arial" w:hAnsi="Arial"/>
          <w:sz w:val="17"/>
          <w:szCs w:val="17"/>
          <w:color w:val="auto"/>
        </w:rPr>
        <w:t>. Upon surrender of any Registered Security which is to be repaid in part only, the Company shall execute and the Trustee shall authenticate and deliver to the Holder of such Security, without service charge and at the expense of the Company, a new Registered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FOURTEEN—DEFEASANCE AND COVENANT DEFEASANCE</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SECTION 1401. </w:t>
      </w:r>
      <w:r>
        <w:rPr>
          <w:rFonts w:ascii="Arial" w:cs="Arial" w:eastAsia="Arial" w:hAnsi="Arial"/>
          <w:sz w:val="17"/>
          <w:szCs w:val="17"/>
          <w:u w:val="single" w:color="auto"/>
          <w:color w:val="auto"/>
        </w:rPr>
        <w:t>Applicability of Article; Company’s Option to Effect Defeasance or Covenant Defeasance</w:t>
      </w:r>
      <w:r>
        <w:rPr>
          <w:rFonts w:ascii="Arial" w:cs="Arial" w:eastAsia="Arial" w:hAnsi="Arial"/>
          <w:sz w:val="17"/>
          <w:szCs w:val="17"/>
          <w:color w:val="auto"/>
        </w:rPr>
        <w:t>. If, pursuant to Section 301, provision is made for either or both of (a) Defeasance of the Securities of or within a series under Section 1402 or (b) 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any coupons appertaining thereto, and the Company may at its option by Board Resolution, at any time, with respect to such Securities and any coupons appertaining thereto, elect to have Section 1402 (if applicable) or Section 1403 (if applicable) be applied to such Outstanding Securities and any coupons appertaining thereto upon compliance with the conditions set forth below in this Article.</w:t>
      </w:r>
    </w:p>
    <w:p>
      <w:pPr>
        <w:spacing w:after="0" w:line="17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SECTION 1402. </w:t>
      </w:r>
      <w:r>
        <w:rPr>
          <w:rFonts w:ascii="Arial" w:cs="Arial" w:eastAsia="Arial" w:hAnsi="Arial"/>
          <w:sz w:val="17"/>
          <w:szCs w:val="17"/>
          <w:u w:val="single" w:color="auto"/>
          <w:color w:val="auto"/>
        </w:rPr>
        <w:t>Defeasance and Discharge</w:t>
      </w:r>
      <w:r>
        <w:rPr>
          <w:rFonts w:ascii="Arial" w:cs="Arial" w:eastAsia="Arial" w:hAnsi="Arial"/>
          <w:sz w:val="17"/>
          <w:szCs w:val="17"/>
          <w:color w:val="auto"/>
        </w:rPr>
        <w:t>. Upon the Company’s exercise of the above option applicable to this Section with respect to any Securities of or within a series, the Company shall be deemed to have been discharged from its obligations with respect to such Outstanding Securities and any coupons appertaining thereto on the date the conditions set forth in Section 1404 are satisfied (hereinafter, “Defeasance”). For this purpose, such Defeasance means that the Company shall be deemed to have paid and discharged the entire indebtedness represented by such Outstanding Securities and any coupons appertaining thereto, which shall thereafter be deemed to be “Outstanding” only for the purposes of Section 1405 and the other Sections of this Indenture referred to in clauses (A) and (B) below, and to have satisfied all of its other obligations under such Securities and any coupons appertaining thereto and this Indenture insofar as such Securities and any coupons appertaining thereto are concerned (and the Trustee, at the expense of the Company, shall execute proper instruments acknowledging the same), except for the following which shall survive until otherwise terminated or discharged hereunder: (A) the rights of Holders of such Outstanding Securities and any coupons appertaining thereto to receive, solely from the trust fund described in Section 1404 and as more fully set forth in such Section, payments in respect of the principal of (and premium or Make-Whole Amount, if any) and interest, if any, on such Securities and any coupons appertaining thereto when such payments are due, (B) the Company’s obligations with respect to such Securities under Sections 305, 306, 1002 and 1003, and the Company’s obligations under Section 606 hereof (C) the rights, powers, trusts, duties and immunities of the Trustee hereunder and (D) this Article. Subject to compliance with this Article Fourteen, the Company may exercise its option under this Section notwithstanding the prior exercise of its option under Section 1403 with respect to such Securities and any coupons appertaining thereto.</w:t>
      </w:r>
    </w:p>
    <w:p>
      <w:pPr>
        <w:spacing w:after="0" w:line="18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SECTION 1403.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Upon the Company’s exercise of the above option applicable to this Section with respect to any Securities of or within a series, the Company shall be released from its obligations under Sections 1004 and 1005, inclusive, and, if specified pursuant to Section 301, its obligations under any other covenant contained herein or in any indenture supplemental hereto,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Sections 1004 and 1005, or such other covenant, but shall continue to be deemed “Outstanding” for all other purposes hereunder. For this purpose, such Covenant Defeasance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209" w:name="page210"/>
    <w:bookmarkEnd w:id="209"/>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501(8) or otherwise, as the case may be, but, except as specified above, the remainder of this Indenture and such Securities and any coupons appertaining thereto shall be unaffected thereby.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1404. </w:t>
      </w:r>
      <w:r>
        <w:rPr>
          <w:rFonts w:ascii="Arial" w:cs="Arial" w:eastAsia="Arial" w:hAnsi="Arial"/>
          <w:sz w:val="17"/>
          <w:szCs w:val="17"/>
          <w:u w:val="single" w:color="auto"/>
          <w:color w:val="auto"/>
        </w:rPr>
        <w:t>Conditions to Defeasance or Covenant Defeasance</w:t>
      </w:r>
      <w:r>
        <w:rPr>
          <w:rFonts w:ascii="Arial" w:cs="Arial" w:eastAsia="Arial" w:hAnsi="Arial"/>
          <w:sz w:val="17"/>
          <w:szCs w:val="17"/>
          <w:color w:val="auto"/>
        </w:rPr>
        <w:t>. The following shall be the conditions to application of Section 1402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1403 to any Outstanding Securities of or within a series and any coupons appertaining thereto:</w:t>
      </w:r>
    </w:p>
    <w:p>
      <w:pPr>
        <w:spacing w:after="0" w:line="103" w:lineRule="exact"/>
        <w:rPr>
          <w:sz w:val="20"/>
          <w:szCs w:val="20"/>
          <w:color w:val="auto"/>
        </w:rPr>
      </w:pPr>
    </w:p>
    <w:p>
      <w:pPr>
        <w:ind w:firstLine="436"/>
        <w:spacing w:after="0" w:line="286" w:lineRule="auto"/>
        <w:tabs>
          <w:tab w:leader="none" w:pos="68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Company shall irrevocably have deposited or caused to be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and dedicated solely to, the benefit of the Holders of such Securities and any coupons appertaining thereto, (1) an amount in such currency, currencies or currency unit in which such Securities and any coupons appertaining thereto are then specified as payable at Stated Maturity, or (2) Government Obligations applicable to such Securities and coupons appertaining thereto (determined on the basis of the currency, currencies or currency unit in which such Securities and coupons appertaining thereto are then specified as payable at Stated Maturity) which through the scheduled payment of principal and interest in respect thereof in accordance with their terms will provide, not later than the due date of any payment of principal of (and premium or Make-Whole Amount, if any) and interest, if any, on such Securities and any coupons appertaining thereto, money in an amount, or (3) a combination thereof, in any case, in an amount, sufficient, without consideration of any reinvestment of such principal and interest,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or Make-Whole Amount,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167" w:lineRule="exact"/>
        <w:rPr>
          <w:rFonts w:ascii="Arial" w:cs="Arial" w:eastAsia="Arial" w:hAnsi="Arial"/>
          <w:sz w:val="16"/>
          <w:szCs w:val="16"/>
          <w:color w:val="auto"/>
        </w:rPr>
      </w:pPr>
    </w:p>
    <w:p>
      <w:pPr>
        <w:ind w:right="140" w:firstLine="436"/>
        <w:spacing w:after="0" w:line="277" w:lineRule="auto"/>
        <w:tabs>
          <w:tab w:leader="none" w:pos="69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170" w:lineRule="exact"/>
        <w:rPr>
          <w:rFonts w:ascii="Arial" w:cs="Arial" w:eastAsia="Arial" w:hAnsi="Arial"/>
          <w:sz w:val="18"/>
          <w:szCs w:val="18"/>
          <w:color w:val="auto"/>
        </w:rPr>
      </w:pPr>
    </w:p>
    <w:p>
      <w:pPr>
        <w:ind w:right="40" w:firstLine="436"/>
        <w:spacing w:after="0" w:line="259" w:lineRule="auto"/>
        <w:tabs>
          <w:tab w:leader="none" w:pos="68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 Event of Default or event which with notice or lapse of time or both would become an Event of Default with respect to such Securities and any coupons appertaining thereto shall have occurred and be continuing on the date of such deposit or, insofar as Sections 501(6) and 501(7) are concerned, at any time during the period ending on the 91st calendar day after the date of such deposit (it being understood that this condition shall not be deemed satisfied until the expiration of such period).</w:t>
      </w:r>
    </w:p>
    <w:p>
      <w:pPr>
        <w:spacing w:after="0" w:line="186" w:lineRule="exact"/>
        <w:rPr>
          <w:rFonts w:ascii="Arial" w:cs="Arial" w:eastAsia="Arial" w:hAnsi="Arial"/>
          <w:sz w:val="18"/>
          <w:szCs w:val="18"/>
          <w:color w:val="auto"/>
        </w:rPr>
      </w:pPr>
    </w:p>
    <w:p>
      <w:pPr>
        <w:ind w:right="20" w:firstLine="436"/>
        <w:spacing w:after="0" w:line="255" w:lineRule="auto"/>
        <w:tabs>
          <w:tab w:leader="none" w:pos="69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and any coupons appertaining thereto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92" w:lineRule="exact"/>
        <w:rPr>
          <w:rFonts w:ascii="Arial" w:cs="Arial" w:eastAsia="Arial" w:hAnsi="Arial"/>
          <w:sz w:val="18"/>
          <w:szCs w:val="18"/>
          <w:color w:val="auto"/>
        </w:rPr>
      </w:pPr>
    </w:p>
    <w:p>
      <w:pPr>
        <w:ind w:right="20" w:firstLine="436"/>
        <w:spacing w:after="0" w:line="259" w:lineRule="auto"/>
        <w:tabs>
          <w:tab w:leader="none" w:pos="68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the case of an election under Section 1403, the Company shall have delivered to the Trustee an Opinion of Counsel to the effect that the Holders of such Outstanding Securities and any coupons appertaining thereto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0"/>
          </w:cols>
          <w:pgMar w:left="440" w:top="274" w:right="479" w:bottom="1440" w:gutter="0" w:footer="0" w:header="0"/>
        </w:sectPr>
      </w:pPr>
    </w:p>
    <w:bookmarkStart w:id="210" w:name="page211"/>
    <w:bookmarkEnd w:id="210"/>
    <w:p>
      <w:pPr>
        <w:ind w:firstLine="436"/>
        <w:spacing w:after="0" w:line="255" w:lineRule="auto"/>
        <w:tabs>
          <w:tab w:leader="none" w:pos="665" w:val="left"/>
        </w:tabs>
        <w:numPr>
          <w:ilvl w:val="0"/>
          <w:numId w:val="1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have delivered to the Trustee an Officers’ Certificate and an Opinion of Counsel, each stating that all conditions precedent to the Defeasance under Section 1402 or the Covenant Defeasance under Section 1403 (as the case may be) have been complied with and an Opinion of Counsel to the effect that either (i) as a result of a deposit pursuant to subsection (a) above and the related exercise of the Company’s option under Section 1402 or Section 1403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192" w:lineRule="exact"/>
        <w:rPr>
          <w:rFonts w:ascii="Arial" w:cs="Arial" w:eastAsia="Arial" w:hAnsi="Arial"/>
          <w:sz w:val="18"/>
          <w:szCs w:val="18"/>
          <w:color w:val="auto"/>
        </w:rPr>
      </w:pPr>
    </w:p>
    <w:p>
      <w:pPr>
        <w:ind w:right="400" w:firstLine="436"/>
        <w:spacing w:after="0" w:line="342" w:lineRule="auto"/>
        <w:tabs>
          <w:tab w:leader="none" w:pos="69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123" w:lineRule="exact"/>
        <w:rPr>
          <w:rFonts w:ascii="Arial" w:cs="Arial" w:eastAsia="Arial" w:hAnsi="Arial"/>
          <w:sz w:val="16"/>
          <w:szCs w:val="16"/>
          <w:color w:val="auto"/>
        </w:rPr>
      </w:pPr>
    </w:p>
    <w:p>
      <w:pPr>
        <w:ind w:left="700" w:hanging="264"/>
        <w:spacing w:after="0"/>
        <w:tabs>
          <w:tab w:leader="none" w:pos="70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payment of amounts payable to the Trustee pursuant to this Indenture shall be paid or provided for to the reasonable satisfaction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21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SECTION 1405. </w:t>
      </w:r>
      <w:r>
        <w:rPr>
          <w:rFonts w:ascii="Arial" w:cs="Arial" w:eastAsia="Arial" w:hAnsi="Arial"/>
          <w:sz w:val="16"/>
          <w:szCs w:val="16"/>
          <w:u w:val="single" w:color="auto"/>
          <w:color w:val="auto"/>
        </w:rPr>
        <w:t>Deposited Money and Government Obligations to Be Held in Trust; Other Miscellaneous Provisions</w:t>
      </w:r>
      <w:r>
        <w:rPr>
          <w:rFonts w:ascii="Arial" w:cs="Arial" w:eastAsia="Arial" w:hAnsi="Arial"/>
          <w:sz w:val="16"/>
          <w:szCs w:val="16"/>
          <w:color w:val="auto"/>
        </w:rPr>
        <w:t>. 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“Trustee”) pursuant to Section 1404 in respect of any Outstanding Securities of any series and any coupons appertaining thereto shall be held in trust and applied by the Trustee, in accordance with the provisions of such Securities and any coupons appertaining thereto and this Indenture, to the payment, either directly or through any Paying Agent (including the Company acting as its own Paying Agent) as the Trustee may determine, to the Holders of such Securities and any coupons appertaining thereto of all sums due and to become due thereon in respect of principal (and premium or Make-Whole Amount, if any) and interest, but such money need not be segregated from other funds except to the extent required by law.</w:t>
      </w:r>
    </w:p>
    <w:p>
      <w:pPr>
        <w:spacing w:after="0" w:line="16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Unless otherwise specified with respect to any Security pursuant to Section 301, if, after a deposit referred to in Section 1404(a) has been made, (a) the Holder of a Security in respect of which such deposit was made is entitled to, and does, elect pursuant to Section 301 or the terms of such Security to receive payment in a currency or currency unit other than that in which the deposit pursuant to Section 1404(a) has been made in respect of such Security, or (b) a Conversion Event occurs in respect of the currency or currency unit in which the deposit pursuant to Section 1404(a) has been made, the indebtedness represented by such Security and any coupons appertaining thereto shall be deemed to have been, and will be, fully discharged and satisfied through the payment of the principal of (and premium or Make-Whole Amount, if any), and interest, if any, on such Security as the same becomes due out of the proceeds yielded by converting (from time to time as specified below in the case of any such election) the amount or other property deposited in respect of such Security into the currency or currency unit in which such Security becomes payable as a result of such election or Conversion Event based on the applicable market exchange rate for such currency or currency unit in effect on the second Business Day prior to each payment date, except, with respect to a Conversion Event, for such currency or currency unit in effect (as nearly as feasible) at the time of the Conversion Event.</w:t>
      </w:r>
    </w:p>
    <w:p>
      <w:pPr>
        <w:spacing w:after="0" w:line="18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shall pay and indemnify the Trustee against any tax, fee or other charge imposed on or assessed against the Government Obligations deposited pursuant to Section 1404 or the principal and interest received in respect thereof other than any such tax, fee or other charge which by law is for the account of the Holders of such Outstanding Securities and any coupons appertaining thereto.</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Anything in this Article to the contrary notwithstanding, subject to Section 606,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40"/>
          </w:cols>
          <w:pgMar w:left="440" w:top="274" w:right="51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FIFTEEN—MEETINGS OF HOLDERS OF SECURITIES</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SECTION 1501. </w:t>
      </w:r>
      <w:r>
        <w:rPr>
          <w:rFonts w:ascii="Arial" w:cs="Arial" w:eastAsia="Arial" w:hAnsi="Arial"/>
          <w:sz w:val="18"/>
          <w:szCs w:val="18"/>
          <w:u w:val="single" w:color="auto"/>
          <w:color w:val="auto"/>
        </w:rPr>
        <w:t>Purposes for Which Meetings May Be Called</w:t>
      </w:r>
      <w:r>
        <w:rPr>
          <w:rFonts w:ascii="Arial" w:cs="Arial" w:eastAsia="Arial" w:hAnsi="Arial"/>
          <w:sz w:val="18"/>
          <w:szCs w:val="18"/>
          <w:color w:val="auto"/>
        </w:rPr>
        <w:t>. A meeting of Holders of Securities of any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u w:val="single" w:color="auto"/>
          <w:color w:val="auto"/>
        </w:rPr>
        <w:t>Call, Notice and Place of Meetings</w:t>
      </w:r>
      <w:r>
        <w:rPr>
          <w:rFonts w:ascii="Arial" w:cs="Arial" w:eastAsia="Arial" w:hAnsi="Arial"/>
          <w:sz w:val="18"/>
          <w:szCs w:val="18"/>
          <w:color w:val="auto"/>
        </w:rPr>
        <w:t>.</w:t>
      </w:r>
    </w:p>
    <w:p>
      <w:pPr>
        <w:spacing w:after="0" w:line="225" w:lineRule="exact"/>
        <w:rPr>
          <w:sz w:val="20"/>
          <w:szCs w:val="20"/>
          <w:color w:val="auto"/>
        </w:rPr>
      </w:pPr>
    </w:p>
    <w:p>
      <w:pPr>
        <w:jc w:val="both"/>
        <w:ind w:right="80" w:firstLine="436"/>
        <w:spacing w:after="0" w:line="259" w:lineRule="auto"/>
        <w:tabs>
          <w:tab w:leader="none" w:pos="68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Trustee may at any time call a meeting of Holders of Securities of any series for any purpose specified in Section 1501, to be held at such time and at such place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20 nor more than 180 calendar days prior to the date fixed for the meeting.</w:t>
      </w:r>
    </w:p>
    <w:p>
      <w:pPr>
        <w:spacing w:after="0" w:line="186" w:lineRule="exact"/>
        <w:rPr>
          <w:rFonts w:ascii="Arial" w:cs="Arial" w:eastAsia="Arial" w:hAnsi="Arial"/>
          <w:sz w:val="18"/>
          <w:szCs w:val="18"/>
          <w:color w:val="auto"/>
        </w:rPr>
      </w:pPr>
    </w:p>
    <w:p>
      <w:pPr>
        <w:ind w:right="20" w:firstLine="436"/>
        <w:spacing w:after="0" w:line="254" w:lineRule="auto"/>
        <w:tabs>
          <w:tab w:leader="none" w:pos="69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case at any time the Company, pursuant to a Board Resolution, or the Holders of at least 25%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20 calendar days after receipt of such request or shall not thereafter proceed to cause the meeting to be held as provided herein, then the Company or the Holders of Securities of such series in the amount above specified, as the case may be, may determine the time and the place for such meeting and may call such meeting for such purposes by giving notice thereof as provided in subsection (a) of this Section.</w:t>
      </w:r>
    </w:p>
    <w:p>
      <w:pPr>
        <w:spacing w:after="0" w:line="19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SECTION 1503. </w:t>
      </w:r>
      <w:r>
        <w:rPr>
          <w:rFonts w:ascii="Arial" w:cs="Arial" w:eastAsia="Arial" w:hAnsi="Arial"/>
          <w:sz w:val="17"/>
          <w:szCs w:val="17"/>
          <w:u w:val="single" w:color="auto"/>
          <w:color w:val="auto"/>
        </w:rPr>
        <w:t>Persons Entitled to Vote at Meetings</w:t>
      </w:r>
      <w:r>
        <w:rPr>
          <w:rFonts w:ascii="Arial" w:cs="Arial" w:eastAsia="Arial" w:hAnsi="Arial"/>
          <w:sz w:val="17"/>
          <w:szCs w:val="17"/>
          <w:color w:val="auto"/>
        </w:rPr>
        <w:t>. 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7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SECTION 1504. </w:t>
      </w:r>
      <w:r>
        <w:rPr>
          <w:rFonts w:ascii="Arial" w:cs="Arial" w:eastAsia="Arial" w:hAnsi="Arial"/>
          <w:sz w:val="16"/>
          <w:szCs w:val="16"/>
          <w:u w:val="single" w:color="auto"/>
          <w:color w:val="auto"/>
        </w:rPr>
        <w:t>Quorum; Action</w:t>
      </w:r>
      <w:r>
        <w:rPr>
          <w:rFonts w:ascii="Arial" w:cs="Arial" w:eastAsia="Arial" w:hAnsi="Arial"/>
          <w:sz w:val="16"/>
          <w:szCs w:val="16"/>
          <w:color w:val="auto"/>
        </w:rPr>
        <w:t xml:space="preserve">. The Persons entitled to vote a majority in principal amount of the Outstanding Securities of a series shall constitute a quorum for a meeting of Holders of Securities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after the time appointed for any such meeting, the meeting shall, if convened at the request of Holders of Securities of such series, be dissolved. In any other case the meeting may be adjourned for a period of not less than 10 calendar days as determined by the chairman of the meeting prior to the adjournment of such meeting. In the absence of a quorum at the reconvening of any such adjourned meeting, such adjourned meeting may be further adjourned for a period of not less than 10 calendar days; at the reconvening of any meeting adjourned or further adjourned for lack of a quorum, the Persons entitled to vote 25% in aggregate principal amount of the then Outstanding Securities shall constitute a quorum for the taking of any action set forth in the notice of the original meeting. Notice of the reconvening of any adjourned meeting shall be given as provided in Section 1502(a), except that such notice need be given only once not less than five calendar days prior to the date on which the meeting is scheduled to be reconvened.</w:t>
      </w:r>
    </w:p>
    <w:p>
      <w:pPr>
        <w:spacing w:after="0" w:line="16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Except as limited by the proviso to Section 902, any resolution presented to a meeting or adjourned meeting duly reconvened at which a quorum is present as aforesaid may be adopted by the affirmative vote of the Persons entitled to vote a majority in aggregate principal amount of the Outstanding Securities represented at such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212" w:name="page213"/>
    <w:bookmarkEnd w:id="212"/>
    <w:p>
      <w:pPr>
        <w:ind w:right="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4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Notwithstanding the foregoing provisions of this Section 1504, if any action is to be taken at a meeting of Holders of Securities of any series with respect to any request, demand, authorization, direction, notice, consent, waiver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79" w:lineRule="exact"/>
        <w:rPr>
          <w:sz w:val="20"/>
          <w:szCs w:val="20"/>
          <w:color w:val="auto"/>
        </w:rPr>
      </w:pPr>
    </w:p>
    <w:p>
      <w:pPr>
        <w:ind w:left="660" w:hanging="224"/>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117" w:lineRule="exact"/>
        <w:rPr>
          <w:rFonts w:ascii="Arial" w:cs="Arial" w:eastAsia="Arial" w:hAnsi="Arial"/>
          <w:sz w:val="18"/>
          <w:szCs w:val="18"/>
          <w:color w:val="auto"/>
        </w:rPr>
      </w:pPr>
    </w:p>
    <w:p>
      <w:pPr>
        <w:ind w:left="440" w:right="60" w:hanging="4"/>
        <w:spacing w:after="0" w:line="263" w:lineRule="auto"/>
        <w:tabs>
          <w:tab w:leader="none" w:pos="70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principal amount of the Outstanding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this Indenture.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1505. </w:t>
      </w:r>
      <w:r>
        <w:rPr>
          <w:rFonts w:ascii="Arial" w:cs="Arial" w:eastAsia="Arial" w:hAnsi="Arial"/>
          <w:sz w:val="18"/>
          <w:szCs w:val="18"/>
          <w:u w:val="single" w:color="auto"/>
          <w:color w:val="auto"/>
        </w:rPr>
        <w:t>Determination of Voting Rights; Conduct and Adjournment of Meetings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90" w:lineRule="auto"/>
        <w:tabs>
          <w:tab w:leader="none" w:pos="68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Notwithstanding any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65" w:lineRule="exact"/>
        <w:rPr>
          <w:rFonts w:ascii="Arial" w:cs="Arial" w:eastAsia="Arial" w:hAnsi="Arial"/>
          <w:sz w:val="16"/>
          <w:szCs w:val="16"/>
          <w:color w:val="auto"/>
        </w:rPr>
      </w:pPr>
    </w:p>
    <w:p>
      <w:pPr>
        <w:ind w:right="120" w:firstLine="436"/>
        <w:spacing w:after="0" w:line="301" w:lineRule="auto"/>
        <w:tabs>
          <w:tab w:leader="none" w:pos="69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57" w:lineRule="exact"/>
        <w:rPr>
          <w:rFonts w:ascii="Arial" w:cs="Arial" w:eastAsia="Arial" w:hAnsi="Arial"/>
          <w:sz w:val="16"/>
          <w:szCs w:val="16"/>
          <w:color w:val="auto"/>
        </w:rPr>
      </w:pPr>
    </w:p>
    <w:p>
      <w:pPr>
        <w:ind w:right="100" w:firstLine="436"/>
        <w:spacing w:after="0" w:line="259" w:lineRule="auto"/>
        <w:tabs>
          <w:tab w:leader="none" w:pos="68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At any meeting each Holder of a Security of such series or proxy shall be entitled to one vote for each $1,000 principal amount of the Outstanding Securities of such series held or represented by him;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86" w:lineRule="exact"/>
        <w:rPr>
          <w:rFonts w:ascii="Arial" w:cs="Arial" w:eastAsia="Arial" w:hAnsi="Arial"/>
          <w:sz w:val="18"/>
          <w:szCs w:val="18"/>
          <w:color w:val="auto"/>
        </w:rPr>
      </w:pPr>
    </w:p>
    <w:p>
      <w:pPr>
        <w:ind w:right="120" w:firstLine="436"/>
        <w:spacing w:after="0" w:line="263" w:lineRule="auto"/>
        <w:tabs>
          <w:tab w:leader="none" w:pos="69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8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SECTION 1506. </w:t>
      </w:r>
      <w:r>
        <w:rPr>
          <w:rFonts w:ascii="Arial" w:cs="Arial" w:eastAsia="Arial" w:hAnsi="Arial"/>
          <w:sz w:val="16"/>
          <w:szCs w:val="16"/>
          <w:u w:val="single" w:color="auto"/>
          <w:color w:val="auto"/>
        </w:rPr>
        <w:t>Counting Votes and Recording Action of Meetings</w:t>
      </w:r>
      <w:r>
        <w:rPr>
          <w:rFonts w:ascii="Arial" w:cs="Arial" w:eastAsia="Arial" w:hAnsi="Arial"/>
          <w:sz w:val="16"/>
          <w:szCs w:val="16"/>
          <w:color w:val="auto"/>
        </w:rPr>
        <w:t>. 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0"/>
          </w:cols>
          <w:pgMar w:left="440" w:top="274" w:right="479" w:bottom="1440" w:gutter="0" w:footer="0" w:header="0"/>
        </w:sectPr>
      </w:pPr>
    </w:p>
    <w:bookmarkStart w:id="213" w:name="page214"/>
    <w:bookmarkEnd w:id="21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persons having knowledge of the fact, setting forth a copy of the notice of the meeting and showing that said notice was given as provided in</w:t>
      </w:r>
    </w:p>
    <w:p>
      <w:pPr>
        <w:spacing w:after="0" w:line="3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SIXTEEN—SUBORDINATION OF SECURITIES</w:t>
      </w:r>
    </w:p>
    <w:p>
      <w:pPr>
        <w:spacing w:after="0" w:line="225" w:lineRule="exact"/>
        <w:rPr>
          <w:sz w:val="20"/>
          <w:szCs w:val="20"/>
          <w:color w:val="auto"/>
        </w:rPr>
      </w:pPr>
    </w:p>
    <w:p>
      <w:pPr>
        <w:jc w:val="both"/>
        <w:ind w:right="160"/>
        <w:spacing w:after="0" w:line="301" w:lineRule="auto"/>
        <w:rPr>
          <w:sz w:val="20"/>
          <w:szCs w:val="20"/>
          <w:color w:val="auto"/>
        </w:rPr>
      </w:pPr>
      <w:r>
        <w:rPr>
          <w:rFonts w:ascii="Arial" w:cs="Arial" w:eastAsia="Arial" w:hAnsi="Arial"/>
          <w:sz w:val="16"/>
          <w:szCs w:val="16"/>
          <w:color w:val="auto"/>
        </w:rPr>
        <w:t xml:space="preserve">SECTION 1601. </w:t>
      </w:r>
      <w:r>
        <w:rPr>
          <w:rFonts w:ascii="Arial" w:cs="Arial" w:eastAsia="Arial" w:hAnsi="Arial"/>
          <w:sz w:val="16"/>
          <w:szCs w:val="16"/>
          <w:u w:val="single" w:color="auto"/>
          <w:color w:val="auto"/>
        </w:rPr>
        <w:t>Agreement to Subordinate</w:t>
      </w:r>
      <w:r>
        <w:rPr>
          <w:rFonts w:ascii="Arial" w:cs="Arial" w:eastAsia="Arial" w:hAnsi="Arial"/>
          <w:sz w:val="16"/>
          <w:szCs w:val="16"/>
          <w:color w:val="auto"/>
        </w:rPr>
        <w:t>. Notwithstanding anything in this Indenture to the contrary (other than Article Four of this Indenture), the Company covenants and agrees, and each Holder of a Security, by his acceptance thereof, likewise covenants and agrees, that, to the extent and in the manner hereinafter set forth in this Article, the Indebtedness represented by the Securities and the payment of any Obligations with respect to each and all of the Securities are hereby expressly made subordinate and subject in right of payment to the prior payment in full of all Senior Indebtedness.</w:t>
      </w:r>
    </w:p>
    <w:p>
      <w:pPr>
        <w:spacing w:after="0" w:line="15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SECTION 1602. </w:t>
      </w:r>
      <w:r>
        <w:rPr>
          <w:rFonts w:ascii="Arial" w:cs="Arial" w:eastAsia="Arial" w:hAnsi="Arial"/>
          <w:sz w:val="17"/>
          <w:szCs w:val="17"/>
          <w:u w:val="single" w:color="auto"/>
          <w:color w:val="auto"/>
        </w:rPr>
        <w:t>Payment Over of Proceeds upon Dissolution, Etc</w:t>
      </w:r>
      <w:r>
        <w:rPr>
          <w:rFonts w:ascii="Arial" w:cs="Arial" w:eastAsia="Arial" w:hAnsi="Arial"/>
          <w:sz w:val="17"/>
          <w:szCs w:val="17"/>
          <w:color w:val="auto"/>
        </w:rPr>
        <w:t>. In the event of (a) any insolvency or bankruptcy case or Proceeding, or any receivership, liquidation, reorganization or other similar case or Proceeding in connection therewith, relative to the Company or to its creditors, as such, or to its assets, or (b) any liquidation, dissolution or other winding up of the Company, whether voluntary or involuntary and whether or not involving insolvency or bankruptcy, or (c) any assignment for the benefit of creditors or any other marshaling of assets and liabilities of the Company, then and in any such event specified in (a), (b) or (c) above (each such event, if any, herein sometimes referred to as a “Proceeding”)</w:t>
      </w:r>
    </w:p>
    <w:p>
      <w:pPr>
        <w:spacing w:after="0" w:line="176" w:lineRule="exact"/>
        <w:rPr>
          <w:sz w:val="20"/>
          <w:szCs w:val="20"/>
          <w:color w:val="auto"/>
        </w:rPr>
      </w:pPr>
    </w:p>
    <w:p>
      <w:pPr>
        <w:ind w:right="140" w:firstLine="436"/>
        <w:spacing w:after="0" w:line="257" w:lineRule="auto"/>
        <w:tabs>
          <w:tab w:leader="none" w:pos="69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holders of Senior Indebtedness shall first be entitled to receive payment in full of all Obligations due or to become due on or in respect of all Senior Indebtedness, or provision shall be made for such payment in cash or cash equivalents or otherwise in a manner satisfactory to the holders of Senior Indebtedness, before the Holders of the Securities are entitled to receive any payment or distribution on account of principal of or premium, if any, or interest on or other Obligations or on account of any purchase, redemption or other acquisition of Securities by the Company or any Subsidiary (individually and collectively, a “Securities Payment”), and</w:t>
      </w:r>
    </w:p>
    <w:p>
      <w:pPr>
        <w:spacing w:after="0" w:line="187" w:lineRule="exact"/>
        <w:rPr>
          <w:rFonts w:ascii="Arial" w:cs="Arial" w:eastAsia="Arial" w:hAnsi="Arial"/>
          <w:sz w:val="18"/>
          <w:szCs w:val="18"/>
          <w:color w:val="auto"/>
        </w:rPr>
      </w:pPr>
    </w:p>
    <w:p>
      <w:pPr>
        <w:ind w:firstLine="436"/>
        <w:spacing w:after="0" w:line="253" w:lineRule="auto"/>
        <w:tabs>
          <w:tab w:leader="none" w:pos="69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payment or distribution of assets of the Company of any kind or character, whether in cash, property or securities (other than Capital Stock or securities of the Company as reorganized or readjusted, or securities of the Company or any other corporation provided for by a plan of reorganization or readjustment, the payment of which is subordinate, at least to the extent provided in this Article Sixteen with respect to the Securities, to the payment in full, without diminution or modification by such plan, of all Senior Indebtedness), to which the Holders would be entitled except for the provisions of this Article Sixteen, shall be paid by the liquidating trustee or agent or other person making such a payment or distribution, directly to the holders of Senior Indebtedness) (or their representative(s) or trustee(s) acting on their behalf), ratably according to the aggregate amounts remaining unpaid on account of the principal of or interest on and other amounts due on the Senior Indebtedness held or represented by each, to the extent necessary to make payment in full of all Senior Indebtedness remaining unpaid, after giving effect to any concurrent payment or distribution to the holders of such Senior Indebtedness.</w:t>
      </w:r>
    </w:p>
    <w:p>
      <w:pPr>
        <w:spacing w:after="0" w:line="1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event that, notwithstanding the foregoing provisions of this Section 1602, the Trustee or the Holder of any Security shall have received any payment or distribution of assets of the Company of any kind or character, whether in cash, property or securities (other than Capital Stock or securities of the Company as reorganized or readjusted, or securities of the Company or any other corporation provided for by a plan of reorganization or readjustment, the payment of which is subordinate, at least to the extent provided in this Article with respect to the Securities, to the payment in full, without diminution or modification by such plan, of Senior Indebtedness), before all Senior Indebtedness is paid in full or payment thereof provided for in cash or cash equivalents or otherwise in a manner satisfactory to the holders of Senior Indebtedness, such payment or distribution shall be held in trust for the benefit of, and be paid over to, the holders of the Senior Indebtedness remaining unpaid (or their representative(s) or trustee(s) acting on their behalf), ratably as aforesaid, for application to the payment of such Senior Indebtedness until such Senior Indebtedness shall have been paid in full, after giving effect to any concurrent payment or distribution to the holders of such Senior Indebtedness.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214" w:name="page215"/>
    <w:bookmarkEnd w:id="214"/>
    <w:p>
      <w:pPr>
        <w:ind w:right="1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consolidation of the Company with, or the merger of the Company into, another Person or the liquidation or dissolution of the Company following the conveyance or transfer its properties and assets as an entirety to another Person upon the terms and conditions set forth in Article Eight shall not be deemed a Proceeding for the purposes of this Section 1602 if the Person formed by such consolidation or into which the Company is merged or the Person which acquires by conveyance or transfer such properties and assets as an entirety, as the case may be, shall, as a part of such consolidation, merger, conveyance or transfer, comply with the conditions set forth in Article Eight.</w:t>
      </w:r>
    </w:p>
    <w:p>
      <w:pPr>
        <w:spacing w:after="0" w:line="17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SECTION 1603. </w:t>
      </w:r>
      <w:r>
        <w:rPr>
          <w:rFonts w:ascii="Arial" w:cs="Arial" w:eastAsia="Arial" w:hAnsi="Arial"/>
          <w:sz w:val="17"/>
          <w:szCs w:val="17"/>
          <w:u w:val="single" w:color="auto"/>
          <w:color w:val="auto"/>
        </w:rPr>
        <w:t>No Payment When Senior Indebtedness in Default</w:t>
      </w:r>
      <w:r>
        <w:rPr>
          <w:rFonts w:ascii="Arial" w:cs="Arial" w:eastAsia="Arial" w:hAnsi="Arial"/>
          <w:sz w:val="17"/>
          <w:szCs w:val="17"/>
          <w:color w:val="auto"/>
        </w:rPr>
        <w:t>. Anything in this Indenture to the contrary notwithstanding, no payment on account of principal of or redemption of, interest on or other amounts due on the Securities, and no redemption, purchase, or other acquisition of the Securities, shall be made by or on behalf of the Company (i) unless full payment of amounts then due for principal and interest and of all other obligations then due on all Senior Indebtedness has been made or duly provided for pursuant to the terms of the instrument governing such Senior Indebtedness, (ii) if, at the time of such payment, redemption, purchase or other acquisition, or immediately after giving effect thereto, there shall exist under any Senior Indebtedness, or any agreement pursuant to which any Senior Indebtedness is issued, any default, which default shall not have been cured or waived and which default shall have resulted in the full amount of such Senior Indebtedness being declared due and payable or (iii) if, at the time of such payment, redemption, purchase or other acquisition, the Trustee shall have received written notice from the holder or holders of any Senior Indebtedness or their representative or representatives (a “Payment Blockage Notice”) that there exists under such Senior Indebtedness, or any agreement pursuant to which such Senior Indebtedness is issued, any default, which default shall not have been cured or waived, permitting the holders thereof to declare the full amount of such Senior Indebtedness due and payable, but only for the period (the “Payment Blockage Period”) commencing on the date of receipt of the Payment Blockage Notice and ending (unless earlier terminated by notice given to the Trustee by the Holders of such Senior Indebtedness) on the earlier of (A) the date on which such event of default shall have been cured or waived or (B) 180 days from the receipt of the Payment Blockage Notice. Upon termination of a Payment Blockage Period, payments on account of principal of or interest on the Securities and redemptions, purchases or other acquisitions may be made by or on behalf of the Company. Notwithstanding anything herein to the contrary, (A) only one Payment Blockage Notice may be given during any period of 360 consecutive days with respect to the same event of default and any other events of default on the same issue of Senior Indebtedness existing and known to the person giving such notice at the time of such notice and (B) no new Payment Blockage Period may be commenced by the holder or holders of the same issue of Senior Indebtedness or their representative or representatives during any period of 360 consecutive days unless all events of default which were the object of the immediately preceding Payment Blockage Notice, and any other event of default on the same issue of Senior Indebtedness existing and known to the person giving such notice at the time of such notice, have been cured or waived.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In the event that, notwithstanding the provisions of this Section 1603, payments are made by or on behalf of the Company in contravention</w:t>
      </w:r>
    </w:p>
    <w:p>
      <w:pPr>
        <w:spacing w:after="0" w:line="3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Section 1603, such payments shall be held by the Trustee, any Paying Agent or the Holders, as applicable, in trust for the benefit of, and shall be paid over to and delivered to, the holders of Senior Indebtedness or their representative or the trustee under the indenture or other agreement (if any), pursuant to which any instruments evidencing any Senior Indebtedness may have been issued, as their respective interests may appear, for application to the payment of all Senior Indebtedness remaining unpaid to the extent necessary to pay all Senior Indebtedness in full such Senior Indebtedness, after giving effect to any concurrent payment or distribution to or for the holders of Senior Indebtedness.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this Section shall not apply to any payment with respect to which Section 1602 would be applicable.</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SECTION 1604. </w:t>
      </w:r>
      <w:r>
        <w:rPr>
          <w:rFonts w:ascii="Arial" w:cs="Arial" w:eastAsia="Arial" w:hAnsi="Arial"/>
          <w:sz w:val="17"/>
          <w:szCs w:val="17"/>
          <w:u w:val="single" w:color="auto"/>
          <w:color w:val="auto"/>
        </w:rPr>
        <w:t>Reliance by Senior Indebtedness on Subordination Provisions</w:t>
      </w:r>
      <w:r>
        <w:rPr>
          <w:rFonts w:ascii="Arial" w:cs="Arial" w:eastAsia="Arial" w:hAnsi="Arial"/>
          <w:sz w:val="17"/>
          <w:szCs w:val="17"/>
          <w:color w:val="auto"/>
        </w:rPr>
        <w:t>. Each Holder of any Security by his acceptance thereof acknowledges and agrees that the foregoing subordination provisions are, and are intended to be, an inducement and a consideration for each holder of any Senior Indebtedness, whether such Senior Indebtedness was created or acquired before or after the issuance of the Securities, to acquire and continue to hold, or to continue to hold, such Senior Indebtedness, and such holder of Senior Indebtedness shall be deemed conclusively to have relied on such subordination provisions in acquiring and continuing to hold or in continuing to hold such Senior Indebtedness.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215" w:name="page216"/>
    <w:bookmarkEnd w:id="215"/>
    <w:p>
      <w:pPr>
        <w:ind w:right="1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1605. </w:t>
      </w:r>
      <w:r>
        <w:rPr>
          <w:rFonts w:ascii="Arial" w:cs="Arial" w:eastAsia="Arial" w:hAnsi="Arial"/>
          <w:sz w:val="17"/>
          <w:szCs w:val="17"/>
          <w:u w:val="single" w:color="auto"/>
          <w:color w:val="auto"/>
        </w:rPr>
        <w:t>Subrogation to Rights of Holders of Senior Indebtedness</w:t>
      </w:r>
      <w:r>
        <w:rPr>
          <w:rFonts w:ascii="Arial" w:cs="Arial" w:eastAsia="Arial" w:hAnsi="Arial"/>
          <w:sz w:val="17"/>
          <w:szCs w:val="17"/>
          <w:color w:val="auto"/>
        </w:rPr>
        <w:t>. Subject to the payment in full of all Obligations due or to become due on or in respect of Senior Indebtedness, or the provision for such payment in cash or cash equivalents or otherwise in a manner satisfactory to the holders of Senior Indebtedness, the Holders of the Securities shall be subrogated to the extent of the payments or distributions made to the holders of such Senior Indebtedness pursuant to the provisions of this Article Sixteen to the rights of the holders of such Senior Indebtedness to receive payments and distributions of cash, property and securities applicable to the Senior Indebtedness until the principal of and premium, if any, and interest on the Securities shall be paid in full. For purposes of such subrogation, no payments or distributions to the holders of the Senior Indebtedness of any cash, property or securities to which the Holders of the Securities or the Trustee would be entitled except for the provisions of this Article Sixteen, and no payments over pursuant to the provisions of this Article Sixteen to the holders of Senior Indebtedness by Holders of the Securities or the Trustee, shall, as among the Company, its creditors other than holders of Senior Indebtedness and the Holders of the Securities, be deemed to be a payment or distribution by the Company to or on account of the Senior Indebtedness.</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SECTION 1606. </w:t>
      </w:r>
      <w:r>
        <w:rPr>
          <w:rFonts w:ascii="Arial" w:cs="Arial" w:eastAsia="Arial" w:hAnsi="Arial"/>
          <w:sz w:val="17"/>
          <w:szCs w:val="17"/>
          <w:u w:val="single" w:color="auto"/>
          <w:color w:val="auto"/>
        </w:rPr>
        <w:t>Provisions Solely to Define Relative Rights</w:t>
      </w:r>
      <w:r>
        <w:rPr>
          <w:rFonts w:ascii="Arial" w:cs="Arial" w:eastAsia="Arial" w:hAnsi="Arial"/>
          <w:sz w:val="17"/>
          <w:szCs w:val="17"/>
          <w:color w:val="auto"/>
        </w:rPr>
        <w:t>. The provisions of this Article Sixteen are and are intended solely for the purpose of defining the relative rights on the one hand and the holders of Senior Indebtedness on the other hand. Nothing contained in this Article or elsewhere in this Indenture or in the Securities is intended to or shall (a) impair, as among the Company, its creditors other than holders of Senior Indebtedness and the Holders of the Securities, the obligation of the Company, which is absolute and unconditional (and which, subject to the rights under this Article Sixteen of the holders of Senior Indebtedness, is intended to rank equally with all other general obligations of the Company), to pay to the Holders of the Securities the principal of and premium, if any, and interest on the Securities as and when the same shall become due and payable in accordance with their terms; or (b) affect the relative rights against the Company of the Holders of the Securities and creditors of the Company other than the holders of Senior Indebtedness; or (c) prevent the Trustee or the Holder of any Security from exercising all remedies otherwise permitted by applicable law upon default under this Indenture, subject to the rights, if any, under this Article of the holders of Senior Indebtedness to receive cash, property and securities otherwise payable or deliverable to the Trustee or such Holder.</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SECTION 1607. </w:t>
      </w:r>
      <w:r>
        <w:rPr>
          <w:rFonts w:ascii="Arial" w:cs="Arial" w:eastAsia="Arial" w:hAnsi="Arial"/>
          <w:sz w:val="16"/>
          <w:szCs w:val="16"/>
          <w:u w:val="single" w:color="auto"/>
          <w:color w:val="auto"/>
        </w:rPr>
        <w:t>Trustee to Effectuate Subordination</w:t>
      </w:r>
      <w:r>
        <w:rPr>
          <w:rFonts w:ascii="Arial" w:cs="Arial" w:eastAsia="Arial" w:hAnsi="Arial"/>
          <w:sz w:val="16"/>
          <w:szCs w:val="16"/>
          <w:color w:val="auto"/>
        </w:rPr>
        <w:t>. Each Holder of a Security by his acceptance thereof authorizes and directs the Trustee on his behalf to take such action as may be necessary or appropriate to effectuate, as between the Holders of the Securities and the holders of Senior Indebtedness, the subordination provided in this Article Sixteen and appoints the Trustee his attorney-in-fact for any and all such purposes, including, in the event of any dissolution, winding up or liquidation or reorganization under any applicable bankruptcy law of the Company (whether in bankruptcy, insolvency or receivership Proceedings or otherwise), the timely filing of a claim for the unpaid balance of such Holder’s Securities in the form required in such Proceedings and the causing of such claim to be approved. If the Trustee does not file a claim or proof of debt in the form required in such Proceedings prior to 30 days before the expiration of the time to file such claims or proofs, then the holders of Senior Indebtedness, jointly, or their representatives shall have the right to file an appropriate claim for and on behalf of the Holders and to demand, sue for, collect, receive and receipt for the payments and distributions in respect of the Securities which are required to be paid or delivered to the holders of Senior Indebtedness as provided in this Article Sixteen and to take all such other action in the name of the Holders or otherwise, as such holder of Senior Indebtedness or representative thereof may determine to be necessary or appropriate for the enforcement of the provisions of this Article Sixteen.</w:t>
      </w:r>
    </w:p>
    <w:p>
      <w:pPr>
        <w:spacing w:after="0" w:line="17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 xml:space="preserve">SECTION 1608. </w:t>
      </w:r>
      <w:r>
        <w:rPr>
          <w:rFonts w:ascii="Arial" w:cs="Arial" w:eastAsia="Arial" w:hAnsi="Arial"/>
          <w:sz w:val="16"/>
          <w:szCs w:val="16"/>
          <w:u w:val="single" w:color="auto"/>
          <w:color w:val="auto"/>
        </w:rPr>
        <w:t>No Waiver of Subordination Provisions</w:t>
      </w:r>
      <w:r>
        <w:rPr>
          <w:rFonts w:ascii="Arial" w:cs="Arial" w:eastAsia="Arial" w:hAnsi="Arial"/>
          <w:sz w:val="16"/>
          <w:szCs w:val="16"/>
          <w:color w:val="auto"/>
        </w:rPr>
        <w:t>. No right of any present or future holder of any Senior Indebtedness to enforce subordination as herein provided shall at any time in any way be prejudiced or impaired by any act or failure to act on the part of the Company or by any act or failure to act, in good faith, by any such holder or any representative or trustee therefor, or by any non-compliance by the Company with the terms, provisions and covenants of this Indenture, regardless of any knowledge thereof any such holder may have or be otherwise charged with.</w:t>
      </w:r>
    </w:p>
    <w:p>
      <w:pPr>
        <w:spacing w:after="0" w:line="15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Without in any way limiting the generality of the foregoing paragraph, the holders of Senior Indebtedness may, at any time from time to time, without the consent of or notice to the Trustee or the Holders of the Securities, without incurring responsibility to the Holders of the Securities and without impairing or releasing the subordination provided in this Article Sixteen or the obligations hereunder of the Holders of the Securities to the holders of Senior Indebtedness, do any one or more of the following: (i) change the manner, place or terms of payment or extend the time of payment of, or renew or alter, Senior Indebtedness, or otherwise amend or supplement in any manner Senior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216" w:name="page217"/>
    <w:bookmarkEnd w:id="216"/>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or any instrument evidencing the same or any agreement under which Senior Indebtedness is outstanding; (ii) sell, exchange, release or otherwise deal with any property pledged, mortgaged or otherwise securing Senior Indebtedness; (iii) release any Person liable in any manner for the collection of Senior Indebtedness and settle or compromise Senior Indebtedness (which, to the extent so settled and compromised, shall be deemed to have been paid in full for all purposes hereof); (iv) apply any amounts received to any liability of the Company owing to holders of Senior Indebtedness; and (v) exercise or refrain from exercising any rights against the Company and any other Person.</w:t>
      </w:r>
    </w:p>
    <w:p>
      <w:pPr>
        <w:spacing w:after="0" w:line="17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SECTION 1609. </w:t>
      </w:r>
      <w:r>
        <w:rPr>
          <w:rFonts w:ascii="Arial" w:cs="Arial" w:eastAsia="Arial" w:hAnsi="Arial"/>
          <w:sz w:val="17"/>
          <w:szCs w:val="17"/>
          <w:u w:val="single" w:color="auto"/>
          <w:color w:val="auto"/>
        </w:rPr>
        <w:t>Notice to Trustee</w:t>
      </w:r>
      <w:r>
        <w:rPr>
          <w:rFonts w:ascii="Arial" w:cs="Arial" w:eastAsia="Arial" w:hAnsi="Arial"/>
          <w:sz w:val="17"/>
          <w:szCs w:val="17"/>
          <w:color w:val="auto"/>
        </w:rPr>
        <w:t xml:space="preserve">. The Company shall give prompt written notice to the Trustee of any default or event of default with respect to any Senior Indebtedness or of any fact known to the Company which would prohibit the making of any payment to or by the Trustee pursuant to the provisions of this Article Sixteen. Notwithstanding the provisions of this Article Sixteen or any other provision of this Indenture, the Trustee shall not be charged with knowledge of the existence of any facts which would prohibit the making of any payment to or by the Trustee in respect of the Securities, unless and until the Trustee shall have received written notice thereof from the Company or a holder of Senior Indebtedness or from any representative or trustee acting on their behalf; and, prior to the receipt of any such written notice, the Trustee, subject to the provisions of Section 612, shall be entitled in all respects to assume that no such facts exist;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Trustee shall not have received the notice provided for in this Section at least three Business Days prior to the date upon which by the terms hereof any money may become payable for any purpose (including, without limitation, the payment of the principal of and premium, if any, or interest on any Security),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within three Business Days prior to such date. Nothing contained in this Article Sixteen or any other Article of this Indenture or in any of the Securities shall prevent (a) the Company, at any time except during the pendency of any Proceeding, or under the conditions described in Section 1603, from making payments at any time in respect of the Securities, or (b) the application by the Trustee of any money deposited with it hereunder to the payment of or on account of the Securities, or the retention thereof by any Holder, if the Trustee did not have notice, as provided in this Section 1609, that such payment would have been prohibited by the provisions of this Article Sixteen.</w:t>
      </w:r>
    </w:p>
    <w:p>
      <w:pPr>
        <w:spacing w:after="0" w:line="1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Subject to the provisions of Section 612, the Trustee shall be entitled to rely on the delivery to it of a written notice by a Person representing himself to be a holder of Senior Indebtedness (or a representative or trustee therefor) to establish that such notice has been given by a holder of Senior Indebtedness (or a trustee therefor). In the event that the Trustee determines in good faith that further evidence is required with respect to the right of any Person as a holder of Senior Indebtedness to participate in any payment or distribution pursuant to this Article Sixteen,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Sixteen, and if such evidence is not furnished, the Trustee may defer any payment to such Person pending judicial determination as to the right of such Person to receive such payment.</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SECTION 1610. </w:t>
      </w:r>
      <w:r>
        <w:rPr>
          <w:rFonts w:ascii="Arial" w:cs="Arial" w:eastAsia="Arial" w:hAnsi="Arial"/>
          <w:sz w:val="18"/>
          <w:szCs w:val="18"/>
          <w:u w:val="single" w:color="auto"/>
          <w:color w:val="auto"/>
        </w:rPr>
        <w:t>Reliance on Judicial Order or Certificate of Liquidating Agent</w:t>
      </w:r>
      <w:r>
        <w:rPr>
          <w:rFonts w:ascii="Arial" w:cs="Arial" w:eastAsia="Arial" w:hAnsi="Arial"/>
          <w:sz w:val="18"/>
          <w:szCs w:val="18"/>
          <w:color w:val="auto"/>
        </w:rPr>
        <w:t>. Upon any payment or distribution of assets of the Company referred to in this Article Sixteen, the TrusteeSection 612, and the Holders of the Securities shall be entitled to rely upon any order or decree entered by any court of competent jurisdiction in which any Proceeding is pending, or a certificate of the trustee in bankruptcy, receiver, liquidating 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the Senior Indebtedness and other indebtedness of the Company, the amount thereof or payable thereon, the amount or amounts paid or distributed thereon and all other facts pertinent thereto or to this Article.</w:t>
      </w:r>
    </w:p>
    <w:p>
      <w:pPr>
        <w:spacing w:after="0" w:line="19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SECTION 1611. </w:t>
      </w:r>
      <w:r>
        <w:rPr>
          <w:rFonts w:ascii="Arial" w:cs="Arial" w:eastAsia="Arial" w:hAnsi="Arial"/>
          <w:sz w:val="18"/>
          <w:szCs w:val="18"/>
          <w:u w:val="single" w:color="auto"/>
          <w:color w:val="auto"/>
        </w:rPr>
        <w:t>Trustee Not Fiduciary for Holders of Senior Indebtedness</w:t>
      </w:r>
      <w:r>
        <w:rPr>
          <w:rFonts w:ascii="Arial" w:cs="Arial" w:eastAsia="Arial" w:hAnsi="Arial"/>
          <w:sz w:val="18"/>
          <w:szCs w:val="18"/>
          <w:color w:val="auto"/>
        </w:rPr>
        <w:t>. The Trustee shall not be deemed to owe any fiduciary duty to the holders of Senior Indebtedness. Nothing contained in this Article Sixteen or elsewhere in this Indenture, or in any of the Securities, shall prevent the application by the Trustee of any moneys which were deposited with it hereunder, prior to its receipt of written notice of facts which would prohibit such application, for the purpose of the payment of or on account of the principal of or interest on, the Securities unless, prior to the date on which such application is made by the Trustee, the Trustee shall be charged with notice under Section 1609 hereof of the facts which would prohibit the making of such application.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217" w:name="page218"/>
    <w:bookmarkEnd w:id="217"/>
    <w:p>
      <w:pPr>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1612. </w:t>
      </w:r>
      <w:r>
        <w:rPr>
          <w:rFonts w:ascii="Arial" w:cs="Arial" w:eastAsia="Arial" w:hAnsi="Arial"/>
          <w:sz w:val="17"/>
          <w:szCs w:val="17"/>
          <w:u w:val="single" w:color="auto"/>
          <w:color w:val="auto"/>
        </w:rPr>
        <w:t>Rights of Trustee as Holder of Senior Indebtedness; Preservation of Trustee’s Rights</w:t>
      </w:r>
      <w:r>
        <w:rPr>
          <w:rFonts w:ascii="Arial" w:cs="Arial" w:eastAsia="Arial" w:hAnsi="Arial"/>
          <w:sz w:val="17"/>
          <w:szCs w:val="17"/>
          <w:color w:val="auto"/>
        </w:rPr>
        <w:t>. The Trustee in its individual capacity shall be entitled to all the rights set forth in this Article Sixteen with respect to any Senior Indebtedness which may at any time be held by it, to the same extent as any other holder of Senior Indebtedness, and nothing in this Indenture shall deprive the Trustee of any of its rights as such holder. Nothing in this Article shall apply to claims of, or payments to, the Trustee under or pursuant to Section 606.</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SECTION 1613. </w:t>
      </w:r>
      <w:r>
        <w:rPr>
          <w:rFonts w:ascii="Arial" w:cs="Arial" w:eastAsia="Arial" w:hAnsi="Arial"/>
          <w:sz w:val="18"/>
          <w:szCs w:val="18"/>
          <w:u w:val="single" w:color="auto"/>
          <w:color w:val="auto"/>
        </w:rPr>
        <w:t>Article Applicable to Paying Agents</w:t>
      </w:r>
      <w:r>
        <w:rPr>
          <w:rFonts w:ascii="Arial" w:cs="Arial" w:eastAsia="Arial" w:hAnsi="Arial"/>
          <w:sz w:val="18"/>
          <w:szCs w:val="18"/>
          <w:color w:val="auto"/>
        </w:rPr>
        <w:t xml:space="preserve">. In case at any time any Paying Agent other than the Trustee shall have been appointed by the Company and be then acting hereunder, the term “Trustee” as used in this Article Sixteen shall in such case (unless the context otherwise requires) be construed as extending to and including such Paying Agent within its meaning as fully for all intents and purposes as if such Paying Agent were named in this Article the Trustee;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Section 1612 shall not apply to the Company or any Affiliate of the Company if it or such Affiliate acts as Paying Agent.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SEVENTEEN—CONVERSION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1701. </w:t>
      </w:r>
      <w:r>
        <w:rPr>
          <w:rFonts w:ascii="Arial" w:cs="Arial" w:eastAsia="Arial" w:hAnsi="Arial"/>
          <w:sz w:val="16"/>
          <w:szCs w:val="16"/>
          <w:u w:val="single" w:color="auto"/>
          <w:color w:val="auto"/>
        </w:rPr>
        <w:t>Applicability of Article; Conversion Privilege and Conversion Price</w:t>
      </w:r>
      <w:r>
        <w:rPr>
          <w:rFonts w:ascii="Arial" w:cs="Arial" w:eastAsia="Arial" w:hAnsi="Arial"/>
          <w:sz w:val="16"/>
          <w:szCs w:val="16"/>
          <w:color w:val="auto"/>
        </w:rPr>
        <w:t>. Securities of any series which are convertible shall be convertible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their terms and (except as otherwise specified as contemplated by Section 301 for Securities of any series) in accordance with this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Article Seventeen. Subject to and upon compliance with the provisions of this Article Seventeen, at any time during the period specified in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Securities, at the option of the Holder thereof, any Security or any portion of the principal amount thereof which is $1,000 or an integral multiple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 may be converted at the principal amount thereof, or of such portion thereof, into fully paid and nonassessable Ordinary Shares (calculated as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conversion to the nearest 1/100 of a share) of the Company, at the Conversion Price, determined as hereinafter provided, in effect at the time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conversion. In case a Security or portion thereof is called for redemption, such conversion right in respect of the Security or portion so called shall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expire at the close of business on the Business Day immediately preceding the Redemption Date, unless the Company defaults in making the payment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upon redemption, in which case such conversion right shall terminate on the date such default is cured.</w:t>
      </w:r>
    </w:p>
    <w:p>
      <w:pPr>
        <w:spacing w:after="0" w:line="211"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The price at which Ordinary Shares shall be delivered upon conversion (herein called the “Conversion Price”) of Securities of any series shall be specified in such Securities. The Conversion Price shall be adjusted in certain instances as provided in Section 1704.</w:t>
      </w:r>
    </w:p>
    <w:p>
      <w:pPr>
        <w:spacing w:after="0" w:line="14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In case the Company shall, by dividend or otherwise, declare or make a distribution on its Ordinary Shares referred to in paragraph (4) of Section 1704, the Holder of each Security, upon the conversion thereof pursuant to this Article Seventeen subsequent to the close of business on the date fixed for the determination of shareholders entitled to receive such distribution and prior to the effectiveness of the Conversion Price adjustment in respect of such distribution pursuant to paragraph (4) of Section 1704, shall be entitled to receive for each Ordinary Share into which such Security is converted, the portion of the evidence of indebtedness, Share Capital or assets so distributed applicable to one Ordinary Share;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the election of the Company (whose election shall be evidenced by a Board Resolution filed with the Trustee) with respect to all Holders so converting, the Company may, in lieu of distributing to such Holder any portion of such distribution not consisting of cash or securities of the Company, pay such Holder an amount in cash equal to the fair market value thereof (as determined in good faith by the Board of Directors, whose determination shall be conclusive and described in a Board Resolution filed with the Trustee). If any conversion of a Security entitled to the benefits described in the immediately preceding sentence occurs prior to the payment date for a distribution to holders of Ordinary Shares which the Holder of the Security so converted is entitled to receive in accordance with the immediately preceding sentence, the Company may elect (such election to be evidenced by a Board Resolution filed with the Trustee) to distribute to such Holder a due bill for the evidences of indebtedness, Share Capital or assets to which such Holder is so entitled, provided that such due bill (i) meets any applicable requirements of the principal over-the-counter market or national securities exchange or other market on which the Ordinary Share is then traded, and (ii) requires payment or delivery of such evidences of indebtedness or assets no later than the date of payment or delivery thereof to holders of Ordinary Shares receiving such distribution.</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60"/>
          </w:cols>
          <w:pgMar w:left="440" w:top="274" w:right="499" w:bottom="1440" w:gutter="0" w:footer="0" w:header="0"/>
        </w:sectPr>
      </w:pPr>
    </w:p>
    <w:bookmarkStart w:id="218" w:name="page219"/>
    <w:bookmarkEnd w:id="218"/>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1702. </w:t>
      </w:r>
      <w:r>
        <w:rPr>
          <w:rFonts w:ascii="Arial" w:cs="Arial" w:eastAsia="Arial" w:hAnsi="Arial"/>
          <w:sz w:val="16"/>
          <w:szCs w:val="16"/>
          <w:u w:val="single" w:color="auto"/>
          <w:color w:val="auto"/>
        </w:rPr>
        <w:t>Exercise of Conversion Privilege</w:t>
      </w:r>
      <w:r>
        <w:rPr>
          <w:rFonts w:ascii="Arial" w:cs="Arial" w:eastAsia="Arial" w:hAnsi="Arial"/>
          <w:sz w:val="16"/>
          <w:szCs w:val="16"/>
          <w:color w:val="auto"/>
        </w:rPr>
        <w:t>. In order to exercise the conversion privilege, the Holder of any Security to be converted shall surrender such Security, duly endorsed or assigned to the Company or in blank, at any office or agency maintained by the Company pursuant to Section 1002, accompanied by written notice to the Company at such office or agency that the Holder elects to convert such Security or, if less than the entire principal amount thereof is to be converted, the portion thereof to be converted and shall comply with any additional requirements set forth in such Security. Securities surrendered for conversion during the period from the close of business on any Regular Record Date next preceding any Interest Payment Date to the opening of business on such Interest Payment Date shall (except for Securities the Maturity of which is prior to such Interest Payment Date) be accompanied by payment in funds acceptable to the Company of an amount equal to the interest payable on such Interest Payment Date on the principal amount of Securities being surrendered for conversion and such interest shall be paid on such Interest Payment Date as provided in Section 307. Except as provided in the preceding sentence, no payment or adjustment shall be made upon any conversion on account of any interest accrued on the Securities surrendered for conversion or on account of any dividends on the Ordinary Shares issued upon conversion.</w:t>
      </w:r>
    </w:p>
    <w:p>
      <w:pPr>
        <w:spacing w:after="0" w:line="1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delivery to the Holder of the fixed number of Ordinary Shares of the Company (and any cash in lieu of any fractional Ordinary Shares) into which the Security is convertible shall be deemed to satisfy the Company’s obligation to pay the principal amount of the Security and all accrued interest and original issue discount that has not previously been paid. The Ordinary Shares of the Company so delivered shall be treated as issued first in payment of accrued interest and original issue discount and then in payment of principal. Thus, accrued interest and original issue discount shall be treated as paid, rather than canceled, extinguished or forfeited.</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Securities shall be deemed to have been converted immediately prior to the close of business on the day of surrender of such Securities for conversion in accordance with the foregoing provisions, and at such time the rights of the Holders of such Securities as Holders shall cease, and the Person or Persons entitled to receive the Ordinary Shares issuable upon conversion shall be treated for all purposes as the record holder or holders of such Ordinary Shares at such time. As promptly as practicable on or after the conversion date, the Company shall issue and shall deliver at such office or agency a certificate or certificates for the number of full Ordinary Shares issuable upon conversion, together with payment in lieu of any fraction of a share, as provided in Section 1703.</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case of any Security which is converted in part only, as promptly as practicable on or after the conversion date the Company shall execute and the Trustee shall authenticate and make available for delivery to the Holder thereof (or the Depositary in the case of a Global Security), at the expense of the Company, a new Security or Securities, of authorized denominations in aggregate principal amount equal to the unconverted portion of the principal amount of such Security.</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SECTION 1703. </w:t>
      </w:r>
      <w:r>
        <w:rPr>
          <w:rFonts w:ascii="Arial" w:cs="Arial" w:eastAsia="Arial" w:hAnsi="Arial"/>
          <w:sz w:val="16"/>
          <w:szCs w:val="16"/>
          <w:u w:val="single" w:color="auto"/>
          <w:color w:val="auto"/>
        </w:rPr>
        <w:t>Fractions of Shares</w:t>
      </w:r>
      <w:r>
        <w:rPr>
          <w:rFonts w:ascii="Arial" w:cs="Arial" w:eastAsia="Arial" w:hAnsi="Arial"/>
          <w:sz w:val="16"/>
          <w:szCs w:val="16"/>
          <w:color w:val="auto"/>
        </w:rPr>
        <w:t>. No fractional Ordinary Shares shall be issued upon conversion of Securities. If more than one Security shall be surrendered for conversion at one time by the same Holder, the number of full Ordinary Shares which shall be issuable upon conversion thereof shall be computed on the basis of the aggregate principal amount of the Securities (or specified portions thereof) so surrendered. Instead of any fractional Ordinary Shares which would otherwise be issuable upon conversion of any Security or Securities (or specified portions thereof), the Company shall pay a cash adjustment (rounded to the nearest cent) in respect of such fraction in an amount equal to the same fraction of the Closing Price per American Depositary Share on the day of conversion (or, if such day is not a Trading Day, on the Trading Day immediately preceding such day).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1704. </w:t>
      </w:r>
      <w:r>
        <w:rPr>
          <w:rFonts w:ascii="Arial" w:cs="Arial" w:eastAsia="Arial" w:hAnsi="Arial"/>
          <w:sz w:val="18"/>
          <w:szCs w:val="18"/>
          <w:u w:val="single" w:color="auto"/>
          <w:color w:val="auto"/>
        </w:rPr>
        <w:t>Adjustment of Conversion Price</w:t>
      </w:r>
      <w:r>
        <w:rPr>
          <w:rFonts w:ascii="Arial" w:cs="Arial" w:eastAsia="Arial" w:hAnsi="Arial"/>
          <w:sz w:val="18"/>
          <w:szCs w:val="18"/>
          <w:color w:val="auto"/>
        </w:rPr>
        <w:t>. The Conversion Price shall be subject to adjustment from time to time as follows:</w:t>
      </w:r>
    </w:p>
    <w:p>
      <w:pPr>
        <w:spacing w:after="0" w:line="117" w:lineRule="exact"/>
        <w:rPr>
          <w:sz w:val="20"/>
          <w:szCs w:val="20"/>
          <w:color w:val="auto"/>
        </w:rPr>
      </w:pPr>
    </w:p>
    <w:p>
      <w:pPr>
        <w:jc w:val="both"/>
        <w:ind w:right="100" w:firstLine="436"/>
        <w:spacing w:after="0" w:line="275" w:lineRule="auto"/>
        <w:tabs>
          <w:tab w:leader="none" w:pos="695" w:val="left"/>
        </w:tabs>
        <w:numPr>
          <w:ilvl w:val="0"/>
          <w:numId w:val="196"/>
        </w:numPr>
        <w:rPr>
          <w:rFonts w:ascii="Arial" w:cs="Arial" w:eastAsia="Arial" w:hAnsi="Arial"/>
          <w:sz w:val="17"/>
          <w:szCs w:val="17"/>
          <w:color w:val="auto"/>
        </w:rPr>
      </w:pPr>
      <w:r>
        <w:rPr>
          <w:rFonts w:ascii="Arial" w:cs="Arial" w:eastAsia="Arial" w:hAnsi="Arial"/>
          <w:sz w:val="17"/>
          <w:szCs w:val="17"/>
          <w:color w:val="auto"/>
        </w:rPr>
        <w:t>If the Company pays or makes a dividend or other distribution (a) on its Ordinary Shares exclusively in Ordinary Shares or (b) on any other class of Share Capital of the Company, which dividend or distribution includes Ordinary Shares of the Company, the Conversion Price in effect at the opening of business on the day following the date fixed for the determination of shareholders entitled to receive such dividend or other distribution (the “Dividend Record Date”) shall be reduced by multiplying such Conversion Price by a fraction of which the numerator shall be the number of shares of Ordinary Shares of the Company outstanding at the close of business on the Dividend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219" w:name="page220"/>
    <w:bookmarkEnd w:id="219"/>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Record Date and the denominator shall be the sum of such number of shares and the total number of shares constituting such dividend or other distribution. Such reduction shall become effective immediately after the opening of business on the day following the date fixed for such determination. For the purposes of this paragraph (1), the number of Ordinary Shares of the Company at any time outstanding shall not include shares held in the treasury of the Company, but shall include shares issuable in respect of scrip certificates issued in lieu of fractions of Ordinary Shares . The Company shall not pay any dividend or make any distribution on shares of Ordinary Shares held in the treasury of the Company.</w:t>
      </w:r>
    </w:p>
    <w:p>
      <w:pPr>
        <w:spacing w:after="0" w:line="176" w:lineRule="exact"/>
        <w:rPr>
          <w:sz w:val="20"/>
          <w:szCs w:val="20"/>
          <w:color w:val="auto"/>
        </w:rPr>
      </w:pPr>
    </w:p>
    <w:p>
      <w:pPr>
        <w:ind w:right="80" w:firstLine="436"/>
        <w:spacing w:after="0" w:line="286" w:lineRule="auto"/>
        <w:tabs>
          <w:tab w:leader="none" w:pos="69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Subject to paragraph (6) of this Section, if the Company pays or makes a dividend or other distribution on its Ordinary Shares consisting exclusively of Short Term Rights (as defined below), or otherwise issues Short Term Rights to all holders of its Ordinary Shares , the Conversion Price in effect at the opening of business on the day following the record date for the determination of holders of Ordinary Shares entitled to receive such Short Term Rights (the “Rights Record Date”) shall be reduced by multiplying such Conversion Price by a fraction of which the numerator shall be the number of Ordinary Shares of the Company outstanding at the close of business on the Rights Record Date plus the number of Ordinary Shares of the Company which the aggregate of the offering price of the total number Ordinary Shares so offered for subscription or purchase would purchase at such current market price and the denominator shall be the number Ordinary Shares of the Company outstanding at the close of business on the Rights Record Date plus the number of Ordinary Shares so offered for subscription or purchase. Such reduction shall become effective immediately after the opening of business on the day following the Rights Record Date. For the purposes of this paragraph (2), the number of Ordinary Shares of the Company at any time outstanding shall not include shares held in the treasury of the Company, but shall include shares issuable in respect of scrip certificates issued in lieu of fractions of Ordinary Shares of the Company. The Company shall not issue any rights, options or warrants in respect of its Ordinary Shares held in the treasury of the Company. When used in this Section 1704, the term “Short Term Rights” shall mean rights, warrants or options entitling the holders thereof (for a period commencing no earlier than the Rights Record Date and expiring not more than 45 calendar days after the Rights Record Date) to subscribe for or purchase Ordinary Shares of the Company at a price per share less than the current market price per share (determined as provided in paragraph (7) of this Section 1704) of the Ordinary Shares of the Company on the Rights Record Date.</w:t>
      </w:r>
    </w:p>
    <w:p>
      <w:pPr>
        <w:spacing w:after="0" w:line="167" w:lineRule="exact"/>
        <w:rPr>
          <w:rFonts w:ascii="Arial" w:cs="Arial" w:eastAsia="Arial" w:hAnsi="Arial"/>
          <w:sz w:val="16"/>
          <w:szCs w:val="16"/>
          <w:color w:val="auto"/>
        </w:rPr>
      </w:pPr>
    </w:p>
    <w:p>
      <w:pPr>
        <w:ind w:right="120" w:firstLine="436"/>
        <w:spacing w:after="0" w:line="255" w:lineRule="auto"/>
        <w:tabs>
          <w:tab w:leader="none" w:pos="69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 case outstanding Ordinary Shares of the Company shall be subdivided into a greater number of Ordinary Shares , the Conversion Price in effect at the opening of business on the day following the day upon which such subdivision becomes effective shall be proportionately reduced, and, conversely, in case outstanding Ordinary Shares of the Company shall be combined into a smaller number of Ordinary Shares , the Conversion Price in effect at the opening of business on the day following the day upon which such combination becomes effective shall be proportionately increased, such reduction or increase, as the case may be, to become effective immediately after the opening of business on the day following the day upon which such subdivision or combination becomes effective.</w:t>
      </w:r>
    </w:p>
    <w:p>
      <w:pPr>
        <w:spacing w:after="0" w:line="192" w:lineRule="exact"/>
        <w:rPr>
          <w:rFonts w:ascii="Arial" w:cs="Arial" w:eastAsia="Arial" w:hAnsi="Arial"/>
          <w:sz w:val="18"/>
          <w:szCs w:val="18"/>
          <w:color w:val="auto"/>
        </w:rPr>
      </w:pPr>
    </w:p>
    <w:p>
      <w:pPr>
        <w:ind w:firstLine="436"/>
        <w:spacing w:after="0" w:line="285" w:lineRule="auto"/>
        <w:tabs>
          <w:tab w:leader="none" w:pos="69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Subject to the last sentence of this paragraph (4) of this Section, if the Company, by dividend or otherwise, (a) distributes to all holders of its Ordinary Shares evidences of its indebtedness, shares of any class of Share Capital of the Company or other assets (other than cash dividends out of current or retained earnings), or (b) distributes to substantially all holders of Ordinary Shares rights or warrants to subscribe for securities (other than Short Term Rights to which paragraph (2) of this Section 1704 applies), the Conversion Price shall be reduced by multiplying such Conversion Price by a fraction of which the numerator shall be the current market price per share (determined as provided in paragraph (7) of this Section 1704) of the Ordinary Shares of the Company on the Reference Date (as defined below) less the fair market value (as determined in good faith by the Board of Directors, whose determination shall be conclusive and described in a Board Resolution filed with the Trustee), on the Reference Date, of the portion of the evidences of indebtedness and other assets so distributed or of such subscription rights or warrants applicable to one Ordinary Shares (collectively, the “Market Value of the Distribution”) and the denominator shall be such current market price per share of the Ordinary Shares of the Company. Such reduction shall become effective immediately prior to the opening of business on the day (the “Reference Date”) following the later of (a) the date fixed for the payment of such distribution and (b) the date 20 calendar days after notice relating to such distribution is required to be given pursuant to Section 1706(a). If the Board of Directors determines the fair market value of any distribution for purposes of this paragraph (4) by reference to the actual or when issued trading market for any securities comprising such distribution, it must in doing so consider the prices in such market over the same period used in computing the current market price per share pursuant to paragraph (7) of this Section 1704. In the event that, with respect to any distribution to which this paragraph (4) of Section 1704 would otherwise apply, the Market Value of the Distribution is greater than the current market price per share of the Ordinary Shares (such distribution being referred to herein as an “Unadjusted Distribution”), then the adjustment provided by this paragraph (4) shall not be made and in lieu thereof the provisions of Section 1711 shall apply with respect to such Unadjusted Distribution.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220" w:name="page221"/>
    <w:bookmarkEnd w:id="220"/>
    <w:p>
      <w:pPr>
        <w:ind w:left="704" w:hanging="264"/>
        <w:spacing w:after="0"/>
        <w:tabs>
          <w:tab w:leader="none" w:pos="704" w:val="left"/>
        </w:tabs>
        <w:numPr>
          <w:ilvl w:val="1"/>
          <w:numId w:val="1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may, but shall not be required to, make such reductions in the Conversion Price, in addition to those required by paragraphs (1),</w:t>
      </w:r>
    </w:p>
    <w:p>
      <w:pPr>
        <w:spacing w:after="0" w:line="46" w:lineRule="exact"/>
        <w:rPr>
          <w:rFonts w:ascii="Arial" w:cs="Arial" w:eastAsia="Arial" w:hAnsi="Arial"/>
          <w:sz w:val="16"/>
          <w:szCs w:val="16"/>
          <w:color w:val="auto"/>
        </w:rPr>
      </w:pPr>
    </w:p>
    <w:p>
      <w:pPr>
        <w:ind w:left="4" w:right="20"/>
        <w:spacing w:after="0" w:line="273" w:lineRule="auto"/>
        <w:rPr>
          <w:rFonts w:ascii="Arial" w:cs="Arial" w:eastAsia="Arial" w:hAnsi="Arial"/>
          <w:sz w:val="16"/>
          <w:szCs w:val="16"/>
          <w:color w:val="auto"/>
        </w:rPr>
      </w:pPr>
      <w:r>
        <w:rPr>
          <w:rFonts w:ascii="Arial" w:cs="Arial" w:eastAsia="Arial" w:hAnsi="Arial"/>
          <w:sz w:val="17"/>
          <w:szCs w:val="17"/>
          <w:color w:val="auto"/>
        </w:rPr>
        <w:t>(2), (3), and (4) of this Section 1704, as it considers to be advisable in order that any event treated for federal income tax purposes as a dividend of share or share rights shall not be taxable to the recipients. In addition, the Company, from time to time, may decrease the Conversion Price by any amount and for any reason, temporarily or otherwise, including situations where the Board of Directors determines such decrease to be fair and appropriate with respect to transactions in which holders of Ordinary Shares have the right to participate.</w:t>
      </w:r>
    </w:p>
    <w:p>
      <w:pPr>
        <w:spacing w:after="0" w:line="176" w:lineRule="exact"/>
        <w:rPr>
          <w:rFonts w:ascii="Arial" w:cs="Arial" w:eastAsia="Arial" w:hAnsi="Arial"/>
          <w:sz w:val="16"/>
          <w:szCs w:val="16"/>
          <w:color w:val="auto"/>
        </w:rPr>
      </w:pPr>
    </w:p>
    <w:p>
      <w:pPr>
        <w:ind w:left="4" w:firstLine="436"/>
        <w:spacing w:after="0" w:line="283" w:lineRule="auto"/>
        <w:tabs>
          <w:tab w:leader="none" w:pos="699" w:val="left"/>
        </w:tabs>
        <w:numPr>
          <w:ilvl w:val="1"/>
          <w:numId w:val="198"/>
        </w:numPr>
        <w:rPr>
          <w:rFonts w:ascii="Arial" w:cs="Arial" w:eastAsia="Arial" w:hAnsi="Arial"/>
          <w:sz w:val="16"/>
          <w:szCs w:val="16"/>
          <w:color w:val="auto"/>
        </w:rPr>
      </w:pPr>
      <w:r>
        <w:rPr>
          <w:rFonts w:ascii="Arial" w:cs="Arial" w:eastAsia="Arial" w:hAnsi="Arial"/>
          <w:sz w:val="16"/>
          <w:szCs w:val="16"/>
          <w:color w:val="auto"/>
        </w:rPr>
        <w:t>Rights or warrants issued or distributed by the Company to all holders of its Ordinary Shares entitling the holders thereof to subscribe for or purchase Ordinary Shares or Preference Shares, which rights or warrants (i) are deemed to be transferred with such Ordinary Shares , (ii) are not exercisable and (iii) are also issued or distributed in respect of future issuances of Ordinary Shares , in each case in clauses (i) through (iii) until the occurrence of a specified event or events (“Trigger Events”), shall for purposes of this Section 1704 not be deemed issued or distributed until the occurrence of the earliest Trigger Event. Each Ordinary Share issued upon conversion of Securities pursuant to this Article Seventeen shall be entitled to receive the appropriate number of Ordinary Shares purchase rights (the “Rights”), if any, and the certificates representing the Ordinary Shares issued upon conversion shall bear such legends, if any. Notwithstanding anything to the contrary in this Article Seventeen, there shall not be any adjustment to the Conversion Price as a result of (i) the distribution of separate certificates representing the Rights; (ii) the occurrence of certain events entitling holders of Rights to receive, upon exercise thereof, Ordinary Shares or other securities of the Company or other securities of another corporation; or</w:t>
      </w:r>
    </w:p>
    <w:p>
      <w:pPr>
        <w:spacing w:after="0" w:line="5" w:lineRule="exact"/>
        <w:rPr>
          <w:rFonts w:ascii="Arial" w:cs="Arial" w:eastAsia="Arial" w:hAnsi="Arial"/>
          <w:sz w:val="16"/>
          <w:szCs w:val="16"/>
          <w:color w:val="auto"/>
        </w:rPr>
      </w:pPr>
    </w:p>
    <w:p>
      <w:pPr>
        <w:ind w:left="4" w:right="60" w:hanging="4"/>
        <w:spacing w:after="0" w:line="260" w:lineRule="auto"/>
        <w:tabs>
          <w:tab w:leader="none" w:pos="31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exercise of such Rights. No adjustment in the Conversion Price need be made for rights to purchase or the sale of Ordinary Shares pursuant to a Company plan providing for reinvestment of dividends or interest.</w:t>
      </w:r>
    </w:p>
    <w:p>
      <w:pPr>
        <w:spacing w:after="0" w:line="185" w:lineRule="exact"/>
        <w:rPr>
          <w:rFonts w:ascii="Arial" w:cs="Arial" w:eastAsia="Arial" w:hAnsi="Arial"/>
          <w:sz w:val="18"/>
          <w:szCs w:val="18"/>
          <w:color w:val="auto"/>
        </w:rPr>
      </w:pPr>
    </w:p>
    <w:p>
      <w:pPr>
        <w:ind w:left="4" w:right="80" w:firstLine="436"/>
        <w:spacing w:after="0" w:line="263" w:lineRule="auto"/>
        <w:tabs>
          <w:tab w:leader="none" w:pos="699" w:val="left"/>
        </w:tabs>
        <w:numPr>
          <w:ilvl w:val="1"/>
          <w:numId w:val="199"/>
        </w:numPr>
        <w:rPr>
          <w:rFonts w:ascii="Arial" w:cs="Arial" w:eastAsia="Arial" w:hAnsi="Arial"/>
          <w:sz w:val="18"/>
          <w:szCs w:val="18"/>
          <w:color w:val="auto"/>
        </w:rPr>
      </w:pPr>
      <w:r>
        <w:rPr>
          <w:rFonts w:ascii="Arial" w:cs="Arial" w:eastAsia="Arial" w:hAnsi="Arial"/>
          <w:sz w:val="18"/>
          <w:szCs w:val="18"/>
          <w:color w:val="auto"/>
        </w:rPr>
        <w:t>For the purpose of any computation under paragraph (2), (4) or (5) of this Section 1704, the “current market price” per Ordinary Shares of the Company on any date shall be deemed to be the average of the daily Closing Prices for the 15 consecutive Trading Days selected by the Company commencing not more than 30 Trading Days before, and ending not later than, the date in question.</w:t>
      </w:r>
    </w:p>
    <w:p>
      <w:pPr>
        <w:spacing w:after="0" w:line="183" w:lineRule="exact"/>
        <w:rPr>
          <w:rFonts w:ascii="Arial" w:cs="Arial" w:eastAsia="Arial" w:hAnsi="Arial"/>
          <w:sz w:val="18"/>
          <w:szCs w:val="18"/>
          <w:color w:val="auto"/>
        </w:rPr>
      </w:pPr>
    </w:p>
    <w:p>
      <w:pPr>
        <w:ind w:left="4" w:right="200" w:firstLine="436"/>
        <w:spacing w:after="0" w:line="259" w:lineRule="auto"/>
        <w:tabs>
          <w:tab w:leader="none" w:pos="699" w:val="left"/>
        </w:tabs>
        <w:numPr>
          <w:ilvl w:val="1"/>
          <w:numId w:val="199"/>
        </w:numPr>
        <w:rPr>
          <w:rFonts w:ascii="Arial" w:cs="Arial" w:eastAsia="Arial" w:hAnsi="Arial"/>
          <w:sz w:val="18"/>
          <w:szCs w:val="18"/>
          <w:color w:val="auto"/>
        </w:rPr>
      </w:pPr>
      <w:r>
        <w:rPr>
          <w:rFonts w:ascii="Arial" w:cs="Arial" w:eastAsia="Arial" w:hAnsi="Arial"/>
          <w:sz w:val="18"/>
          <w:szCs w:val="18"/>
          <w:color w:val="auto"/>
        </w:rPr>
        <w:t xml:space="preserve">No adjustment in the Conversion Price shall be required unless such adjustment would require an increase or decrease of at least 1% in the Conversion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adjustments which by reason of this paragraph (8) are not required to be made shall be carried forward and taken into account in any subsequent adjustment. All calculations under this Article SeventeenSixteen shall be made to the nearest cent or to the nearest one-hundredth of an Ordinary Share, as the case may be.</w:t>
      </w:r>
    </w:p>
    <w:p>
      <w:pPr>
        <w:spacing w:after="0" w:line="186" w:lineRule="exact"/>
        <w:rPr>
          <w:rFonts w:ascii="Arial" w:cs="Arial" w:eastAsia="Arial" w:hAnsi="Arial"/>
          <w:sz w:val="18"/>
          <w:szCs w:val="18"/>
          <w:color w:val="auto"/>
        </w:rPr>
      </w:pPr>
    </w:p>
    <w:p>
      <w:pPr>
        <w:ind w:left="4" w:right="60" w:firstLine="436"/>
        <w:spacing w:after="0" w:line="255" w:lineRule="auto"/>
        <w:tabs>
          <w:tab w:leader="none" w:pos="699"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Anything herein to the contrary notwithstanding, in the event the Company shall declare any dividend or distribution requiring an adjustment in the Conversion Price hereunder and shall, thereafter and before the payment of such dividend or distribution to shareholders, legally abandon its plan to pay such dividend or distribution, the Conversion Price then in effect hereunder, if changed to reflect such dividend or distribution, shall upon the legal abandonment of such plan be changed to the Conversion Price which would have been in effect at the time of such abandonment (after giving effect to all other adjustments not so legally abandoned pursuant to the provisions of this Article Seventeen) had such dividend or distribution never been declared.</w:t>
      </w:r>
    </w:p>
    <w:p>
      <w:pPr>
        <w:spacing w:after="0" w:line="192" w:lineRule="exact"/>
        <w:rPr>
          <w:rFonts w:ascii="Arial" w:cs="Arial" w:eastAsia="Arial" w:hAnsi="Arial"/>
          <w:sz w:val="18"/>
          <w:szCs w:val="18"/>
          <w:color w:val="auto"/>
        </w:rPr>
      </w:pPr>
    </w:p>
    <w:p>
      <w:pPr>
        <w:ind w:left="4" w:firstLine="436"/>
        <w:spacing w:after="0" w:line="301" w:lineRule="auto"/>
        <w:tabs>
          <w:tab w:leader="none" w:pos="789" w:val="left"/>
        </w:tabs>
        <w:numPr>
          <w:ilvl w:val="1"/>
          <w:numId w:val="199"/>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1704, no adjustment to the Conversion Price shall reduce the Conversion Price below the then nominal value per share of the Ordinary Shares of the Company, and any such purported adjustment shall instead reduce the Conversion Price to such par value. Notwithstanding the foregoing sentence, the Company hereby covenants that it will from time to time take all such action as may be required to assure that the nominal value per share of the Ordinary Shares is at all times equal to or less than the Conversion Price.</w:t>
      </w:r>
    </w:p>
    <w:p>
      <w:pPr>
        <w:spacing w:after="0" w:line="157" w:lineRule="exact"/>
        <w:rPr>
          <w:rFonts w:ascii="Arial" w:cs="Arial" w:eastAsia="Arial" w:hAnsi="Arial"/>
          <w:sz w:val="16"/>
          <w:szCs w:val="16"/>
          <w:color w:val="auto"/>
        </w:rPr>
      </w:pPr>
    </w:p>
    <w:p>
      <w:pPr>
        <w:ind w:left="4" w:right="80" w:firstLine="436"/>
        <w:spacing w:after="0" w:line="286" w:lineRule="auto"/>
        <w:tabs>
          <w:tab w:leader="none" w:pos="783" w:val="left"/>
        </w:tabs>
        <w:numPr>
          <w:ilvl w:val="1"/>
          <w:numId w:val="199"/>
        </w:numPr>
        <w:rPr>
          <w:rFonts w:ascii="Arial" w:cs="Arial" w:eastAsia="Arial" w:hAnsi="Arial"/>
          <w:sz w:val="16"/>
          <w:szCs w:val="16"/>
          <w:color w:val="auto"/>
        </w:rPr>
      </w:pPr>
      <w:r>
        <w:rPr>
          <w:rFonts w:ascii="Arial" w:cs="Arial" w:eastAsia="Arial" w:hAnsi="Arial"/>
          <w:sz w:val="16"/>
          <w:szCs w:val="16"/>
          <w:color w:val="auto"/>
        </w:rPr>
        <w:t>In the event that this Article Seventeen requires adjustments to the Conversion Price under more than one of paragraphs (1), (2), (3) or (4) of this Section 1704, and the record or effective dates for the transaction giving rise to such adjustments shall occur on the same date, then such adjustments shall be made by applying (to the extent they are applicable), first, the provisions of paragraph (3) of this Section 1704, second, the provisions of paragraph (1) of this Section 1704, third, the provisions of paragraph (4) of this Section 1704 and, fourth, the provisions of paragraph</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(2) of this Section 1704. Anything herein to the contrary notwithstanding, no single event shall require or</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84"/>
          </w:cols>
          <w:pgMar w:left="436" w:top="274" w:right="479" w:bottom="1440" w:gutter="0" w:footer="0" w:header="0"/>
        </w:sectPr>
      </w:pPr>
    </w:p>
    <w:bookmarkStart w:id="221" w:name="page222"/>
    <w:bookmarkEnd w:id="221"/>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result in duplicative adjustments in the Conversion Price pursuant to this Section 1704. After an adjustment to the Conversion Price under this Article Seventeen, any subsequent event requiring an adjustment under this Article Seventeen shall cause an adjustment to the Conversion Price as so adjusted. If, after an adjustment, a Holder of a Security upon conversion of such Security receives shares of two or more classes of Share Capital of the Company, the Conversion Price shall thereafter be subject to adjustment upon the occurrence of an action taken with respect to any such class of Share Capital as is contemplated by this Article Sixteen with respect to the Ordinary Shares in this Article Seventeen.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1705. </w:t>
      </w:r>
      <w:r>
        <w:rPr>
          <w:rFonts w:ascii="Arial" w:cs="Arial" w:eastAsia="Arial" w:hAnsi="Arial"/>
          <w:sz w:val="18"/>
          <w:szCs w:val="18"/>
          <w:u w:val="single" w:color="auto"/>
          <w:color w:val="auto"/>
        </w:rPr>
        <w:t>Notice of Adjustments of Conversion Price</w:t>
      </w:r>
      <w:r>
        <w:rPr>
          <w:rFonts w:ascii="Arial" w:cs="Arial" w:eastAsia="Arial" w:hAnsi="Arial"/>
          <w:sz w:val="18"/>
          <w:szCs w:val="18"/>
          <w:color w:val="auto"/>
        </w:rPr>
        <w:t>. Whenever the Conversion Price is adjusted as herein provided:</w:t>
      </w:r>
    </w:p>
    <w:p>
      <w:pPr>
        <w:spacing w:after="0" w:line="117" w:lineRule="exact"/>
        <w:rPr>
          <w:sz w:val="20"/>
          <w:szCs w:val="20"/>
          <w:color w:val="auto"/>
        </w:rPr>
      </w:pPr>
    </w:p>
    <w:p>
      <w:pPr>
        <w:ind w:right="340" w:firstLine="436"/>
        <w:spacing w:after="0" w:line="259" w:lineRule="auto"/>
        <w:tabs>
          <w:tab w:leader="none" w:pos="69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Company shall compute the adjusted Conversion Price in accordance with Section 1704 or Section 1711 and shall prepare an Officer’s Certificate setting forth the adjusted Conversion Price and showing in reasonable detail the facts upon which such adjustment is based, and such certificate shall forthwith be filed (with a copy to the Trustee) at each office or agency maintained for the purpose of conversion of any Securities pursuant to Section 1002; and</w:t>
      </w:r>
    </w:p>
    <w:p>
      <w:pPr>
        <w:spacing w:after="0" w:line="186" w:lineRule="exact"/>
        <w:rPr>
          <w:rFonts w:ascii="Arial" w:cs="Arial" w:eastAsia="Arial" w:hAnsi="Arial"/>
          <w:sz w:val="18"/>
          <w:szCs w:val="18"/>
          <w:color w:val="auto"/>
        </w:rPr>
      </w:pPr>
    </w:p>
    <w:p>
      <w:pPr>
        <w:ind w:right="120" w:firstLine="436"/>
        <w:spacing w:after="0" w:line="263" w:lineRule="auto"/>
        <w:tabs>
          <w:tab w:leader="none" w:pos="69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notice stating that the Conversion Price has been adjusted and setting forth the adjusted Conversion Price shall forthwith be required, and as soon as practicable after it is required, such notice shall be mailed by the Company to all Holders at their last addresses as they shall appear in the Security Register.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1706. </w:t>
      </w:r>
      <w:r>
        <w:rPr>
          <w:rFonts w:ascii="Arial" w:cs="Arial" w:eastAsia="Arial" w:hAnsi="Arial"/>
          <w:sz w:val="18"/>
          <w:szCs w:val="18"/>
          <w:u w:val="single" w:color="auto"/>
          <w:color w:val="auto"/>
        </w:rPr>
        <w:t>Notice of Certain Corporate Action</w:t>
      </w:r>
      <w:r>
        <w:rPr>
          <w:rFonts w:ascii="Arial" w:cs="Arial" w:eastAsia="Arial" w:hAnsi="Arial"/>
          <w:sz w:val="18"/>
          <w:szCs w:val="18"/>
          <w:color w:val="auto"/>
        </w:rPr>
        <w:t>. In case:</w:t>
      </w:r>
    </w:p>
    <w:p>
      <w:pPr>
        <w:spacing w:after="0" w:line="117" w:lineRule="exact"/>
        <w:rPr>
          <w:sz w:val="20"/>
          <w:szCs w:val="20"/>
          <w:color w:val="auto"/>
        </w:rPr>
      </w:pPr>
    </w:p>
    <w:p>
      <w:pPr>
        <w:ind w:left="700" w:hanging="264"/>
        <w:spacing w:after="0"/>
        <w:tabs>
          <w:tab w:leader="none" w:pos="7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Company shall take any action that would require a Conversion Price adjustment pursuant to Section 1704 or Section 1711; or</w:t>
      </w:r>
    </w:p>
    <w:p>
      <w:pPr>
        <w:spacing w:after="0" w:line="236" w:lineRule="exact"/>
        <w:rPr>
          <w:rFonts w:ascii="Arial" w:cs="Arial" w:eastAsia="Arial" w:hAnsi="Arial"/>
          <w:sz w:val="17"/>
          <w:szCs w:val="17"/>
          <w:color w:val="auto"/>
        </w:rPr>
      </w:pPr>
    </w:p>
    <w:p>
      <w:pPr>
        <w:ind w:right="60" w:firstLine="436"/>
        <w:spacing w:after="0" w:line="263" w:lineRule="auto"/>
        <w:tabs>
          <w:tab w:leader="none" w:pos="69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there shall occur any reclassification of the Ordinary Shares of the Company (other than a subdivision or combination of its outstanding Ordinary Shares ), or any consolidation or merger to which the Company is a party, or the sale, transfer or lease of all or substantially all of the assets of the Company and for which approval of any shareholders of the Company is required; or</w:t>
      </w:r>
    </w:p>
    <w:p>
      <w:pPr>
        <w:spacing w:after="0" w:line="183" w:lineRule="exact"/>
        <w:rPr>
          <w:rFonts w:ascii="Arial" w:cs="Arial" w:eastAsia="Arial" w:hAnsi="Arial"/>
          <w:sz w:val="18"/>
          <w:szCs w:val="18"/>
          <w:color w:val="auto"/>
        </w:rPr>
      </w:pPr>
    </w:p>
    <w:p>
      <w:pPr>
        <w:ind w:firstLine="436"/>
        <w:spacing w:after="0" w:line="270" w:lineRule="auto"/>
        <w:tabs>
          <w:tab w:leader="none" w:pos="695"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there shall occur the voluntary or involuntary dissolution, liquidation or winding up of the Company, then the Company shall cause to be filed at each office or agency maintained for the purpose of conversion of Securities pursuant to Section 1002, and shall cause to be mailed to all Holders at their last addresses as they shall appear in the Security Register, at least 10 calendar days prior to the applicable record, effective or expiration date hereinafter specified, a notice stating (x) the date on which a record is to be taken for the purpose of any dividend, distribution or granting of rights, warrants or options, or, if a record is not to be taken, the date as of which the holders of Ordinary Shares of record to be entitled to such dividend, distribution, rights, options or warrants are to be determined, or (y) the date on which such reclassification, consolidation, merger, sale, transfer, dissolution, liquidation or winding up is expected to become effective, and, if applicable, the date as of which it is expected that holders of Ordinary Shares of record shall be entitled to exchange their shares of Ordinary Shares for securities, cash or other property deliverable upon such reclassification, consolidation, merger, sale, transfer, dissolution, liquidation or winding up.</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 xml:space="preserve">SECTION 1707. </w:t>
      </w:r>
      <w:r>
        <w:rPr>
          <w:rFonts w:ascii="Arial" w:cs="Arial" w:eastAsia="Arial" w:hAnsi="Arial"/>
          <w:sz w:val="17"/>
          <w:szCs w:val="17"/>
          <w:u w:val="single" w:color="auto"/>
          <w:color w:val="auto"/>
        </w:rPr>
        <w:t>Company to Reserve Ordinary Shares</w:t>
      </w:r>
      <w:r>
        <w:rPr>
          <w:rFonts w:ascii="Arial" w:cs="Arial" w:eastAsia="Arial" w:hAnsi="Arial"/>
          <w:sz w:val="17"/>
          <w:szCs w:val="17"/>
          <w:color w:val="auto"/>
        </w:rPr>
        <w:t>. The Company shall at all times reserve and keep available, free from preemptive rights, out of its authorized but unissued Ordinary Shares, for the purpose of effecting the conversion of Securities, a number of shares of Ordinary Shares for the conversion of all outstanding Securities of any series which is convertible into Ordinary Shares.</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SECTION 1708. </w:t>
      </w:r>
      <w:r>
        <w:rPr>
          <w:rFonts w:ascii="Arial" w:cs="Arial" w:eastAsia="Arial" w:hAnsi="Arial"/>
          <w:sz w:val="18"/>
          <w:szCs w:val="18"/>
          <w:u w:val="single" w:color="auto"/>
          <w:color w:val="auto"/>
        </w:rPr>
        <w:t>Taxes on Conversion</w:t>
      </w:r>
      <w:r>
        <w:rPr>
          <w:rFonts w:ascii="Arial" w:cs="Arial" w:eastAsia="Arial" w:hAnsi="Arial"/>
          <w:sz w:val="18"/>
          <w:szCs w:val="18"/>
          <w:color w:val="auto"/>
        </w:rPr>
        <w:t>. The Company will pay any and all taxes that may be payable in respect of the issue or delivery Ordinary Shares on conversion of Securities pursuant hereto. The Company shall not, however, be required to pay any tax which may be payable in respect of any transfer involved in the issue and delivery of Ordinary Shares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222" w:name="page223"/>
    <w:bookmarkEnd w:id="222"/>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1709. Covenants as to Ordinary Shares. The Company covenants that all Ordinary Shares which may be issued upon conversion of Securities will upon issue be duly and validly issued, fully paid and nonassessable, free of preemptive or any similar rights, and, except as provided in Section 1708, the Company will pay all taxes, liens and charges with respect to the issue thereof.</w:t>
      </w:r>
    </w:p>
    <w:p>
      <w:pPr>
        <w:spacing w:after="0" w:line="184" w:lineRule="exact"/>
        <w:rPr>
          <w:sz w:val="20"/>
          <w:szCs w:val="20"/>
          <w:color w:val="auto"/>
        </w:rPr>
      </w:pPr>
    </w:p>
    <w:p>
      <w:pPr>
        <w:ind w:left="4" w:right="320"/>
        <w:spacing w:after="0" w:line="263" w:lineRule="auto"/>
        <w:rPr>
          <w:sz w:val="20"/>
          <w:szCs w:val="20"/>
          <w:color w:val="auto"/>
        </w:rPr>
      </w:pPr>
      <w:r>
        <w:rPr>
          <w:rFonts w:ascii="Arial" w:cs="Arial" w:eastAsia="Arial" w:hAnsi="Arial"/>
          <w:sz w:val="18"/>
          <w:szCs w:val="18"/>
          <w:color w:val="auto"/>
        </w:rPr>
        <w:t>The Company will endeavor promptly to comply with all Federal and state securities laws regulating the offer and delivery of Ordinary Shares upon conversion of Securities, if any, and will list or cause to have quoted such shares of Ordinary Shares on each national securities exchange or in the over-the-counter market or such other market on which the Ordinary Shares is then listed or quoted.</w:t>
      </w:r>
    </w:p>
    <w:p>
      <w:pPr>
        <w:spacing w:after="0" w:line="184"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 xml:space="preserve">SECTION 1710. </w:t>
      </w:r>
      <w:r>
        <w:rPr>
          <w:rFonts w:ascii="Arial" w:cs="Arial" w:eastAsia="Arial" w:hAnsi="Arial"/>
          <w:sz w:val="18"/>
          <w:szCs w:val="18"/>
          <w:u w:val="single" w:color="auto"/>
          <w:color w:val="auto"/>
        </w:rPr>
        <w:t>Cancellation of Converted Securities</w:t>
      </w:r>
      <w:r>
        <w:rPr>
          <w:rFonts w:ascii="Arial" w:cs="Arial" w:eastAsia="Arial" w:hAnsi="Arial"/>
          <w:sz w:val="18"/>
          <w:szCs w:val="18"/>
          <w:color w:val="auto"/>
        </w:rPr>
        <w:t>. All Securities delivered for conversion shall be delivered to the Trustee to be cancelled by or at the direction of the Trustee, which shall dispose of the same as provided in Section 309.</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SECTION 1711. </w:t>
      </w:r>
      <w:r>
        <w:rPr>
          <w:rFonts w:ascii="Arial" w:cs="Arial" w:eastAsia="Arial" w:hAnsi="Arial"/>
          <w:sz w:val="17"/>
          <w:szCs w:val="17"/>
          <w:u w:val="single" w:color="auto"/>
          <w:color w:val="auto"/>
        </w:rPr>
        <w:t>Provisions in Case of Consolidation, Merger or Sale of Assets; Special Distributions</w:t>
      </w:r>
      <w:r>
        <w:rPr>
          <w:rFonts w:ascii="Arial" w:cs="Arial" w:eastAsia="Arial" w:hAnsi="Arial"/>
          <w:sz w:val="17"/>
          <w:szCs w:val="17"/>
          <w:color w:val="auto"/>
        </w:rPr>
        <w:t>. If any of the following shall occur, namely:</w:t>
      </w:r>
    </w:p>
    <w:p>
      <w:pPr>
        <w:spacing w:after="0" w:line="35" w:lineRule="exact"/>
        <w:rPr>
          <w:sz w:val="20"/>
          <w:szCs w:val="20"/>
          <w:color w:val="auto"/>
        </w:rPr>
      </w:pPr>
    </w:p>
    <w:p>
      <w:pPr>
        <w:ind w:left="4" w:right="60" w:hanging="4"/>
        <w:spacing w:after="0" w:line="285" w:lineRule="auto"/>
        <w:tabs>
          <w:tab w:leader="none" w:pos="219"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any reclassification or change of outstanding Ordinary Shares issuable upon conversion of Securities (other than a change in par value, or from par value to no par value, or from no par value to par value, or as a result of a subdivision or combination), (ii) any consolidation or merger to which the Company is a party other than a merger in which the Company is the continuing corporation and which does not result in any reclassification of, or change (other than a change in name, or par value, or from par value to no par value, or from no par value to par value or as a result of a subdivision or combination) in, outstanding Ordinary Shares or (iii) any sale or conveyance of all or substantially all of the property or business of the Company as an entirety, then the Person formed by such consolidation or resulting from such merger or which acquires such properties or assets, as the case may be, shall as a condition precedent to such transaction execute and deliver to the Trustee a supplemental indenture providing that the Holder of each Security then outstanding shall have the right thereafter, during the period such Security shall be convertible as specified in Section 1701, to convert such Security only into the kind and amount of securities, cash and other property receivable, if any, upon such consolidation, merger, sale, transfer or lease by a holder of the number of Ordinary Shares of the Company into which such Security might have been converted immediately prior to such consolidation, merger, sale, transfer or lease; provided that the kind and amount of securities, cash and other property so receivable shall be determined on the basis of the following assumptions. The holder of Ordinary Shares referred to in the foregoing sentence:</w:t>
      </w:r>
    </w:p>
    <w:p>
      <w:pPr>
        <w:spacing w:after="0" w:line="63" w:lineRule="exact"/>
        <w:rPr>
          <w:rFonts w:ascii="Arial" w:cs="Arial" w:eastAsia="Arial" w:hAnsi="Arial"/>
          <w:sz w:val="16"/>
          <w:szCs w:val="16"/>
          <w:color w:val="auto"/>
        </w:rPr>
      </w:pPr>
    </w:p>
    <w:p>
      <w:pPr>
        <w:ind w:left="704" w:hanging="264"/>
        <w:spacing w:after="0"/>
        <w:tabs>
          <w:tab w:leader="none" w:pos="704" w:val="left"/>
        </w:tabs>
        <w:numPr>
          <w:ilvl w:val="1"/>
          <w:numId w:val="202"/>
        </w:numPr>
        <w:rPr>
          <w:rFonts w:ascii="Arial" w:cs="Arial" w:eastAsia="Arial" w:hAnsi="Arial"/>
          <w:sz w:val="16"/>
          <w:szCs w:val="16"/>
          <w:color w:val="auto"/>
        </w:rPr>
      </w:pPr>
      <w:r>
        <w:rPr>
          <w:rFonts w:ascii="Arial" w:cs="Arial" w:eastAsia="Arial" w:hAnsi="Arial"/>
          <w:sz w:val="16"/>
          <w:szCs w:val="16"/>
          <w:color w:val="auto"/>
        </w:rPr>
        <w:t>is not (a) a Person with which the Company consolidated, (b) a Person into which the Company merged or which merged into the Company, or</w:t>
      </w:r>
    </w:p>
    <w:p>
      <w:pPr>
        <w:spacing w:after="0" w:line="46" w:lineRule="exact"/>
        <w:rPr>
          <w:rFonts w:ascii="Arial" w:cs="Arial" w:eastAsia="Arial" w:hAnsi="Arial"/>
          <w:sz w:val="16"/>
          <w:szCs w:val="16"/>
          <w:color w:val="auto"/>
        </w:rPr>
      </w:pPr>
    </w:p>
    <w:p>
      <w:pPr>
        <w:ind w:left="444" w:right="40"/>
        <w:spacing w:after="0" w:line="260" w:lineRule="auto"/>
        <w:rPr>
          <w:rFonts w:ascii="Arial" w:cs="Arial" w:eastAsia="Arial" w:hAnsi="Arial"/>
          <w:sz w:val="16"/>
          <w:szCs w:val="16"/>
          <w:color w:val="auto"/>
        </w:rPr>
      </w:pPr>
      <w:r>
        <w:rPr>
          <w:rFonts w:ascii="Arial" w:cs="Arial" w:eastAsia="Arial" w:hAnsi="Arial"/>
          <w:sz w:val="18"/>
          <w:szCs w:val="18"/>
          <w:color w:val="auto"/>
        </w:rPr>
        <w:t>(c) a Person to which such sale, transfer or lease was made (any Person described in the foregoing clauses (a), (b), or (c), hereinafter referred to as a “Constituent Person”), or (d) an Affiliate of a Constituent Person; and</w:t>
      </w:r>
    </w:p>
    <w:p>
      <w:pPr>
        <w:spacing w:after="0" w:line="77" w:lineRule="exact"/>
        <w:rPr>
          <w:rFonts w:ascii="Arial" w:cs="Arial" w:eastAsia="Arial" w:hAnsi="Arial"/>
          <w:sz w:val="16"/>
          <w:szCs w:val="16"/>
          <w:color w:val="auto"/>
        </w:rPr>
      </w:pPr>
    </w:p>
    <w:p>
      <w:pPr>
        <w:ind w:left="444" w:hanging="4"/>
        <w:spacing w:after="0" w:line="255" w:lineRule="auto"/>
        <w:tabs>
          <w:tab w:leader="none" w:pos="699" w:val="left"/>
        </w:tabs>
        <w:numPr>
          <w:ilvl w:val="1"/>
          <w:numId w:val="202"/>
        </w:numPr>
        <w:rPr>
          <w:rFonts w:ascii="Arial" w:cs="Arial" w:eastAsia="Arial" w:hAnsi="Arial"/>
          <w:sz w:val="18"/>
          <w:szCs w:val="18"/>
          <w:color w:val="auto"/>
        </w:rPr>
      </w:pPr>
      <w:r>
        <w:rPr>
          <w:rFonts w:ascii="Arial" w:cs="Arial" w:eastAsia="Arial" w:hAnsi="Arial"/>
          <w:sz w:val="18"/>
          <w:szCs w:val="18"/>
          <w:color w:val="auto"/>
        </w:rPr>
        <w:t>failed to exercise his rights of election, if any, as to the kind or amount of securities, cash and other property receivable upon such consolidation, merger, sale, transfer or lease (provided that if the kind or amount of securities, cash and other property receivable upon such consolidation, merger, sale transfer or lease is not the same for each Ordinary Share of the Company in respect of which such rights of election shall not have been exercised, then for the purpose of this Section 1711 the kind and amount of securities, cash and other property receivable upon such consolidation, merger, sale, transfer or lease shall be deemed to be the kind and amount so receivable per share by a plurality of such shares of Ordinary Shares ).</w:t>
      </w:r>
    </w:p>
    <w:p>
      <w:pPr>
        <w:spacing w:after="0" w:line="192"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Such supplemental indenture shall provide for adjustments which, for events subsequent to the effective date of such supplemental indenture, shall be as nearly equivalent as may be practicable to the adjustments provided for in this Article Seventeen. If, in the case of any such consolidation, merger, sale transfer or lease the shares or other securities and property (including cash) receivable thereupon by a holder of Ordinary Shares includes shares or other securities and property of a corporation other than the successor or purchasing corporation, as the case may be, in such consolidation, merger, sale, transfer or lease then such supplemental indenture shall also be executed by such other corporation and shall contain such additional provisions to protect the interests of the Holders of the Securities as the Board of Directors of the Company shall reasonably consider necessary by reason of the foregoing. The above provisions of this Section 1711 shall similarly apply to successive consolidations, mergers, sales, transfers or leases.</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4"/>
          </w:cols>
          <w:pgMar w:left="436" w:top="274" w:right="479" w:bottom="1440" w:gutter="0" w:footer="0" w:header="0"/>
        </w:sectPr>
      </w:pPr>
    </w:p>
    <w:bookmarkStart w:id="223" w:name="page224"/>
    <w:bookmarkEnd w:id="223"/>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the Company shall execute a supplemental indenture pursuant to this Section 1711, the Company shall promptly file with the Trustee an Officers’ Certificate briefly stating the reasons therefor, the kind or amount of shares or securities or property (including cash) receivable by Holders of the Securities upon the conversion of their Securities after any such reclassification, change, consolidation, merger, sale, transfer or lease and any adjustment to be made with respect thereto.</w:t>
      </w:r>
    </w:p>
    <w:p>
      <w:pPr>
        <w:spacing w:after="0" w:line="18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If the Company makes a distribution to all holders of its Ordinary Shares that constitutes an Unadjusted Distribution pursuant to the last sentence of paragraph (4) of Section 1704, then, from and after the record date for determining the holders of Ordinary Shares entitled to receive such distribution (the “Distribution Record Date”), a Holder of a Security who converts such Security in accordance with the provisions of this Indenture shall, upon conversion, be entitled to receive, in addition to the Ordinary Shares into which the Security is convertible, the kind and amount of evidences of indebtedness, Share Capital, or other assets or subscription rights or warrants, as the case may be, comprising the distribution that such Holder would have received if such Holder had converted the Security immediately prior to the Distribution Record Date.</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SECTION 1712. </w:t>
      </w:r>
      <w:r>
        <w:rPr>
          <w:rFonts w:ascii="Arial" w:cs="Arial" w:eastAsia="Arial" w:hAnsi="Arial"/>
          <w:sz w:val="17"/>
          <w:szCs w:val="17"/>
          <w:u w:val="single" w:color="auto"/>
          <w:color w:val="auto"/>
        </w:rPr>
        <w:t>Trustee Adjustment Disclaimer; Company Determination Final</w:t>
      </w:r>
      <w:r>
        <w:rPr>
          <w:rFonts w:ascii="Arial" w:cs="Arial" w:eastAsia="Arial" w:hAnsi="Arial"/>
          <w:sz w:val="17"/>
          <w:szCs w:val="17"/>
          <w:color w:val="auto"/>
        </w:rPr>
        <w:t>. The Trustee has no duty to determine when an adjustment under this Article Seventeen should be made, how it should be made or what it should be. The Trustee has no duty to determine whether a supplemental indenture under Section 1711 need be entered into or whether any provisions of any supplemental indenture are correct. The Trustee shall not be accountable for and makes no representation as to the validity or value of any securities or assets issued upon conversion of Securities. The Trustee shall not be responsible for the Company’s failure to comply with this Article Seventeen. Any determination that the Company or the Board of Directors must make pursuant to this Article Seventeen is conclusive, absent manifest error.</w:t>
      </w:r>
    </w:p>
    <w:p>
      <w:pPr>
        <w:spacing w:after="0" w:line="178"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 xml:space="preserve">SECTION 1713. </w:t>
      </w:r>
      <w:r>
        <w:rPr>
          <w:rFonts w:ascii="Arial" w:cs="Arial" w:eastAsia="Arial" w:hAnsi="Arial"/>
          <w:sz w:val="17"/>
          <w:szCs w:val="17"/>
          <w:u w:val="single" w:color="auto"/>
          <w:color w:val="auto"/>
        </w:rPr>
        <w:t>When No Adjustment Required</w:t>
      </w:r>
      <w:r>
        <w:rPr>
          <w:rFonts w:ascii="Arial" w:cs="Arial" w:eastAsia="Arial" w:hAnsi="Arial"/>
          <w:sz w:val="17"/>
          <w:szCs w:val="17"/>
          <w:color w:val="auto"/>
        </w:rPr>
        <w:t>. Except as expressly set forth in Section 1704, no adjustment in the Conversion Price shall be made because the Company issues, in exchange for cash, property or services, shares of its Ordinary Shares, or any securities</w:t>
      </w:r>
    </w:p>
    <w:p>
      <w:pPr>
        <w:ind w:right="460"/>
        <w:spacing w:after="0" w:line="260" w:lineRule="auto"/>
        <w:rPr>
          <w:sz w:val="20"/>
          <w:szCs w:val="20"/>
          <w:color w:val="auto"/>
        </w:rPr>
      </w:pPr>
      <w:r>
        <w:rPr>
          <w:rFonts w:ascii="Arial" w:cs="Arial" w:eastAsia="Arial" w:hAnsi="Arial"/>
          <w:sz w:val="18"/>
          <w:szCs w:val="18"/>
          <w:color w:val="auto"/>
        </w:rPr>
        <w:t>convertible into or exchangeable for its Ordinary Shares, or securities (including warrants, rights and options) carrying the right to subscribe for or purchase shares of its Ordinary Shares or such convertible or exchangeable securities.</w:t>
      </w:r>
    </w:p>
    <w:p>
      <w:pPr>
        <w:spacing w:after="0" w:line="185" w:lineRule="exact"/>
        <w:rPr>
          <w:sz w:val="20"/>
          <w:szCs w:val="20"/>
          <w:color w:val="auto"/>
        </w:rPr>
      </w:pPr>
    </w:p>
    <w:p>
      <w:pPr>
        <w:jc w:val="both"/>
        <w:ind w:right="160" w:firstLine="436"/>
        <w:spacing w:after="0" w:line="259" w:lineRule="auto"/>
        <w:tabs>
          <w:tab w:leader="none" w:pos="69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Notwithstanding anything herein to the contrary, no adjustment in the Conversion Price shall be made pursuant to Section 1704 in respect of any dividend or distribution if the Holders may participate therein (on a basis to be determined in good faith by the Board of Directors) and receive the same consideration they would have received if they had converted the Securities immediately prior to the record date with respect to such dividend or distribution.</w:t>
      </w:r>
    </w:p>
    <w:p>
      <w:pPr>
        <w:spacing w:after="0" w:line="18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 xml:space="preserve">SECTION 1714. </w:t>
      </w:r>
      <w:r>
        <w:rPr>
          <w:rFonts w:ascii="Arial" w:cs="Arial" w:eastAsia="Arial" w:hAnsi="Arial"/>
          <w:sz w:val="16"/>
          <w:szCs w:val="16"/>
          <w:u w:val="single" w:color="auto"/>
          <w:color w:val="auto"/>
        </w:rPr>
        <w:t>Equivalent Adjustments</w:t>
      </w:r>
      <w:r>
        <w:rPr>
          <w:rFonts w:ascii="Arial" w:cs="Arial" w:eastAsia="Arial" w:hAnsi="Arial"/>
          <w:sz w:val="16"/>
          <w:szCs w:val="16"/>
          <w:color w:val="auto"/>
        </w:rPr>
        <w:t>. In the event that, as a result of an adjustment made pursuant to Section 1704 above, the holder of any Security thereafter surrendered for conversion shall become entitled to receive any Share Capital of the Company other than shares of its Ordinary Shares, thereafter the Conversion Price of such other shares so receivable upon conversion of any Securities shall be subject to adjustment from time to time in a manner and on terms as nearly equivalent as practicable to the provisions with respect to Ordinary Shares contained in this Article Seventeen.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224" w:name="page225"/>
    <w:bookmarkEnd w:id="224"/>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Indenture to be duly executed all as of the day and year first above written.</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CENTESSA PHARMACEUTICALS PLC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38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019"/>
          </w:cols>
          <w:pgMar w:left="440" w:top="274" w:right="1440" w:bottom="1440" w:gutter="0" w:footer="0" w:header="0"/>
        </w:sectPr>
      </w:pPr>
    </w:p>
    <w:bookmarkStart w:id="225" w:name="page226"/>
    <w:bookmarkEnd w:id="22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REDEEMABLE OR NON-REDEEMABLE SUBORDINATED SECURITY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[Face of Security]</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the Holder of this Security (as indicated below) is The Depository Trust Company (“DTC”) or a nominee of DTC, this Security is a Global Security and the following two legends apply:</w:t>
      </w:r>
    </w:p>
    <w:p>
      <w:pPr>
        <w:spacing w:after="0" w:line="5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b w:val="1"/>
          <w:bCs w:val="1"/>
          <w:color w:val="auto"/>
        </w:rPr>
        <w:t>Unless this Security is presented by an authorized representative of The Depository Trust Company, a New York Corporation (“DTC”) to the Company or its agent for registration of transfer, conversion, exchange or payment, and such Security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5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Unless and until this Security is exchanged in whole or in part for Securities in certificated form, this Security may not be transferred except as a whole by DTC to a nominee thereof or by a nominee thereof to DTC or another nominee of DTC or by DTC or any such nominee to a successor of DTC or a nominee of such successor.]</w:t>
      </w:r>
    </w:p>
    <w:p>
      <w:pPr>
        <w:spacing w:after="0" w:line="180"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If this Security is an Original Issue Discount Security, insert</w:t>
      </w:r>
      <w:r>
        <w:rPr>
          <w:rFonts w:ascii="Arial" w:cs="Arial" w:eastAsia="Arial" w:hAnsi="Arial"/>
          <w:sz w:val="17"/>
          <w:szCs w:val="17"/>
          <w:color w:val="auto"/>
        </w:rPr>
        <w:t xml:space="preserve"> — FOR PURPOSES OF SECTION 1273 and 1275 OF THE UNITED STATES INTERNAL REVENUE CODE, THE AMOUNT OF ORIGINAL ISSUE DISCOUNT ON THIS SECURITY IS % OF ITS PRINCIPAL AMOUNT, THE ISSUE DATE IS __________, 20__, AND THE YIELD TO MATURITY IS ___%. THE METHOD USED TO DETERMINE THE AMOUNT</w:t>
      </w:r>
    </w:p>
    <w:p>
      <w:pPr>
        <w:spacing w:after="0"/>
        <w:rPr>
          <w:sz w:val="20"/>
          <w:szCs w:val="20"/>
          <w:color w:val="auto"/>
        </w:rPr>
      </w:pPr>
      <w:r>
        <w:rPr>
          <w:rFonts w:ascii="Arial" w:cs="Arial" w:eastAsia="Arial" w:hAnsi="Arial"/>
          <w:sz w:val="17"/>
          <w:szCs w:val="17"/>
          <w:color w:val="auto"/>
        </w:rPr>
        <w:t>OF ORIGINAL ISSUE DISCOUNT APPLICABLE TO THE SHORT ACCRUAL PERIOD OF __________, 20__ TO __________, 20__, IS %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PRINCIPAL AMOUNT OF THIS SECURITY.]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7960" w:type="dxa"/>
            <w:vAlign w:val="bottom"/>
            <w:gridSpan w:val="2"/>
          </w:tcPr>
          <w:p>
            <w:pPr>
              <w:jc w:val="center"/>
              <w:ind w:right="2960"/>
              <w:spacing w:after="0"/>
              <w:rPr>
                <w:sz w:val="20"/>
                <w:szCs w:val="20"/>
                <w:color w:val="auto"/>
              </w:rPr>
            </w:pPr>
            <w:r>
              <w:rPr>
                <w:rFonts w:ascii="Arial" w:cs="Arial" w:eastAsia="Arial" w:hAnsi="Arial"/>
                <w:sz w:val="18"/>
                <w:szCs w:val="18"/>
                <w:color w:val="auto"/>
                <w:w w:val="96"/>
              </w:rPr>
              <w:t>CENTESSA PHARMACEUTICALS PLC</w:t>
            </w:r>
          </w:p>
        </w:tc>
      </w:tr>
      <w:tr>
        <w:trPr>
          <w:trHeight w:val="432"/>
        </w:trPr>
        <w:tc>
          <w:tcPr>
            <w:tcW w:w="3000" w:type="dxa"/>
            <w:vAlign w:val="bottom"/>
          </w:tcPr>
          <w:p>
            <w:pPr>
              <w:spacing w:after="0"/>
              <w:rPr>
                <w:sz w:val="24"/>
                <w:szCs w:val="24"/>
                <w:color w:val="auto"/>
              </w:rPr>
            </w:pPr>
          </w:p>
        </w:tc>
        <w:tc>
          <w:tcPr>
            <w:tcW w:w="7960" w:type="dxa"/>
            <w:vAlign w:val="bottom"/>
            <w:gridSpan w:val="2"/>
          </w:tcPr>
          <w:p>
            <w:pPr>
              <w:jc w:val="center"/>
              <w:ind w:right="2960"/>
              <w:spacing w:after="0"/>
              <w:rPr>
                <w:sz w:val="20"/>
                <w:szCs w:val="20"/>
                <w:color w:val="auto"/>
              </w:rPr>
            </w:pPr>
            <w:r>
              <w:rPr>
                <w:rFonts w:ascii="Arial" w:cs="Arial" w:eastAsia="Arial" w:hAnsi="Arial"/>
                <w:sz w:val="18"/>
                <w:szCs w:val="18"/>
                <w:color w:val="auto"/>
                <w:w w:val="92"/>
              </w:rPr>
              <w:t>[Designation of Series]</w:t>
            </w:r>
          </w:p>
        </w:tc>
      </w:tr>
      <w:tr>
        <w:trPr>
          <w:trHeight w:val="459"/>
        </w:trPr>
        <w:tc>
          <w:tcPr>
            <w:tcW w:w="3000" w:type="dxa"/>
            <w:vAlign w:val="bottom"/>
          </w:tcPr>
          <w:p>
            <w:pPr>
              <w:spacing w:after="0"/>
              <w:rPr>
                <w:sz w:val="20"/>
                <w:szCs w:val="20"/>
                <w:color w:val="auto"/>
              </w:rPr>
            </w:pPr>
            <w:r>
              <w:rPr>
                <w:rFonts w:ascii="Arial" w:cs="Arial" w:eastAsia="Arial" w:hAnsi="Arial"/>
                <w:sz w:val="18"/>
                <w:szCs w:val="18"/>
                <w:color w:val="auto"/>
              </w:rPr>
              <w:t>No. ________________</w:t>
            </w:r>
          </w:p>
        </w:tc>
        <w:tc>
          <w:tcPr>
            <w:tcW w:w="7960" w:type="dxa"/>
            <w:vAlign w:val="bottom"/>
            <w:gridSpan w:val="2"/>
          </w:tcPr>
          <w:p>
            <w:pPr>
              <w:jc w:val="right"/>
              <w:spacing w:after="0"/>
              <w:rPr>
                <w:sz w:val="20"/>
                <w:szCs w:val="20"/>
                <w:color w:val="auto"/>
              </w:rPr>
            </w:pPr>
            <w:r>
              <w:rPr>
                <w:rFonts w:ascii="Arial" w:cs="Arial" w:eastAsia="Arial" w:hAnsi="Arial"/>
                <w:sz w:val="18"/>
                <w:szCs w:val="18"/>
                <w:color w:val="auto"/>
              </w:rPr>
              <w:t>$_____</w:t>
            </w:r>
          </w:p>
        </w:tc>
      </w:tr>
      <w:tr>
        <w:trPr>
          <w:trHeight w:val="223"/>
        </w:trPr>
        <w:tc>
          <w:tcPr>
            <w:tcW w:w="3000" w:type="dxa"/>
            <w:vAlign w:val="bottom"/>
          </w:tcPr>
          <w:p>
            <w:pPr>
              <w:spacing w:after="0"/>
              <w:rPr>
                <w:sz w:val="20"/>
                <w:szCs w:val="20"/>
                <w:color w:val="auto"/>
              </w:rPr>
            </w:pPr>
            <w:r>
              <w:rPr>
                <w:rFonts w:ascii="Arial" w:cs="Arial" w:eastAsia="Arial" w:hAnsi="Arial"/>
                <w:sz w:val="18"/>
                <w:szCs w:val="18"/>
                <w:color w:val="auto"/>
              </w:rPr>
              <w:t>CUSIP No. _____________</w:t>
            </w:r>
          </w:p>
        </w:tc>
        <w:tc>
          <w:tcPr>
            <w:tcW w:w="74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r>
    </w:tbl>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CENTESSA PHARMACEUTICALS PLC, a company incorporated under the laws of England and Wales (herein referred to as the “Company,” which term includes any successor corporation under the Indenture referred to on the reverse hereof), for value received, hereby promises to pay to or registered assigns the principal sum of Dollars on (the “Stated Maturity Date”) [or </w:t>
      </w:r>
      <w:r>
        <w:rPr>
          <w:rFonts w:ascii="Arial" w:cs="Arial" w:eastAsia="Arial" w:hAnsi="Arial"/>
          <w:sz w:val="17"/>
          <w:szCs w:val="17"/>
          <w:u w:val="single" w:color="auto"/>
          <w:color w:val="auto"/>
        </w:rPr>
        <w:t>insert date fixed for earlier redemption</w:t>
      </w:r>
      <w:r>
        <w:rPr>
          <w:rFonts w:ascii="Arial" w:cs="Arial" w:eastAsia="Arial" w:hAnsi="Arial"/>
          <w:sz w:val="17"/>
          <w:szCs w:val="17"/>
          <w:color w:val="auto"/>
        </w:rPr>
        <w:t xml:space="preserve"> (the “Redemption Date,” and together with the Stated Maturity Date with respect to principal repayable on such date, the “Maturity Date.”)]</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If the Security is to bear interest prior to Maturity, insert</w:t>
      </w:r>
      <w:r>
        <w:rPr>
          <w:rFonts w:ascii="Arial" w:cs="Arial" w:eastAsia="Arial" w:hAnsi="Arial"/>
          <w:sz w:val="16"/>
          <w:szCs w:val="16"/>
          <w:color w:val="auto"/>
        </w:rPr>
        <w:t xml:space="preserve"> — and to pay interest thereon from or from the most recent Interest Payment Date to which interest has been paid or duly provided for, semi-annually on and in each year (each, an “Interest Payment Date”), commencing , at the rate of % per annum, until the principal hereof is paid or duly provided for. The interest so payable, and punctually paid or duly provided for, on any Interest Payment Date will, as provided in such Indenture, be paid to the Holder in whose name this Security (or one or more Predecessor Securities) is registered at the close of business on the Regular Record Date for such interest, which shall be the or (whether or not a Business Day), as the case may be, next preceding such Interest Payment Date [at the office or agency of the Company maintained for such purpose;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interest may be paid, at the Company’s option, by mailing a check to such Holder at its registered address or by transfer of funds to an account maintained by such Holder within the United States]. Any such interest not so punctually paid or duly provided for shall forthwith cease to be payable to the Holder on such Regular Record Date, and may be paid to the Holder in whose name this Security (or one or more Predecessor Securities) is registered at the close of business on a Special Record Date for the payment of such Defaulted Interest to be fixed by the Trustee, notice whereof shall be given to</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60"/>
          </w:cols>
          <w:pgMar w:left="440" w:top="274" w:right="499" w:bottom="1440" w:gutter="0" w:footer="0" w:header="0"/>
        </w:sectPr>
      </w:pPr>
    </w:p>
    <w:bookmarkStart w:id="226" w:name="page227"/>
    <w:bookmarkEnd w:id="226"/>
    <w:p>
      <w:pPr>
        <w:jc w:val="both"/>
        <w:ind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of Securities of this series not less than 10 calendar days prior to such Special Record Date, or may be paid at any time in any other lawful manner not inconsistent with the requirements of any over-the-counter market or securities exchange on which the Securities of this series may be quoted or listed, and upon such notice as may be required by such market or exchange, all as more fully provided in the Indenture. Interest will be computed on the basis of a 360-day year of twelve 30-day months.]</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If the Security is not to bear interest prior to Maturity, insert</w:t>
      </w:r>
      <w:r>
        <w:rPr>
          <w:rFonts w:ascii="Arial" w:cs="Arial" w:eastAsia="Arial" w:hAnsi="Arial"/>
          <w:sz w:val="17"/>
          <w:szCs w:val="17"/>
          <w:color w:val="auto"/>
        </w:rPr>
        <w:t xml:space="preserve"> — The principal of this Security shall not bear interest except in the case of a default in payment of principal upon acceleration, upon redemption or at the [Stated] Maturity Date and in such case the overdue principal of this Security shall bear interest at the rate of ___%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 Any such interest on any overdue principal that is not so paid on demand shall bear interest at the rate of % per annum (to the extent that the payment of such interest shall be legally enforceable), which shall accrue from the date of such demand for payment to the date payment of such interest has been made or duly provided for, and such interest shall also be payable on demand.]</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principal of this Security payable on the Stated Maturity Date [or the principal of, premium or Make-Whole Amount, if any, and, if the Redemption Date is not an Interest Payment Date, interest on this Security payable on the Redemption Date] will be paid against presentation of this Security at the office or agency of the Company maintained for that purpose in , in such coin or currency of the United States of America as at the time of payment is legal tender for the payment of public and private debts.</w:t>
      </w:r>
    </w:p>
    <w:p>
      <w:pPr>
        <w:spacing w:after="0" w:line="18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Interest payable on this Security on any Interest Payment Date and on the [Stated] Maturity Date [or Redemption Date, as the case may be,] will include interest accrued from and including the next preceding Interest Payment Date in respect of which interest has been paid or duly provided for (or from and including , if no interest has been paid on this Security) to but excluding such Interest Payment Date or the [Stated] Maturity Date [or Redemption Date, as the case may be.] If any Interest Payment Date or the [Stated] Maturity Date or [Redemption Date] falls on a day that is not a Business Day, as defined below, principal, premium or Make-Whole Amount, if any, and/or interest payable with respect to such Interest Payment Date or [Stated] Maturity Date [or Redemption Date, as the case may be,] will be paid on the next succeeding Business Day with the same force and effect as if it were paid on the date such payment was due, and no interest shall accrue on the amount so payable for the period from and after such Interest Payment Date or [Stated] Maturity Date [or Redemption Date, as the case may be.] “Business Day” means any day, other than a Saturday or Sunday, that is neither a legal holiday nor a day on which banking institutions in The City of New York are required or authorized by law, regulation or executive order to close.</w:t>
      </w:r>
    </w:p>
    <w:p>
      <w:pPr>
        <w:spacing w:after="0" w:line="16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 this Security is a Global Security, insert</w:t>
      </w:r>
      <w:r>
        <w:rPr>
          <w:rFonts w:ascii="Arial" w:cs="Arial" w:eastAsia="Arial" w:hAnsi="Arial"/>
          <w:sz w:val="18"/>
          <w:szCs w:val="18"/>
          <w:color w:val="auto"/>
        </w:rPr>
        <w:t xml:space="preserve"> — All payments of principal, premium or Make-Whole Amount, if any, and interest in respect of this Security will be made by the Company in immediately available funds.]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Security shall not be entitled to any benefit under the Indenture, or be valid or obligatory for any purpose.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instrument to be duly executed under its facsimile corporate seal.</w:t>
      </w:r>
    </w:p>
    <w:p>
      <w:pPr>
        <w:spacing w:after="0" w:line="252"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______________</w:t>
      </w:r>
      <w:r>
        <w:rPr>
          <w:sz w:val="20"/>
          <w:szCs w:val="20"/>
          <w:color w:val="auto"/>
        </w:rPr>
        <w:tab/>
      </w:r>
      <w:r>
        <w:rPr>
          <w:rFonts w:ascii="Arial" w:cs="Arial" w:eastAsia="Arial" w:hAnsi="Arial"/>
          <w:sz w:val="17"/>
          <w:szCs w:val="17"/>
          <w:color w:val="auto"/>
        </w:rPr>
        <w:t>CENTESSA PHARMACEUTICALS PLC</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5">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Attest: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CENTESSA PHARMACEUTICALS PLC</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Security is one of a duly authorized issue of securities of the Company (herein called the “Securities”), issued and to be issued in one or more series under an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Indenture, dated as of __________, 20__ (herein called the “Indenture”) between the Company and , as Trustee (herein called the “Trustee,” which term</w:t>
      </w:r>
    </w:p>
    <w:p>
      <w:pPr>
        <w:spacing w:after="0" w:line="4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includes any successor trustee under the Indenture with respect to the series of which this Security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duly authorized series of Securities designated on the face hereof (collectively, the “Securities”), [</w:t>
      </w:r>
      <w:r>
        <w:rPr>
          <w:rFonts w:ascii="Arial" w:cs="Arial" w:eastAsia="Arial" w:hAnsi="Arial"/>
          <w:sz w:val="18"/>
          <w:szCs w:val="18"/>
          <w:u w:val="single" w:color="auto"/>
          <w:color w:val="auto"/>
        </w:rPr>
        <w:t>if applicable, insert</w:t>
      </w:r>
      <w:r>
        <w:rPr>
          <w:rFonts w:ascii="Arial" w:cs="Arial" w:eastAsia="Arial" w:hAnsi="Arial"/>
          <w:sz w:val="18"/>
          <w:szCs w:val="18"/>
          <w:color w:val="auto"/>
        </w:rPr>
        <w:t xml:space="preserve"> — and the aggregate principal amount of the Securities to be issued under such series is limited to $ (except for Securities authenticated and delivered upon transfer of, or in exchange for, or in lieu of other Securities).] All terms used in this Security which are defined in the Indenture shall have the meanings assigned to them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4062095</wp:posOffset>
            </wp:positionH>
            <wp:positionV relativeFrom="paragraph">
              <wp:posOffset>-305435</wp:posOffset>
            </wp:positionV>
            <wp:extent cx="2857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 applicable, insert</w:t>
      </w:r>
      <w:r>
        <w:rPr>
          <w:rFonts w:ascii="Arial" w:cs="Arial" w:eastAsia="Arial" w:hAnsi="Arial"/>
          <w:sz w:val="18"/>
          <w:szCs w:val="18"/>
          <w:color w:val="auto"/>
        </w:rPr>
        <w:t xml:space="preserve"> — The Securities may not be redeemed prior to the Stated Maturity Date.]</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If applicable, insert</w:t>
      </w:r>
      <w:r>
        <w:rPr>
          <w:rFonts w:ascii="Arial" w:cs="Arial" w:eastAsia="Arial" w:hAnsi="Arial"/>
          <w:sz w:val="16"/>
          <w:szCs w:val="16"/>
          <w:color w:val="auto"/>
        </w:rPr>
        <w:t xml:space="preserve"> — The Securities are subject to redemption [ (l) </w:t>
      </w:r>
      <w:r>
        <w:rPr>
          <w:rFonts w:ascii="Arial" w:cs="Arial" w:eastAsia="Arial" w:hAnsi="Arial"/>
          <w:sz w:val="16"/>
          <w:szCs w:val="16"/>
          <w:u w:val="single" w:color="auto"/>
          <w:color w:val="auto"/>
        </w:rPr>
        <w:t>(If applicable, insert</w:t>
      </w:r>
      <w:r>
        <w:rPr>
          <w:rFonts w:ascii="Arial" w:cs="Arial" w:eastAsia="Arial" w:hAnsi="Arial"/>
          <w:sz w:val="16"/>
          <w:szCs w:val="16"/>
          <w:color w:val="auto"/>
        </w:rPr>
        <w:t xml:space="preserve"> — on in any year commencing with the year and ending with the year through operation of the sinking fund for this series at a Redemption Price equal to 100% of the principal amount, and (2) ] [</w:t>
      </w:r>
      <w:r>
        <w:rPr>
          <w:rFonts w:ascii="Arial" w:cs="Arial" w:eastAsia="Arial" w:hAnsi="Arial"/>
          <w:sz w:val="16"/>
          <w:szCs w:val="16"/>
          <w:u w:val="single" w:color="auto"/>
          <w:color w:val="auto"/>
        </w:rPr>
        <w:t>If applicable, insert</w:t>
      </w:r>
    </w:p>
    <w:p>
      <w:pPr>
        <w:ind w:right="200"/>
        <w:spacing w:after="0" w:line="260" w:lineRule="auto"/>
        <w:rPr>
          <w:sz w:val="20"/>
          <w:szCs w:val="20"/>
          <w:color w:val="auto"/>
        </w:rPr>
      </w:pPr>
      <w:r>
        <w:rPr>
          <w:rFonts w:ascii="Arial" w:cs="Arial" w:eastAsia="Arial" w:hAnsi="Arial"/>
          <w:sz w:val="18"/>
          <w:szCs w:val="18"/>
          <w:color w:val="auto"/>
        </w:rPr>
        <w:t>— at any time [on or after ], as a whole or in part, at the election of the Company, at the following Redemption Prices (expressed as percentages of the principal amount):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If redeemed on or before , % and if redeemed during the 12-month period beginning of the years indicated at the Redemption Prices indicated below.</w:t>
      </w:r>
    </w:p>
    <w:p>
      <w:pPr>
        <w:spacing w:after="0" w:line="271" w:lineRule="exact"/>
        <w:rPr>
          <w:sz w:val="20"/>
          <w:szCs w:val="20"/>
          <w:color w:val="auto"/>
        </w:rPr>
      </w:pPr>
    </w:p>
    <w:p>
      <w:pPr>
        <w:spacing w:after="0"/>
        <w:tabs>
          <w:tab w:leader="none" w:pos="3960" w:val="left"/>
          <w:tab w:leader="none" w:pos="7080" w:val="left"/>
          <w:tab w:leader="none" w:pos="9320" w:val="left"/>
        </w:tabs>
        <w:rPr>
          <w:sz w:val="20"/>
          <w:szCs w:val="20"/>
          <w:color w:val="auto"/>
        </w:rPr>
      </w:pPr>
      <w:r>
        <w:rPr>
          <w:rFonts w:ascii="Arial" w:cs="Arial" w:eastAsia="Arial" w:hAnsi="Arial"/>
          <w:sz w:val="14"/>
          <w:szCs w:val="14"/>
          <w:u w:val="single" w:color="auto"/>
          <w:color w:val="auto"/>
        </w:rPr>
        <w:t>Year</w:t>
      </w:r>
      <w:r>
        <w:rPr>
          <w:sz w:val="20"/>
          <w:szCs w:val="20"/>
          <w:color w:val="auto"/>
        </w:rPr>
        <w:tab/>
      </w:r>
      <w:r>
        <w:rPr>
          <w:rFonts w:ascii="Arial" w:cs="Arial" w:eastAsia="Arial" w:hAnsi="Arial"/>
          <w:sz w:val="14"/>
          <w:szCs w:val="14"/>
          <w:color w:val="auto"/>
        </w:rPr>
        <w:t>Redemption Price</w:t>
      </w:r>
      <w:r>
        <w:rPr>
          <w:sz w:val="20"/>
          <w:szCs w:val="20"/>
          <w:color w:val="auto"/>
        </w:rPr>
        <w:tab/>
      </w:r>
      <w:r>
        <w:rPr>
          <w:rFonts w:ascii="Arial" w:cs="Arial" w:eastAsia="Arial" w:hAnsi="Arial"/>
          <w:sz w:val="14"/>
          <w:szCs w:val="14"/>
          <w:color w:val="auto"/>
        </w:rPr>
        <w:t>Year</w:t>
      </w:r>
      <w:r>
        <w:rPr>
          <w:sz w:val="20"/>
          <w:szCs w:val="20"/>
          <w:color w:val="auto"/>
        </w:rPr>
        <w:tab/>
      </w:r>
      <w:r>
        <w:rPr>
          <w:rFonts w:ascii="Arial" w:cs="Arial" w:eastAsia="Arial" w:hAnsi="Arial"/>
          <w:sz w:val="13"/>
          <w:szCs w:val="13"/>
          <w:color w:val="auto"/>
        </w:rPr>
        <w:t>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12700</wp:posOffset>
            </wp:positionV>
            <wp:extent cx="497205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9">
                      <a:extLst>
                        <a:ext uri="{28A0092B-C50C-407E-A947-70E740481C1C}"/>
                      </a:extLst>
                    </a:blip>
                    <a:srcRect/>
                    <a:stretch>
                      <a:fillRect/>
                    </a:stretch>
                  </pic:blipFill>
                  <pic:spPr bwMode="auto">
                    <a:xfrm>
                      <a:off x="0" y="0"/>
                      <a:ext cx="4972050" cy="8890"/>
                    </a:xfrm>
                    <a:prstGeom prst="rect">
                      <a:avLst/>
                    </a:prstGeom>
                    <a:noFill/>
                  </pic:spPr>
                </pic:pic>
              </a:graphicData>
            </a:graphic>
          </wp:anchor>
        </w:drawing>
      </w:r>
    </w:p>
    <w:p>
      <w:pPr>
        <w:spacing w:after="0" w:line="215"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and thereafter at a Redemption Price equal to ___% of the principal amount, together in the case of any such redemption [</w:t>
      </w:r>
      <w:r>
        <w:rPr>
          <w:rFonts w:ascii="Arial" w:cs="Arial" w:eastAsia="Arial" w:hAnsi="Arial"/>
          <w:sz w:val="16"/>
          <w:szCs w:val="16"/>
          <w:u w:val="single" w:color="auto"/>
          <w:color w:val="auto"/>
        </w:rPr>
        <w:t>If applicable, insert</w:t>
      </w:r>
      <w:r>
        <w:rPr>
          <w:rFonts w:ascii="Arial" w:cs="Arial" w:eastAsia="Arial" w:hAnsi="Arial"/>
          <w:sz w:val="16"/>
          <w:szCs w:val="16"/>
          <w:color w:val="auto"/>
        </w:rPr>
        <w:t xml:space="preserve"> — (whether through operation of the sinking fund or otherwise)] with accrued interest to the Redemption Date;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5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If applicable, insert</w:t>
      </w:r>
      <w:r>
        <w:rPr>
          <w:rFonts w:ascii="Arial" w:cs="Arial" w:eastAsia="Arial" w:hAnsi="Arial"/>
          <w:sz w:val="17"/>
          <w:szCs w:val="17"/>
          <w:color w:val="auto"/>
        </w:rPr>
        <w:t xml:space="preserve"> — The Securities are subject to redemption (1) on in any year commencing with the year and ending with the year through operation of the sinking fund for this series at the Redemption Prices for redemption through operation of the sinking fund (expressed as percentages of the principal amount) set forth in the table below, and (2) at any time [on or after ], as a whole or in part, at the election of the Company, at the Redemption Prices for redemption otherwise than through operation of the sinking fund (expressed as percentages of the principal amount) set forth in the table below: If redeemed during the 12-month period beginning of the years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color w:val="auto"/>
                <w:w w:val="94"/>
              </w:rPr>
              <w:t>Redemption Price for</w:t>
            </w:r>
          </w:p>
        </w:tc>
      </w:tr>
      <w:tr>
        <w:trPr>
          <w:trHeight w:val="148"/>
        </w:trPr>
        <w:tc>
          <w:tcPr>
            <w:tcW w:w="2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6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Redemption Price for</w:t>
            </w:r>
          </w:p>
        </w:tc>
        <w:tc>
          <w:tcPr>
            <w:tcW w:w="3420" w:type="dxa"/>
            <w:vAlign w:val="bottom"/>
          </w:tcPr>
          <w:p>
            <w:pPr>
              <w:jc w:val="center"/>
              <w:spacing w:after="0" w:line="149" w:lineRule="exact"/>
              <w:rPr>
                <w:sz w:val="20"/>
                <w:szCs w:val="20"/>
                <w:color w:val="auto"/>
              </w:rPr>
            </w:pPr>
            <w:r>
              <w:rPr>
                <w:rFonts w:ascii="Arial" w:cs="Arial" w:eastAsia="Arial" w:hAnsi="Arial"/>
                <w:sz w:val="14"/>
                <w:szCs w:val="14"/>
                <w:color w:val="auto"/>
                <w:w w:val="93"/>
              </w:rPr>
              <w:t>Redemption Otherwise Than</w:t>
            </w:r>
          </w:p>
        </w:tc>
      </w:tr>
      <w:tr>
        <w:trPr>
          <w:trHeight w:val="149"/>
        </w:trPr>
        <w:tc>
          <w:tcPr>
            <w:tcW w:w="2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6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Redemption Through</w:t>
            </w:r>
          </w:p>
        </w:tc>
        <w:tc>
          <w:tcPr>
            <w:tcW w:w="3420" w:type="dxa"/>
            <w:vAlign w:val="bottom"/>
          </w:tcPr>
          <w:p>
            <w:pPr>
              <w:jc w:val="center"/>
              <w:spacing w:after="0" w:line="149" w:lineRule="exact"/>
              <w:rPr>
                <w:sz w:val="20"/>
                <w:szCs w:val="20"/>
                <w:color w:val="auto"/>
              </w:rPr>
            </w:pPr>
            <w:r>
              <w:rPr>
                <w:rFonts w:ascii="Arial" w:cs="Arial" w:eastAsia="Arial" w:hAnsi="Arial"/>
                <w:sz w:val="14"/>
                <w:szCs w:val="14"/>
                <w:color w:val="auto"/>
                <w:w w:val="93"/>
              </w:rPr>
              <w:t>Through Operation of the</w:t>
            </w:r>
          </w:p>
        </w:tc>
      </w:tr>
      <w:tr>
        <w:trPr>
          <w:trHeight w:val="174"/>
        </w:trPr>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1"/>
              </w:rPr>
              <w:t>Year</w:t>
            </w:r>
          </w:p>
        </w:tc>
        <w:tc>
          <w:tcPr>
            <w:tcW w:w="3720" w:type="dxa"/>
            <w:vAlign w:val="bottom"/>
          </w:tcPr>
          <w:p>
            <w:pPr>
              <w:spacing w:after="0"/>
              <w:rPr>
                <w:sz w:val="15"/>
                <w:szCs w:val="15"/>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Operation of the Sinking Fund</w:t>
            </w:r>
          </w:p>
        </w:tc>
        <w:tc>
          <w:tcPr>
            <w:tcW w:w="100" w:type="dxa"/>
            <w:vAlign w:val="bottom"/>
          </w:tcPr>
          <w:p>
            <w:pPr>
              <w:spacing w:after="0"/>
              <w:rPr>
                <w:sz w:val="15"/>
                <w:szCs w:val="15"/>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Sinking Fund</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20"/>
          </w:cols>
          <w:pgMar w:left="440" w:top="274" w:right="439" w:bottom="1440" w:gutter="0" w:footer="0" w:header="0"/>
        </w:sectPr>
      </w:pPr>
    </w:p>
    <w:bookmarkStart w:id="228" w:name="page229"/>
    <w:bookmarkEnd w:id="228"/>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thereafter at a Redemption Price equal to ___% of the principal amount, together in the case of any such redemption (whether through operation of the sinking fund or otherwise) with accrued interest to the Redemption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If applicable, insert</w:t>
      </w:r>
      <w:r>
        <w:rPr>
          <w:rFonts w:ascii="Arial" w:cs="Arial" w:eastAsia="Arial" w:hAnsi="Arial"/>
          <w:sz w:val="17"/>
          <w:szCs w:val="17"/>
          <w:color w:val="auto"/>
        </w:rPr>
        <w:t xml:space="preserve"> — Notwithstanding the foregoing, the Company may not, prior to , redeem any Securities as contemplated by [Clause (2) of] the preceding paragraph as a part of, or in anticipation of, any refunding operation by the application, directly or indirectly, of moneys borrowed having an interest cost to the Company (calculated in accordance with generally accepted financial practice) of less than ___% per annum.]</w:t>
      </w:r>
    </w:p>
    <w:p>
      <w:pPr>
        <w:spacing w:after="0" w:line="16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If applicable, insert</w:t>
      </w:r>
      <w:r>
        <w:rPr>
          <w:rFonts w:ascii="Arial" w:cs="Arial" w:eastAsia="Arial" w:hAnsi="Arial"/>
          <w:sz w:val="17"/>
          <w:szCs w:val="17"/>
          <w:color w:val="auto"/>
        </w:rPr>
        <w:t xml:space="preserve"> — The sinking fund for the Securities provides for the redemption on in each year, beginning with the year and ending with the year , of [not less than] $ ] [(“mandatory sinking fund”) and not more than $ ] aggregate principal amount of the Securities. [The Securities acquired or redeemed by the Company otherwise than through [mandatory] sinking fund payments may be credited against subsequent [mandatory] sinking fund payments otherwise required to be made in the [</w:t>
      </w:r>
      <w:r>
        <w:rPr>
          <w:rFonts w:ascii="Arial" w:cs="Arial" w:eastAsia="Arial" w:hAnsi="Arial"/>
          <w:sz w:val="17"/>
          <w:szCs w:val="17"/>
          <w:u w:val="single" w:color="auto"/>
          <w:color w:val="auto"/>
        </w:rPr>
        <w:t>describe order</w:t>
      </w:r>
      <w:r>
        <w:rPr>
          <w:rFonts w:ascii="Arial" w:cs="Arial" w:eastAsia="Arial" w:hAnsi="Arial"/>
          <w:sz w:val="17"/>
          <w:szCs w:val="17"/>
          <w:color w:val="auto"/>
        </w:rPr>
        <w:t>] order in which they become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-318770</wp:posOffset>
            </wp:positionV>
            <wp:extent cx="2857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-318770</wp:posOffset>
            </wp:positionV>
            <wp:extent cx="2857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Notice of redemption will be given by mail to Holders of Securities, not less than 30 nor more than 60 calendar days prior to the Redemption Date, all as provided in the Indenture.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event of redemption of this Security in part only, a new Security or Securities for the unredeemed portion hereof shall be issued in the name of the Holder hereof upon the cancellation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applicable, insert conversion provisions set forth in any Board Resolution or indenture supplemental to the Indenture.]</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Security shall be conclusive and binding upon such Holder and upon all future Holders of this Security and other Securities issued upon the registration of transfer hereof or conversion or in exchange herefor or in lieu hereof, whether or not notation of such consent or waiver is made upon this Security.</w:t>
      </w:r>
    </w:p>
    <w:p>
      <w:pPr>
        <w:spacing w:after="0" w:line="18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premium or Make-Whole Amount, if any) and interest on this Security at the times, places and rate, and in the coin or currency, herein prescribed.</w:t>
      </w:r>
    </w:p>
    <w:p>
      <w:pPr>
        <w:spacing w:after="0" w:line="184"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As provided in the Indenture and subject to certain limitations therein [and herein] set forth, the transfer of this Security is registrable in the Security Register of the Company upon surrender of this Security for registration of transfer at the office or agency of the Company in any place where the principal of (and premium or Make-Whole Amount, if any) and interest on this Security are payable, duly endorsed by, or accompanied by a written instrument of transfer in form satisfactory to the Company and the Security Registrar duly executed by, the Holder hereof or by his attorney duly authorized in writing, and thereupon one or more new Securities, of authorized denominations and for the same aggregate principal amount, will be issued to the designated transferee or transferees.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74" w:right="459" w:bottom="1440" w:gutter="0" w:footer="0" w:header="0"/>
        </w:sectPr>
      </w:pPr>
    </w:p>
    <w:bookmarkStart w:id="229" w:name="page230"/>
    <w:bookmarkEnd w:id="229"/>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provided in the Indenture and subject to certain limitations therein [and herein] set forth, this Security is exchangeable for a like aggregate principal amount of Securities of different authorized denominations but otherwise having the same terms and conditions, as requested by the Holder hereof surrendering the same.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This Security is subordinated to the prior payment in full in cash of Senior Indebtedness to the extent set forth in Article Sixteen of the Indenture.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of this series are issuable only in registered form [without coupons] in denominations of $ and any integral multiple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4794885</wp:posOffset>
            </wp:positionH>
            <wp:positionV relativeFrom="paragraph">
              <wp:posOffset>-10160</wp:posOffset>
            </wp:positionV>
            <wp:extent cx="2857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conversion or exchange, but the Company may require payment of a sum sufficient to cover any tax or other governmental charge payable in connection therewith,</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No recourse shall be had for the payment of the principal of or premium or Make-Whole Amount, if any, or the interest on this Security, or for any claim based hereon, or otherwise in respect hereof, or based on or in respect of the Indenture or any indenture supplemental thereto, against any past, present or future shareholder, employee, officer or director, as such, of the Company or of any successor, either directly or through the Company or any successor,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Indenture and the Securities shall be governed by and construed in accordance with the laws of the State of New York applicable to agreements made and to be performed entirely in such State.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4" w:right="459" w:bottom="1440" w:gutter="0" w:footer="0" w:header="0"/>
        </w:sectPr>
      </w:pPr>
    </w:p>
    <w:bookmarkStart w:id="230" w:name="page231"/>
    <w:bookmarkEnd w:id="230"/>
    <w:p>
      <w:pPr>
        <w:ind w:left="50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1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FORMS OF CERTIFICATION</w:t>
      </w:r>
    </w:p>
    <w:p>
      <w:pPr>
        <w:spacing w:after="0" w:line="11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EXHIBIT B-1</w:t>
      </w:r>
    </w:p>
    <w:p>
      <w:pPr>
        <w:spacing w:after="0" w:line="117"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FORM OF CERTIFICATE TO BE GIVEN BY PERSON ENTITLED TO RECEIVE BEARER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SECURITY OR TO OBTAIN INTEREST PAYABLE PRIOR TO THE EXCHANGE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[Insert title or sufficient description of Securities to be delivered]</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 (a) foreign branches of United States financial institutions (financial institutions, as defined in United States Treasury Regulations</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Section 2.165-12(c)(1)(v)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Centessa Pharmaceuticals plc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7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70"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We undertake to advise you promptly by tested telex or by telecopy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This certificate excepts and does not relate to [U.S.$] of such interest in the above-captioned Securities in respect of which we are 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18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___________</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[To be dated no earlier than the 15th calendar day prior to (i) the Exchange Date or (ii) the relevant Interest Payment Date occurring prior to the Exchange Date, as applicable]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74" w:right="459" w:bottom="1440" w:gutter="0" w:footer="0" w:header="0"/>
        </w:sectPr>
      </w:pPr>
    </w:p>
    <w:bookmarkStart w:id="231" w:name="page232"/>
    <w:bookmarkEnd w:id="231"/>
    <w:p>
      <w:pPr>
        <w:jc w:val="right"/>
        <w:ind w:right="5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Person Making Certification]</w:t>
      </w:r>
    </w:p>
    <w:p>
      <w:pPr>
        <w:spacing w:after="0" w:line="200" w:lineRule="exact"/>
        <w:rPr>
          <w:sz w:val="20"/>
          <w:szCs w:val="20"/>
          <w:color w:val="auto"/>
        </w:rPr>
      </w:pPr>
    </w:p>
    <w:p>
      <w:pPr>
        <w:spacing w:after="0" w:line="3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-130175</wp:posOffset>
            </wp:positionV>
            <wp:extent cx="279463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9019"/>
          </w:cols>
          <w:pgMar w:left="1440" w:top="274" w:right="1440" w:bottom="1440" w:gutter="0" w:footer="0" w:header="0"/>
        </w:sectPr>
      </w:pPr>
    </w:p>
    <w:bookmarkStart w:id="232" w:name="page233"/>
    <w:bookmarkEnd w:id="232"/>
    <w:p>
      <w:pPr>
        <w:ind w:left="4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B-2</w:t>
      </w:r>
    </w:p>
    <w:p>
      <w:pPr>
        <w:spacing w:after="0" w:line="11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FORM OF CERTIFICATE TO BE GIVEN BY EUROCLEAR AND CLEARSTREAM S.A. IN</w:t>
      </w:r>
    </w:p>
    <w:p>
      <w:pPr>
        <w:spacing w:after="0" w:line="23"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CONNECTION WITH THE EXCHANGE OF A PORTION OF A TEMPORARY GLOBAL</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SECURITY OR TO OBTAIN INTEREST PAYABLE PRIOR TO THE EXCHANGE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[Insert title or sufficient description of Securities to be delivered]</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(financial institutions, as defined in U.S.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Centessa Pharmaceuticals plc or its agent that such financial institution will comply with the requirements of Section 165(j)(3)(A), (B) or (C) of the Internal Revenue Code of 1986, as amended, and the regulations thereunder), or (iii) is owned by United States or foreign financial institution(s) for purposes of resale during the restricted period (as defined in United States Treasury Regulations Section 1.163-5(c)(2)(i)(D)(7)),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7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8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[To be dated no earlier than the Exchange Date or the relevant Interest Payment Date occurring prior to the Exchange Date, as applicable]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[Morgan Guaranty Trust Company of New York, Brussels Office, as Operator of the Euroclear System Clearstream Banking Luxembourg]</w:t>
      </w:r>
    </w:p>
    <w:p>
      <w:pPr>
        <w:spacing w:after="0" w:line="200" w:lineRule="exact"/>
        <w:rPr>
          <w:sz w:val="20"/>
          <w:szCs w:val="20"/>
          <w:color w:val="auto"/>
        </w:rPr>
      </w:pPr>
    </w:p>
    <w:p>
      <w:pPr>
        <w:spacing w:after="0" w:line="26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233" w:name="page234"/>
    <w:bookmarkEnd w:id="233"/>
    <w:p>
      <w:pPr>
        <w:ind w:left="10184"/>
        <w:spacing w:after="0"/>
        <w:rPr>
          <w:sz w:val="20"/>
          <w:szCs w:val="20"/>
          <w:color w:val="auto"/>
        </w:rPr>
      </w:pPr>
      <w:r>
        <w:rPr>
          <w:rFonts w:ascii="Arial" w:cs="Arial" w:eastAsia="Arial" w:hAnsi="Arial"/>
          <w:sz w:val="16"/>
          <w:szCs w:val="16"/>
          <w:b w:val="1"/>
          <w:bCs w:val="1"/>
          <w:color w:val="auto"/>
        </w:rPr>
        <w:t>Exhibit 5.1</w:t>
      </w:r>
    </w:p>
    <w:p>
      <w:pPr>
        <w:spacing w:after="0" w:line="279" w:lineRule="exact"/>
        <w:rPr>
          <w:sz w:val="20"/>
          <w:szCs w:val="20"/>
          <w:color w:val="auto"/>
        </w:rPr>
      </w:pPr>
    </w:p>
    <w:p>
      <w:pPr>
        <w:ind w:left="8704"/>
        <w:spacing w:after="0"/>
        <w:rPr>
          <w:sz w:val="20"/>
          <w:szCs w:val="20"/>
          <w:color w:val="auto"/>
        </w:rPr>
      </w:pPr>
      <w:r>
        <w:rPr>
          <w:rFonts w:ascii="Arial" w:cs="Arial" w:eastAsia="Arial" w:hAnsi="Arial"/>
          <w:sz w:val="18"/>
          <w:szCs w:val="18"/>
          <w:color w:val="auto"/>
        </w:rPr>
        <w:t>Goodwin Procter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714500" cy="3860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0">
                      <a:extLst>
                        <a:ext uri="{28A0092B-C50C-407E-A947-70E740481C1C}"/>
                      </a:extLst>
                    </a:blip>
                    <a:srcRect/>
                    <a:stretch>
                      <a:fillRect/>
                    </a:stretch>
                  </pic:blipFill>
                  <pic:spPr bwMode="auto">
                    <a:xfrm>
                      <a:off x="0" y="0"/>
                      <a:ext cx="1714500" cy="386080"/>
                    </a:xfrm>
                    <a:prstGeom prst="rect">
                      <a:avLst/>
                    </a:prstGeom>
                    <a:noFill/>
                  </pic:spPr>
                </pic:pic>
              </a:graphicData>
            </a:graphic>
          </wp:anchor>
        </w:drawing>
      </w:r>
    </w:p>
    <w:p>
      <w:pPr>
        <w:spacing w:after="0" w:line="3" w:lineRule="exact"/>
        <w:rPr>
          <w:sz w:val="20"/>
          <w:szCs w:val="20"/>
          <w:color w:val="auto"/>
        </w:rPr>
      </w:pPr>
    </w:p>
    <w:p>
      <w:pPr>
        <w:ind w:left="8704"/>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ind w:left="8704"/>
        <w:spacing w:after="0"/>
        <w:rPr>
          <w:sz w:val="20"/>
          <w:szCs w:val="20"/>
          <w:color w:val="auto"/>
        </w:rPr>
      </w:pPr>
      <w:r>
        <w:rPr>
          <w:rFonts w:ascii="Arial" w:cs="Arial" w:eastAsia="Arial" w:hAnsi="Arial"/>
          <w:sz w:val="18"/>
          <w:szCs w:val="18"/>
          <w:color w:val="auto"/>
        </w:rPr>
        <w:t>100 Cheapside</w:t>
      </w:r>
    </w:p>
    <w:p>
      <w:pPr>
        <w:spacing w:after="0" w:line="9" w:lineRule="exact"/>
        <w:rPr>
          <w:sz w:val="20"/>
          <w:szCs w:val="20"/>
          <w:color w:val="auto"/>
        </w:rPr>
      </w:pPr>
    </w:p>
    <w:p>
      <w:pPr>
        <w:ind w:left="8704"/>
        <w:spacing w:after="0"/>
        <w:rPr>
          <w:sz w:val="20"/>
          <w:szCs w:val="20"/>
          <w:color w:val="auto"/>
        </w:rPr>
      </w:pPr>
      <w:r>
        <w:rPr>
          <w:rFonts w:ascii="Arial" w:cs="Arial" w:eastAsia="Arial" w:hAnsi="Arial"/>
          <w:sz w:val="18"/>
          <w:szCs w:val="18"/>
          <w:color w:val="auto"/>
        </w:rPr>
        <w:t>London EC2V 6DY</w:t>
      </w:r>
    </w:p>
    <w:p>
      <w:pPr>
        <w:spacing w:after="0" w:line="9" w:lineRule="exact"/>
        <w:rPr>
          <w:sz w:val="20"/>
          <w:szCs w:val="20"/>
          <w:color w:val="auto"/>
        </w:rPr>
      </w:pPr>
    </w:p>
    <w:p>
      <w:pPr>
        <w:ind w:left="8704"/>
        <w:spacing w:after="0"/>
        <w:rPr>
          <w:sz w:val="20"/>
          <w:szCs w:val="20"/>
          <w:color w:val="auto"/>
        </w:rPr>
      </w:pPr>
      <w:r>
        <w:rPr>
          <w:rFonts w:ascii="Arial" w:cs="Arial" w:eastAsia="Arial" w:hAnsi="Arial"/>
          <w:sz w:val="18"/>
          <w:szCs w:val="18"/>
          <w:color w:val="auto"/>
        </w:rPr>
        <w:t>goodwinlaw.com</w:t>
      </w:r>
    </w:p>
    <w:p>
      <w:pPr>
        <w:spacing w:after="0" w:line="9" w:lineRule="exact"/>
        <w:rPr>
          <w:sz w:val="20"/>
          <w:szCs w:val="20"/>
          <w:color w:val="auto"/>
        </w:rPr>
      </w:pPr>
    </w:p>
    <w:p>
      <w:pPr>
        <w:ind w:left="8704"/>
        <w:spacing w:after="0"/>
        <w:rPr>
          <w:sz w:val="20"/>
          <w:szCs w:val="20"/>
          <w:color w:val="auto"/>
        </w:rPr>
      </w:pPr>
      <w:r>
        <w:rPr>
          <w:rFonts w:ascii="Arial" w:cs="Arial" w:eastAsia="Arial" w:hAnsi="Arial"/>
          <w:sz w:val="18"/>
          <w:szCs w:val="18"/>
          <w:color w:val="auto"/>
        </w:rPr>
        <w:t>+44 (0) 20 7447 4200</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1 July 2022</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Centessa Pharmaceuticals plc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3rd Floor 1 Ashley Road, Altrincham, Cheshire,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United Kingdom, WA14 2DT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Centessa Pharmaceuticals plc – Shelf Registration Statement on Form S-3 – Exhibit 5.1</w:t>
      </w:r>
    </w:p>
    <w:p>
      <w:pPr>
        <w:spacing w:after="0" w:line="229" w:lineRule="exact"/>
        <w:rPr>
          <w:sz w:val="20"/>
          <w:szCs w:val="20"/>
          <w:color w:val="auto"/>
        </w:rPr>
      </w:pPr>
    </w:p>
    <w:p>
      <w:pPr>
        <w:ind w:left="4" w:right="40"/>
        <w:spacing w:after="0" w:line="296" w:lineRule="auto"/>
        <w:rPr>
          <w:sz w:val="20"/>
          <w:szCs w:val="20"/>
          <w:color w:val="auto"/>
        </w:rPr>
      </w:pPr>
      <w:r>
        <w:rPr>
          <w:rFonts w:ascii="Arial" w:cs="Arial" w:eastAsia="Arial" w:hAnsi="Arial"/>
          <w:sz w:val="16"/>
          <w:szCs w:val="16"/>
          <w:color w:val="auto"/>
        </w:rPr>
        <w:t>We have acted as English legal advisers to Centessa Pharmaceuticals plc, a public limited company with limited liability incorporated under the laws of England and Wales (company no.: 12973576)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preparation and filing on the date hereof with the U.S.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of a registration statement on Form S-3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including a base prospectus (the “</w:t>
      </w:r>
      <w:r>
        <w:rPr>
          <w:rFonts w:ascii="Arial" w:cs="Arial" w:eastAsia="Arial" w:hAnsi="Arial"/>
          <w:sz w:val="16"/>
          <w:szCs w:val="16"/>
          <w:b w:val="1"/>
          <w:bCs w:val="1"/>
          <w:color w:val="auto"/>
        </w:rPr>
        <w:t>Base</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which provides that it may, from time to time, be supplemented by one or more prospectus supplements (each such prospectus</w:t>
      </w:r>
      <w:r>
        <w:rPr>
          <w:rFonts w:ascii="Arial" w:cs="Arial" w:eastAsia="Arial" w:hAnsi="Arial"/>
          <w:sz w:val="16"/>
          <w:szCs w:val="16"/>
          <w:b w:val="1"/>
          <w:bCs w:val="1"/>
          <w:color w:val="auto"/>
        </w:rPr>
        <w:t xml:space="preserve"> </w:t>
      </w:r>
      <w:r>
        <w:rPr>
          <w:rFonts w:ascii="Arial" w:cs="Arial" w:eastAsia="Arial" w:hAnsi="Arial"/>
          <w:sz w:val="16"/>
          <w:szCs w:val="16"/>
          <w:color w:val="auto"/>
        </w:rPr>
        <w:t>supplement, together with the Base Prospectus, a “</w:t>
      </w:r>
      <w:r>
        <w:rPr>
          <w:rFonts w:ascii="Arial" w:cs="Arial" w:eastAsia="Arial" w:hAnsi="Arial"/>
          <w:sz w:val="16"/>
          <w:szCs w:val="16"/>
          <w:b w:val="1"/>
          <w:bCs w:val="1"/>
          <w:color w:val="auto"/>
        </w:rPr>
        <w:t>Prospectus</w:t>
      </w:r>
      <w:r>
        <w:rPr>
          <w:rFonts w:ascii="Arial" w:cs="Arial" w:eastAsia="Arial" w:hAnsi="Arial"/>
          <w:sz w:val="16"/>
          <w:szCs w:val="16"/>
          <w:color w:val="auto"/>
        </w:rPr>
        <w:t>”), pursuant to the U.S.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w:t>
      </w:r>
    </w:p>
    <w:p>
      <w:pPr>
        <w:spacing w:after="0" w:line="161"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The Registration Statement relates to the registration for the issue and sale by the Company of (a) ordinary shares at a nominal value of £0.002 per share (“</w:t>
      </w:r>
      <w:r>
        <w:rPr>
          <w:rFonts w:ascii="Arial" w:cs="Arial" w:eastAsia="Arial" w:hAnsi="Arial"/>
          <w:sz w:val="18"/>
          <w:szCs w:val="18"/>
          <w:b w:val="1"/>
          <w:bCs w:val="1"/>
          <w:color w:val="auto"/>
        </w:rPr>
        <w:t>Ordinary Shares</w:t>
      </w:r>
      <w:r>
        <w:rPr>
          <w:rFonts w:ascii="Arial" w:cs="Arial" w:eastAsia="Arial" w:hAnsi="Arial"/>
          <w:sz w:val="18"/>
          <w:szCs w:val="18"/>
          <w:color w:val="auto"/>
        </w:rPr>
        <w:t>”), including Ordinary Shares in the form of American Depositary Shares (the “</w:t>
      </w:r>
      <w:r>
        <w:rPr>
          <w:rFonts w:ascii="Arial" w:cs="Arial" w:eastAsia="Arial" w:hAnsi="Arial"/>
          <w:sz w:val="18"/>
          <w:szCs w:val="18"/>
          <w:b w:val="1"/>
          <w:bCs w:val="1"/>
          <w:color w:val="auto"/>
        </w:rPr>
        <w:t>ADSs</w:t>
      </w:r>
      <w:r>
        <w:rPr>
          <w:rFonts w:ascii="Arial" w:cs="Arial" w:eastAsia="Arial" w:hAnsi="Arial"/>
          <w:sz w:val="18"/>
          <w:szCs w:val="18"/>
          <w:color w:val="auto"/>
        </w:rPr>
        <w:t>” and together with the Ordinary Shares, the “</w:t>
      </w:r>
      <w:r>
        <w:rPr>
          <w:rFonts w:ascii="Arial" w:cs="Arial" w:eastAsia="Arial" w:hAnsi="Arial"/>
          <w:sz w:val="18"/>
          <w:szCs w:val="18"/>
          <w:b w:val="1"/>
          <w:bCs w:val="1"/>
          <w:color w:val="auto"/>
        </w:rPr>
        <w:t>Shares</w:t>
      </w:r>
      <w:r>
        <w:rPr>
          <w:rFonts w:ascii="Arial" w:cs="Arial" w:eastAsia="Arial" w:hAnsi="Arial"/>
          <w:sz w:val="18"/>
          <w:szCs w:val="18"/>
          <w:color w:val="auto"/>
        </w:rPr>
        <w:t>”), (b) debt securities (“</w:t>
      </w:r>
      <w:r>
        <w:rPr>
          <w:rFonts w:ascii="Arial" w:cs="Arial" w:eastAsia="Arial" w:hAnsi="Arial"/>
          <w:sz w:val="18"/>
          <w:szCs w:val="18"/>
          <w:b w:val="1"/>
          <w:bCs w:val="1"/>
          <w:color w:val="auto"/>
        </w:rPr>
        <w:t>Debt Securities</w:t>
      </w:r>
      <w:r>
        <w:rPr>
          <w:rFonts w:ascii="Arial" w:cs="Arial" w:eastAsia="Arial" w:hAnsi="Arial"/>
          <w:sz w:val="18"/>
          <w:szCs w:val="18"/>
          <w:color w:val="auto"/>
        </w:rPr>
        <w:t>”), (c) warrants (“</w:t>
      </w:r>
      <w:r>
        <w:rPr>
          <w:rFonts w:ascii="Arial" w:cs="Arial" w:eastAsia="Arial" w:hAnsi="Arial"/>
          <w:sz w:val="18"/>
          <w:szCs w:val="18"/>
          <w:b w:val="1"/>
          <w:bCs w:val="1"/>
          <w:color w:val="auto"/>
        </w:rPr>
        <w:t>Warrants</w:t>
      </w:r>
      <w:r>
        <w:rPr>
          <w:rFonts w:ascii="Arial" w:cs="Arial" w:eastAsia="Arial" w:hAnsi="Arial"/>
          <w:sz w:val="18"/>
          <w:szCs w:val="18"/>
          <w:color w:val="auto"/>
        </w:rPr>
        <w:t>”) for the purchase of Shares and/or Debt Securities in one or more series, and/or (d) units (“Units”) comprised of Shares, Debt Securities and Warrants in any combination (the Shares, Debt Securities, Warrants and Units, together,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332" w:lineRule="exact"/>
        <w:rPr>
          <w:sz w:val="20"/>
          <w:szCs w:val="20"/>
          <w:color w:val="auto"/>
        </w:rPr>
      </w:pPr>
    </w:p>
    <w:p>
      <w:pPr>
        <w:ind w:left="424" w:hanging="424"/>
        <w:spacing w:after="0"/>
        <w:tabs>
          <w:tab w:leader="none" w:pos="424"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b w:val="1"/>
          <w:bCs w:val="1"/>
          <w:color w:val="auto"/>
        </w:rPr>
        <w:t>Purpose</w:t>
      </w:r>
    </w:p>
    <w:p>
      <w:pPr>
        <w:spacing w:after="0" w:line="121" w:lineRule="exact"/>
        <w:rPr>
          <w:sz w:val="20"/>
          <w:szCs w:val="20"/>
          <w:color w:val="auto"/>
        </w:rPr>
      </w:pPr>
    </w:p>
    <w:p>
      <w:pPr>
        <w:ind w:left="4" w:right="300"/>
        <w:spacing w:after="0" w:line="263" w:lineRule="auto"/>
        <w:rPr>
          <w:sz w:val="20"/>
          <w:szCs w:val="20"/>
          <w:color w:val="auto"/>
        </w:rPr>
      </w:pPr>
      <w:r>
        <w:rPr>
          <w:rFonts w:ascii="Arial" w:cs="Arial" w:eastAsia="Arial" w:hAnsi="Arial"/>
          <w:sz w:val="18"/>
          <w:szCs w:val="18"/>
          <w:color w:val="auto"/>
        </w:rPr>
        <w:t>In connection with the preparation and filing of the Registration Statement, to which this letter is attached as an exhibit, with the SEC pursuant to the Securities Act we have been asked to provide opinions on certain matters, as set out below. We have taken instruction in this regard solely from the Company.</w:t>
      </w:r>
    </w:p>
    <w:p>
      <w:pPr>
        <w:spacing w:after="0" w:line="32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Defined terms and headings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this letter:</w:t>
      </w:r>
    </w:p>
    <w:p>
      <w:pPr>
        <w:spacing w:after="0" w:line="131" w:lineRule="exact"/>
        <w:rPr>
          <w:sz w:val="20"/>
          <w:szCs w:val="20"/>
          <w:color w:val="auto"/>
        </w:rPr>
      </w:pPr>
    </w:p>
    <w:p>
      <w:pPr>
        <w:ind w:left="964" w:right="120" w:hanging="532"/>
        <w:spacing w:after="0" w:line="277" w:lineRule="auto"/>
        <w:tabs>
          <w:tab w:leader="none" w:pos="96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capitalised terms used without definition in this letter or the schedules hereto have the meanings assigned to them in the Prospectus unless a contrary indication appears;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headings are for ease of reference only and shall not affect interpretation.</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Legal review</w:t>
      </w:r>
    </w:p>
    <w:p>
      <w:pPr>
        <w:spacing w:after="0" w:line="121"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For the purpose of issuing this letter, we have examined such questions of law as we have considered appropriate. We have reviewed only the following documents and conducted only the following enquiries and searches:</w:t>
      </w:r>
    </w:p>
    <w:p>
      <w:pPr>
        <w:spacing w:after="0" w:line="76" w:lineRule="exact"/>
        <w:rPr>
          <w:sz w:val="20"/>
          <w:szCs w:val="20"/>
          <w:color w:val="auto"/>
        </w:rPr>
      </w:pPr>
    </w:p>
    <w:p>
      <w:pPr>
        <w:ind w:left="964" w:right="80" w:hanging="532"/>
        <w:spacing w:after="0" w:line="277" w:lineRule="auto"/>
        <w:tabs>
          <w:tab w:leader="none" w:pos="96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 online search at Companies House in respect of information available for inspection on the Company’s file conducted on 1 July 2022 at 10:49 am (London time);</w:t>
      </w:r>
    </w:p>
    <w:p>
      <w:pPr>
        <w:spacing w:after="0" w:line="98" w:lineRule="exact"/>
        <w:rPr>
          <w:sz w:val="20"/>
          <w:szCs w:val="20"/>
          <w:color w:val="auto"/>
        </w:rPr>
      </w:pPr>
    </w:p>
    <w:p>
      <w:pPr>
        <w:jc w:val="center"/>
        <w:ind w:right="16"/>
        <w:spacing w:after="0" w:line="264" w:lineRule="auto"/>
        <w:rPr>
          <w:sz w:val="20"/>
          <w:szCs w:val="20"/>
          <w:color w:val="auto"/>
        </w:rPr>
      </w:pPr>
      <w:r>
        <w:rPr>
          <w:rFonts w:ascii="Arial" w:cs="Arial" w:eastAsia="Arial" w:hAnsi="Arial"/>
          <w:sz w:val="13"/>
          <w:szCs w:val="13"/>
          <w:color w:val="auto"/>
        </w:rPr>
        <w:t>Goodwin Procter (UK) LLP is a limited liability partnership registered in England and Wales with registered number OC362294. Its registered office is at 100 Cheapside, London, EC2V 6DY. A list of the names of the members of Goodwin Procter (UK) LLP is available for inspection at the registered office. Goodwin Procter (UK) LLP is authorised and regulated by the Solicitors Regulation Authority. Goodwin Procter (UK) LLP is affiliated with Goodwin Procter LLP, which operates in the United States of America.</w:t>
      </w:r>
    </w:p>
    <w:p>
      <w:pPr>
        <w:sectPr>
          <w:pgSz w:w="11900" w:h="16838" w:orient="portrait"/>
          <w:cols w:equalWidth="0" w:num="1">
            <w:col w:w="11024"/>
          </w:cols>
          <w:pgMar w:left="436" w:top="121" w:right="4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14500" cy="3860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2">
                      <a:clrChange>
                        <a:clrFrom>
                          <a:srgbClr val="FFFFFF"/>
                        </a:clrFrom>
                        <a:clrTo>
                          <a:srgbClr val="FFFFFF">
                            <a:alpha val="0"/>
                          </a:srgbClr>
                        </a:clrTo>
                      </a:clrChange>
                      <a:extLst>
                        <a:ext uri="{28A0092B-C50C-407E-A947-70E740481C1C}"/>
                      </a:extLst>
                    </a:blip>
                    <a:srcRect/>
                    <a:stretch>
                      <a:fillRect/>
                    </a:stretch>
                  </pic:blipFill>
                  <pic:spPr bwMode="auto">
                    <a:xfrm>
                      <a:off x="0" y="0"/>
                      <a:ext cx="1714500" cy="386080"/>
                    </a:xfrm>
                    <a:prstGeom prst="rect">
                      <a:avLst/>
                    </a:prstGeom>
                    <a:noFill/>
                  </pic:spPr>
                </pic:pic>
              </a:graphicData>
            </a:graphic>
          </wp:anchor>
        </w:drawing>
        <w:t>Centessa Pharmaceuticals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July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960" w:right="440" w:hanging="532"/>
        <w:spacing w:after="0" w:line="277" w:lineRule="auto"/>
        <w:tabs>
          <w:tab w:leader="none" w:pos="9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 enquiry of the Central Index of Winding Up Petitions, London on 1 July 2022 at 10:01 am (London time) ((a) and (b) together,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960" w:right="60" w:hanging="532"/>
        <w:spacing w:after="0" w:line="266" w:lineRule="auto"/>
        <w:tabs>
          <w:tab w:leader="none" w:pos="9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certificate dated 1 July 2022 signed by the Chief Executive Officer of the Company (the “</w:t>
      </w:r>
      <w:r>
        <w:rPr>
          <w:rFonts w:ascii="Arial" w:cs="Arial" w:eastAsia="Arial" w:hAnsi="Arial"/>
          <w:sz w:val="18"/>
          <w:szCs w:val="18"/>
          <w:b w:val="1"/>
          <w:bCs w:val="1"/>
          <w:color w:val="auto"/>
        </w:rPr>
        <w:t>Certificate</w:t>
      </w:r>
      <w:r>
        <w:rPr>
          <w:rFonts w:ascii="Arial" w:cs="Arial" w:eastAsia="Arial" w:hAnsi="Arial"/>
          <w:sz w:val="18"/>
          <w:szCs w:val="18"/>
          <w:color w:val="auto"/>
        </w:rPr>
        <w:t>”) relating to certain factual matters as at the date of the Certificate and having annexed thereto copies (certified by the Chief Executive Officer of the Company as being true, complete, accurate and up-to-date in each case) of the following documents:</w:t>
      </w:r>
    </w:p>
    <w:p>
      <w:pPr>
        <w:spacing w:after="0" w:line="81" w:lineRule="exact"/>
        <w:rPr>
          <w:rFonts w:ascii="Arial" w:cs="Arial" w:eastAsia="Arial" w:hAnsi="Arial"/>
          <w:sz w:val="18"/>
          <w:szCs w:val="18"/>
          <w:color w:val="auto"/>
        </w:rPr>
      </w:pPr>
    </w:p>
    <w:p>
      <w:pPr>
        <w:ind w:left="1420" w:right="180" w:hanging="439"/>
        <w:spacing w:after="0" w:line="282" w:lineRule="auto"/>
        <w:tabs>
          <w:tab w:leader="none" w:pos="14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 PDF copy of the written resolutions of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xml:space="preserve">”) dated 30 June 2022 approving,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alia</w:t>
      </w:r>
      <w:r>
        <w:rPr>
          <w:rFonts w:ascii="Arial" w:cs="Arial" w:eastAsia="Arial" w:hAnsi="Arial"/>
          <w:sz w:val="18"/>
          <w:szCs w:val="18"/>
          <w:color w:val="auto"/>
        </w:rPr>
        <w:t>, the filing of the Registration Statement with the SEC;</w:t>
      </w:r>
    </w:p>
    <w:p>
      <w:pPr>
        <w:spacing w:after="0" w:line="71" w:lineRule="exact"/>
        <w:rPr>
          <w:rFonts w:ascii="Arial" w:cs="Arial" w:eastAsia="Arial" w:hAnsi="Arial"/>
          <w:sz w:val="18"/>
          <w:szCs w:val="18"/>
          <w:color w:val="auto"/>
        </w:rPr>
      </w:pPr>
    </w:p>
    <w:p>
      <w:pPr>
        <w:ind w:left="1420" w:right="40" w:hanging="439"/>
        <w:spacing w:after="0" w:line="259" w:lineRule="auto"/>
        <w:tabs>
          <w:tab w:leader="none" w:pos="14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 xml:space="preserve">a PDF executed copy of the print of the resolutions passed by the shareholders of the Company at a general meeting of the Company held on 20 May 2021, approving,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the allotment of Ordinary Shares by the directors or a committee of the directors, or the granting of rights to subscribe for, or to convert any security into, shares on a non-pre-emptive basis up to an aggregate nominal amount of £305,000 (the “</w:t>
      </w:r>
      <w:r>
        <w:rPr>
          <w:rFonts w:ascii="Arial" w:cs="Arial" w:eastAsia="Arial" w:hAnsi="Arial"/>
          <w:sz w:val="18"/>
          <w:szCs w:val="18"/>
          <w:b w:val="1"/>
          <w:bCs w:val="1"/>
          <w:color w:val="auto"/>
        </w:rPr>
        <w:t>Shareholder Resolutions</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420" w:right="440" w:hanging="439"/>
        <w:spacing w:after="0" w:line="277" w:lineRule="auto"/>
        <w:tabs>
          <w:tab w:leader="none" w:pos="14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 PDF copy of the current articles of association of the Company adopted on 2 June 2021 pursuant to a special resolution dated 20 May 2021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420" w:right="160" w:hanging="439"/>
        <w:spacing w:after="0" w:line="277" w:lineRule="auto"/>
        <w:tabs>
          <w:tab w:leader="none" w:pos="14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PDF copies of (a) the certificate of incorporation of the Company dated 26 October 2020 and (b) the certificate of incorporation on re-registration of the Company as a public limited company dated 20 May 2021;</w:t>
      </w:r>
    </w:p>
    <w:p>
      <w:pPr>
        <w:spacing w:after="0" w:line="75"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draft copy of the Registration Statement (which for the avoidance of doubt includes the Prospectus) in the form to be filed with the SEC on the date hereof, and</w:t>
      </w:r>
    </w:p>
    <w:p>
      <w:pPr>
        <w:spacing w:after="0" w:line="71" w:lineRule="exact"/>
        <w:rPr>
          <w:rFonts w:ascii="Arial" w:cs="Arial" w:eastAsia="Arial" w:hAnsi="Arial"/>
          <w:sz w:val="18"/>
          <w:szCs w:val="18"/>
          <w:color w:val="auto"/>
        </w:rPr>
      </w:pPr>
    </w:p>
    <w:p>
      <w:pPr>
        <w:ind w:left="960" w:hanging="532"/>
        <w:spacing w:after="0"/>
        <w:tabs>
          <w:tab w:leader="none" w:pos="9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form of indentures filed as exhibits 4.4 and 4.6 to the Registration Statement (each an “</w:t>
      </w:r>
      <w:r>
        <w:rPr>
          <w:rFonts w:ascii="Arial" w:cs="Arial" w:eastAsia="Arial" w:hAnsi="Arial"/>
          <w:sz w:val="18"/>
          <w:szCs w:val="18"/>
          <w:b w:val="1"/>
          <w:bCs w:val="1"/>
          <w:color w:val="auto"/>
        </w:rPr>
        <w:t>Indenture</w:t>
      </w:r>
      <w:r>
        <w:rPr>
          <w:rFonts w:ascii="Arial" w:cs="Arial" w:eastAsia="Arial" w:hAnsi="Arial"/>
          <w:sz w:val="18"/>
          <w:szCs w:val="18"/>
          <w:color w:val="auto"/>
        </w:rPr>
        <w:t>”).</w:t>
      </w:r>
    </w:p>
    <w:p>
      <w:pPr>
        <w:spacing w:after="0" w:line="117" w:lineRule="exact"/>
        <w:rPr>
          <w:sz w:val="20"/>
          <w:szCs w:val="20"/>
          <w:color w:val="auto"/>
        </w:rPr>
      </w:pPr>
    </w:p>
    <w:p>
      <w:pPr>
        <w:ind w:left="440" w:right="800"/>
        <w:spacing w:after="0" w:line="282" w:lineRule="auto"/>
        <w:rPr>
          <w:sz w:val="20"/>
          <w:szCs w:val="20"/>
          <w:color w:val="auto"/>
        </w:rPr>
      </w:pPr>
      <w:r>
        <w:rPr>
          <w:rFonts w:ascii="Arial" w:cs="Arial" w:eastAsia="Arial" w:hAnsi="Arial"/>
          <w:sz w:val="18"/>
          <w:szCs w:val="18"/>
          <w:color w:val="auto"/>
        </w:rPr>
        <w:t>together the “</w:t>
      </w:r>
      <w:r>
        <w:rPr>
          <w:rFonts w:ascii="Arial" w:cs="Arial" w:eastAsia="Arial" w:hAnsi="Arial"/>
          <w:sz w:val="18"/>
          <w:szCs w:val="18"/>
          <w:b w:val="1"/>
          <w:bCs w:val="1"/>
          <w:color w:val="auto"/>
        </w:rPr>
        <w:t>Documents</w:t>
      </w:r>
      <w:r>
        <w:rPr>
          <w:rFonts w:ascii="Arial" w:cs="Arial" w:eastAsia="Arial" w:hAnsi="Arial"/>
          <w:sz w:val="18"/>
          <w:szCs w:val="18"/>
          <w:color w:val="auto"/>
        </w:rPr>
        <w:t>” and each a “</w:t>
      </w:r>
      <w:r>
        <w:rPr>
          <w:rFonts w:ascii="Arial" w:cs="Arial" w:eastAsia="Arial" w:hAnsi="Arial"/>
          <w:sz w:val="18"/>
          <w:szCs w:val="18"/>
          <w:b w:val="1"/>
          <w:bCs w:val="1"/>
          <w:color w:val="auto"/>
        </w:rPr>
        <w:t>Document</w:t>
      </w:r>
      <w:r>
        <w:rPr>
          <w:rFonts w:ascii="Arial" w:cs="Arial" w:eastAsia="Arial" w:hAnsi="Arial"/>
          <w:sz w:val="18"/>
          <w:szCs w:val="18"/>
          <w:color w:val="auto"/>
        </w:rPr>
        <w:t>”. We express no opinion as to any agreement, instrument or document other than the Documents and then only as expressly specified in this letter.</w:t>
      </w:r>
    </w:p>
    <w:p>
      <w:pPr>
        <w:spacing w:after="0" w:line="3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Applicable law</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This letter, the opinions given in it, and any non-contractual obligations arising out of or in connection with this letter and/or the opinions given in it, are governed by, and to be construed in accordance with, English law as in force on the date of this letter and relate only to English law as applied by the English courts as at today’s date. In particular:</w:t>
      </w:r>
    </w:p>
    <w:p>
      <w:pPr>
        <w:spacing w:after="0" w:line="89" w:lineRule="exact"/>
        <w:rPr>
          <w:sz w:val="20"/>
          <w:szCs w:val="20"/>
          <w:color w:val="auto"/>
        </w:rPr>
      </w:pPr>
    </w:p>
    <w:p>
      <w:pPr>
        <w:ind w:left="960" w:hanging="532"/>
        <w:spacing w:after="0" w:line="259" w:lineRule="auto"/>
        <w:tabs>
          <w:tab w:leader="none" w:pos="9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we have not investigated the laws of any country other than England and we express no opinion in this letter on the laws of any jurisdiction other than England and we assume that no foreign law affects any of the opinions given below. It is assumed that no foreign law which may apply to the matters contemplated by the Prospectus, the Company, any document or any other matter contemplated by any document would or might affect this letter and/or the opinions given in it;</w:t>
      </w:r>
    </w:p>
    <w:p>
      <w:pPr>
        <w:spacing w:after="0" w:line="92" w:lineRule="exact"/>
        <w:rPr>
          <w:rFonts w:ascii="Arial" w:cs="Arial" w:eastAsia="Arial" w:hAnsi="Arial"/>
          <w:sz w:val="18"/>
          <w:szCs w:val="18"/>
          <w:color w:val="auto"/>
        </w:rPr>
      </w:pPr>
    </w:p>
    <w:p>
      <w:pPr>
        <w:ind w:left="960" w:right="220" w:hanging="532"/>
        <w:spacing w:after="0" w:line="277" w:lineRule="auto"/>
        <w:tabs>
          <w:tab w:leader="none" w:pos="9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we do not undertake or accept any obligation to update this letter and/or the opinions given in it to reflect subsequent changes in English law or factual matters; and</w:t>
      </w:r>
    </w:p>
    <w:p>
      <w:pPr>
        <w:spacing w:after="0" w:line="75"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we express no opinion in this letter on the laws of any jurisdiction other than England. It is assumed that no foreign law which may apply to the matters contemplated by the Registration Statement, the Company, any document or any other matter contemplated by any document would or might affect this letter and/or the opinions given in it.</w:t>
      </w:r>
    </w:p>
    <w:p>
      <w:pPr>
        <w:sectPr>
          <w:pgSz w:w="11900" w:h="16838" w:orient="portrait"/>
          <w:cols w:equalWidth="0" w:num="1">
            <w:col w:w="11000"/>
          </w:cols>
          <w:pgMar w:left="440" w:top="1097" w:right="459" w:bottom="1440" w:gutter="0" w:footer="0" w:header="0"/>
        </w:sectPr>
      </w:pPr>
    </w:p>
    <w:bookmarkStart w:id="235" w:name="page236"/>
    <w:bookmarkEnd w:id="23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14500" cy="3860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4">
                      <a:clrChange>
                        <a:clrFrom>
                          <a:srgbClr val="FFFFFF"/>
                        </a:clrFrom>
                        <a:clrTo>
                          <a:srgbClr val="FFFFFF">
                            <a:alpha val="0"/>
                          </a:srgbClr>
                        </a:clrTo>
                      </a:clrChange>
                      <a:extLst>
                        <a:ext uri="{28A0092B-C50C-407E-A947-70E740481C1C}"/>
                      </a:extLst>
                    </a:blip>
                    <a:srcRect/>
                    <a:stretch>
                      <a:fillRect/>
                    </a:stretch>
                  </pic:blipFill>
                  <pic:spPr bwMode="auto">
                    <a:xfrm>
                      <a:off x="0" y="0"/>
                      <a:ext cx="1714500" cy="386080"/>
                    </a:xfrm>
                    <a:prstGeom prst="rect">
                      <a:avLst/>
                    </a:prstGeom>
                    <a:noFill/>
                  </pic:spPr>
                </pic:pic>
              </a:graphicData>
            </a:graphic>
          </wp:anchor>
        </w:drawing>
        <w:t>Centessa Pharmaceuticals plc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 July 2022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3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b w:val="1"/>
          <w:bCs w:val="1"/>
          <w:color w:val="auto"/>
        </w:rPr>
        <w:t>Assumptions and reservations</w:t>
      </w:r>
    </w:p>
    <w:p>
      <w:pPr>
        <w:spacing w:after="0" w:line="121" w:lineRule="exact"/>
        <w:rPr>
          <w:sz w:val="20"/>
          <w:szCs w:val="20"/>
          <w:color w:val="auto"/>
        </w:rPr>
      </w:pPr>
    </w:p>
    <w:p>
      <w:pPr>
        <w:jc w:val="both"/>
        <w:ind w:left="4" w:right="280"/>
        <w:spacing w:after="0" w:line="311" w:lineRule="auto"/>
        <w:rPr>
          <w:sz w:val="20"/>
          <w:szCs w:val="20"/>
          <w:color w:val="auto"/>
        </w:rPr>
      </w:pPr>
      <w:r>
        <w:rPr>
          <w:rFonts w:ascii="Arial" w:cs="Arial" w:eastAsia="Arial" w:hAnsi="Arial"/>
          <w:sz w:val="16"/>
          <w:szCs w:val="16"/>
          <w:color w:val="auto"/>
        </w:rPr>
        <w:t>The opinions given in this letter are given on the basis of each of the assumptions set out in schedule 1 (</w:t>
      </w:r>
      <w:r>
        <w:rPr>
          <w:rFonts w:ascii="Arial" w:cs="Arial" w:eastAsia="Arial" w:hAnsi="Arial"/>
          <w:sz w:val="16"/>
          <w:szCs w:val="16"/>
          <w:i w:val="1"/>
          <w:iCs w:val="1"/>
          <w:color w:val="auto"/>
        </w:rPr>
        <w:t>Assumptions</w:t>
      </w:r>
      <w:r>
        <w:rPr>
          <w:rFonts w:ascii="Arial" w:cs="Arial" w:eastAsia="Arial" w:hAnsi="Arial"/>
          <w:sz w:val="16"/>
          <w:szCs w:val="16"/>
          <w:color w:val="auto"/>
        </w:rPr>
        <w:t>) to this letter and are subject to each of the reservations set out in schedule 2 (</w:t>
      </w:r>
      <w:r>
        <w:rPr>
          <w:rFonts w:ascii="Arial" w:cs="Arial" w:eastAsia="Arial" w:hAnsi="Arial"/>
          <w:sz w:val="16"/>
          <w:szCs w:val="16"/>
          <w:i w:val="1"/>
          <w:iCs w:val="1"/>
          <w:color w:val="auto"/>
        </w:rPr>
        <w:t>Reservations</w:t>
      </w:r>
      <w:r>
        <w:rPr>
          <w:rFonts w:ascii="Arial" w:cs="Arial" w:eastAsia="Arial" w:hAnsi="Arial"/>
          <w:sz w:val="16"/>
          <w:szCs w:val="16"/>
          <w:color w:val="auto"/>
        </w:rPr>
        <w:t>) to this letter. The opinions given in this letter are strictly limited to the matters stated in paragraph 2 (</w:t>
      </w:r>
      <w:r>
        <w:rPr>
          <w:rFonts w:ascii="Arial" w:cs="Arial" w:eastAsia="Arial" w:hAnsi="Arial"/>
          <w:sz w:val="16"/>
          <w:szCs w:val="16"/>
          <w:i w:val="1"/>
          <w:iCs w:val="1"/>
          <w:color w:val="auto"/>
        </w:rPr>
        <w:t>Opinions</w:t>
      </w:r>
      <w:r>
        <w:rPr>
          <w:rFonts w:ascii="Arial" w:cs="Arial" w:eastAsia="Arial" w:hAnsi="Arial"/>
          <w:sz w:val="16"/>
          <w:szCs w:val="16"/>
          <w:color w:val="auto"/>
        </w:rPr>
        <w:t>) below and do not extend, and should not be read as extending, by implication or otherwise, to any other matters.</w:t>
      </w:r>
    </w:p>
    <w:p>
      <w:pPr>
        <w:spacing w:after="0" w:line="149"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It should be understood that we have not been responsible for investigating or verifying the accuracy of any facts or the reasonableness of any statement of opinion or intention contained in or relevant to any Document.</w:t>
      </w:r>
    </w:p>
    <w:p>
      <w:pPr>
        <w:spacing w:after="0" w:line="315" w:lineRule="exact"/>
        <w:rPr>
          <w:sz w:val="20"/>
          <w:szCs w:val="20"/>
          <w:color w:val="auto"/>
        </w:rPr>
      </w:pPr>
    </w:p>
    <w:p>
      <w:pPr>
        <w:ind w:left="424" w:hanging="424"/>
        <w:spacing w:after="0"/>
        <w:tabs>
          <w:tab w:leader="none" w:pos="424"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OPINIONS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7"/>
          <w:szCs w:val="17"/>
          <w:color w:val="auto"/>
        </w:rPr>
        <w:t>Subject to paragraph 1 (</w:t>
      </w:r>
      <w:r>
        <w:rPr>
          <w:rFonts w:ascii="Arial" w:cs="Arial" w:eastAsia="Arial" w:hAnsi="Arial"/>
          <w:sz w:val="17"/>
          <w:szCs w:val="17"/>
          <w:i w:val="1"/>
          <w:iCs w:val="1"/>
          <w:color w:val="auto"/>
        </w:rPr>
        <w:t>Introduction</w:t>
      </w:r>
      <w:r>
        <w:rPr>
          <w:rFonts w:ascii="Arial" w:cs="Arial" w:eastAsia="Arial" w:hAnsi="Arial"/>
          <w:sz w:val="17"/>
          <w:szCs w:val="17"/>
          <w:color w:val="auto"/>
        </w:rPr>
        <w:t>) and the other matters set out in this letter and its schedules, we are of the opinion that as at today’s date:</w:t>
      </w:r>
    </w:p>
    <w:p>
      <w:pPr>
        <w:spacing w:after="0" w:line="142" w:lineRule="exact"/>
        <w:rPr>
          <w:sz w:val="20"/>
          <w:szCs w:val="20"/>
          <w:color w:val="auto"/>
        </w:rPr>
      </w:pPr>
    </w:p>
    <w:p>
      <w:pPr>
        <w:ind w:left="964" w:right="20" w:hanging="532"/>
        <w:spacing w:after="0" w:line="342" w:lineRule="auto"/>
        <w:tabs>
          <w:tab w:leader="none" w:pos="964" w:val="left"/>
        </w:tabs>
        <w:numPr>
          <w:ilvl w:val="1"/>
          <w:numId w:val="211"/>
        </w:numPr>
        <w:rPr>
          <w:rFonts w:ascii="Arial" w:cs="Arial" w:eastAsia="Arial" w:hAnsi="Arial"/>
          <w:sz w:val="16"/>
          <w:szCs w:val="16"/>
          <w:color w:val="auto"/>
        </w:rPr>
      </w:pPr>
      <w:r>
        <w:rPr>
          <w:rFonts w:ascii="Arial" w:cs="Arial" w:eastAsia="Arial" w:hAnsi="Arial"/>
          <w:sz w:val="16"/>
          <w:szCs w:val="16"/>
          <w:color w:val="auto"/>
        </w:rPr>
        <w:t>the Company is a public limited company duly incorporated under English law, noting the Searches revealed no order or resolution for the winding-up of the Company and no notice of the appointment of a receiver or administrator in respect of it or any of its assets; and</w:t>
      </w:r>
    </w:p>
    <w:p>
      <w:pPr>
        <w:spacing w:after="0" w:line="29" w:lineRule="exact"/>
        <w:rPr>
          <w:rFonts w:ascii="Arial" w:cs="Arial" w:eastAsia="Arial" w:hAnsi="Arial"/>
          <w:sz w:val="16"/>
          <w:szCs w:val="16"/>
          <w:color w:val="auto"/>
        </w:rPr>
      </w:pPr>
    </w:p>
    <w:p>
      <w:pPr>
        <w:ind w:left="964" w:right="180" w:hanging="532"/>
        <w:spacing w:after="0" w:line="257" w:lineRule="auto"/>
        <w:tabs>
          <w:tab w:leader="none" w:pos="964"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Shares, when issued and sold as contemplated in the Registration Statement, the Base Prospectus and any future Prospectus supplement(s), and in accordance with a duly authorised, executed and delivered purchase, underwriting or similar agreement, or upon conversion of any Debt Securities in accordance with their terms, or upon exercise of any Warrants or Units in each case in accordance with their terms, will be duly and validly authorised and issued, fully paid or credited as fully paid and will not be subject to any call for payment of further capital.</w:t>
      </w:r>
    </w:p>
    <w:p>
      <w:pPr>
        <w:spacing w:after="0" w:line="332" w:lineRule="exact"/>
        <w:rPr>
          <w:rFonts w:ascii="Arial" w:cs="Arial" w:eastAsia="Arial" w:hAnsi="Arial"/>
          <w:sz w:val="18"/>
          <w:szCs w:val="18"/>
          <w:color w:val="auto"/>
        </w:rPr>
      </w:pPr>
    </w:p>
    <w:p>
      <w:pPr>
        <w:ind w:left="424" w:hanging="424"/>
        <w:spacing w:after="0"/>
        <w:tabs>
          <w:tab w:leader="none" w:pos="424"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EXTENT OF OPINIONS</w:t>
      </w:r>
    </w:p>
    <w:p>
      <w:pPr>
        <w:spacing w:after="0" w:line="121"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We express no opinion as to any agreement, instrument or other document other than as specified in this letter or as to any liability to tax or duty which may arise or be suffered as a result of or in connection with the transactions contemplated thereby.</w:t>
      </w:r>
    </w:p>
    <w:p>
      <w:pPr>
        <w:spacing w:after="0" w:line="170" w:lineRule="exact"/>
        <w:rPr>
          <w:sz w:val="20"/>
          <w:szCs w:val="20"/>
          <w:color w:val="auto"/>
        </w:rPr>
      </w:pPr>
    </w:p>
    <w:p>
      <w:pPr>
        <w:ind w:left="4" w:right="160"/>
        <w:spacing w:after="0" w:line="311" w:lineRule="auto"/>
        <w:rPr>
          <w:sz w:val="20"/>
          <w:szCs w:val="20"/>
          <w:color w:val="auto"/>
        </w:rPr>
      </w:pPr>
      <w:r>
        <w:rPr>
          <w:rFonts w:ascii="Arial" w:cs="Arial" w:eastAsia="Arial" w:hAnsi="Arial"/>
          <w:sz w:val="16"/>
          <w:szCs w:val="16"/>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293" w:lineRule="exact"/>
        <w:rPr>
          <w:sz w:val="20"/>
          <w:szCs w:val="20"/>
          <w:color w:val="auto"/>
        </w:rPr>
      </w:pPr>
    </w:p>
    <w:p>
      <w:pPr>
        <w:ind w:left="424" w:hanging="424"/>
        <w:spacing w:after="0"/>
        <w:tabs>
          <w:tab w:leader="none" w:pos="424"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AND RELIANCE</w:t>
      </w:r>
    </w:p>
    <w:p>
      <w:pPr>
        <w:spacing w:after="0" w:line="121"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This letter is addressed to you in connection with the Registration Statement. We consent to the filing of this letter with the SEC as an exhibit to the Registration Statement in accordance with the requirements of Item 601(b)(5) of Regulation S-K promulgated under the Securities Act. In giving such consent, we do not thereby admit that we are in the category of persons whose consent is required under Section 7 of the Securities Act or the rules and regulations of the SEC thereunder.</w:t>
      </w:r>
    </w:p>
    <w:p>
      <w:pPr>
        <w:spacing w:after="0" w:line="187" w:lineRule="exact"/>
        <w:rPr>
          <w:sz w:val="20"/>
          <w:szCs w:val="20"/>
          <w:color w:val="auto"/>
        </w:rPr>
      </w:pPr>
    </w:p>
    <w:p>
      <w:pPr>
        <w:ind w:left="4" w:right="460"/>
        <w:spacing w:after="0" w:line="277" w:lineRule="auto"/>
        <w:rPr>
          <w:sz w:val="20"/>
          <w:szCs w:val="20"/>
          <w:color w:val="auto"/>
        </w:rPr>
      </w:pPr>
      <w:r>
        <w:rPr>
          <w:rFonts w:ascii="Arial" w:cs="Arial" w:eastAsia="Arial" w:hAnsi="Arial"/>
          <w:sz w:val="18"/>
          <w:szCs w:val="18"/>
          <w:color w:val="auto"/>
        </w:rPr>
        <w:t>Other than for the purpose set out in the prior paragraph, this letter may not be relied upon, or assigned, for any purpose, without our prior written consent, which may be granted or withheld in our discretion.</w:t>
      </w:r>
    </w:p>
    <w:p>
      <w:pPr>
        <w:sectPr>
          <w:pgSz w:w="11900" w:h="16838" w:orient="portrait"/>
          <w:cols w:equalWidth="0" w:num="1">
            <w:col w:w="10944"/>
          </w:cols>
          <w:pgMar w:left="436" w:top="1097" w:right="519" w:bottom="1440" w:gutter="0" w:footer="0" w:header="0"/>
        </w:sectPr>
      </w:pPr>
    </w:p>
    <w:bookmarkStart w:id="236" w:name="page237"/>
    <w:bookmarkEnd w:id="23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14500" cy="3860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6">
                      <a:clrChange>
                        <a:clrFrom>
                          <a:srgbClr val="FFFFFF"/>
                        </a:clrFrom>
                        <a:clrTo>
                          <a:srgbClr val="FFFFFF">
                            <a:alpha val="0"/>
                          </a:srgbClr>
                        </a:clrTo>
                      </a:clrChange>
                      <a:extLst>
                        <a:ext uri="{28A0092B-C50C-407E-A947-70E740481C1C}"/>
                      </a:extLst>
                    </a:blip>
                    <a:srcRect/>
                    <a:stretch>
                      <a:fillRect/>
                    </a:stretch>
                  </pic:blipFill>
                  <pic:spPr bwMode="auto">
                    <a:xfrm>
                      <a:off x="0" y="0"/>
                      <a:ext cx="1714500" cy="386080"/>
                    </a:xfrm>
                    <a:prstGeom prst="rect">
                      <a:avLst/>
                    </a:prstGeom>
                    <a:noFill/>
                  </pic:spPr>
                </pic:pic>
              </a:graphicData>
            </a:graphic>
          </wp:anchor>
        </w:drawing>
        <w:t>Centessa Pharmaceuticals plc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 July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 Goodwin Procter (UK) LLP</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Goodwin Procter (UK) LLP</w:t>
      </w:r>
    </w:p>
    <w:p>
      <w:pPr>
        <w:sectPr>
          <w:pgSz w:w="11900" w:h="16838" w:orient="portrait"/>
          <w:cols w:equalWidth="0" w:num="1">
            <w:col w:w="10019"/>
          </w:cols>
          <w:pgMar w:left="440" w:top="1097" w:right="1440" w:bottom="1440" w:gutter="0" w:footer="0" w:header="0"/>
        </w:sectPr>
      </w:pPr>
    </w:p>
    <w:bookmarkStart w:id="237" w:name="page238"/>
    <w:bookmarkEnd w:id="23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14500" cy="3860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8">
                      <a:clrChange>
                        <a:clrFrom>
                          <a:srgbClr val="FFFFFF"/>
                        </a:clrFrom>
                        <a:clrTo>
                          <a:srgbClr val="FFFFFF">
                            <a:alpha val="0"/>
                          </a:srgbClr>
                        </a:clrTo>
                      </a:clrChange>
                      <a:extLst>
                        <a:ext uri="{28A0092B-C50C-407E-A947-70E740481C1C}"/>
                      </a:extLst>
                    </a:blip>
                    <a:srcRect/>
                    <a:stretch>
                      <a:fillRect/>
                    </a:stretch>
                  </pic:blipFill>
                  <pic:spPr bwMode="auto">
                    <a:xfrm>
                      <a:off x="0" y="0"/>
                      <a:ext cx="1714500" cy="386080"/>
                    </a:xfrm>
                    <a:prstGeom prst="rect">
                      <a:avLst/>
                    </a:prstGeom>
                    <a:noFill/>
                  </pic:spPr>
                </pic:pic>
              </a:graphicData>
            </a:graphic>
          </wp:anchor>
        </w:drawing>
        <w:t>Centessa Pharmaceuticals plc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 July 2022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5</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SCHEDULE 1</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ASSUMPTIONS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opinions in this letter have been given on the basis of the following assumptions:</w:t>
      </w:r>
    </w:p>
    <w:p>
      <w:pPr>
        <w:spacing w:after="0" w:line="131" w:lineRule="exact"/>
        <w:rPr>
          <w:sz w:val="20"/>
          <w:szCs w:val="20"/>
          <w:color w:val="auto"/>
        </w:rPr>
      </w:pPr>
    </w:p>
    <w:p>
      <w:pPr>
        <w:ind w:left="424" w:right="360" w:hanging="424"/>
        <w:spacing w:after="0" w:line="342" w:lineRule="auto"/>
        <w:tabs>
          <w:tab w:leader="none" w:pos="424"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genuineness of all signatures (including electronic signatures), stamps and seals on all documents, the authenticity and completeness of all documents submitted to us as originals, and the conformity to original documents of all documents submitted to us as copies;</w:t>
      </w:r>
    </w:p>
    <w:p>
      <w:pPr>
        <w:spacing w:after="0" w:line="29" w:lineRule="exact"/>
        <w:rPr>
          <w:rFonts w:ascii="Arial" w:cs="Arial" w:eastAsia="Arial" w:hAnsi="Arial"/>
          <w:sz w:val="16"/>
          <w:szCs w:val="16"/>
          <w:color w:val="auto"/>
        </w:rPr>
      </w:pPr>
    </w:p>
    <w:p>
      <w:pPr>
        <w:ind w:left="424" w:right="140" w:hanging="424"/>
        <w:spacing w:after="0" w:line="277" w:lineRule="auto"/>
        <w:tabs>
          <w:tab w:leader="none" w:pos="42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that each of the individuals who signs as, or otherwise claims to be, an officer of the Company is the individual whom they claim to be and holds the office they claim to hold;</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accuracy as to factual matters of each document we have reviewed;</w:t>
      </w:r>
    </w:p>
    <w:p>
      <w:pPr>
        <w:spacing w:after="0" w:line="130" w:lineRule="exact"/>
        <w:rPr>
          <w:rFonts w:ascii="Arial" w:cs="Arial" w:eastAsia="Arial" w:hAnsi="Arial"/>
          <w:sz w:val="18"/>
          <w:szCs w:val="18"/>
          <w:color w:val="auto"/>
        </w:rPr>
      </w:pPr>
    </w:p>
    <w:p>
      <w:pPr>
        <w:jc w:val="both"/>
        <w:ind w:left="424" w:right="580" w:hanging="424"/>
        <w:spacing w:after="0" w:line="263" w:lineRule="auto"/>
        <w:tabs>
          <w:tab w:leader="none" w:pos="42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that, where a document has been examined by us in draft or specimen form, it will be or has been duly executed in the form of that draft or specimen, and that each of the signed documents examined by us has been duly executed and, where applicable, delivered on behalf of the Company;</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that there is no agreement or arrangement which modifies, supersedes or is inconsistent with any Document;</w:t>
      </w:r>
    </w:p>
    <w:p>
      <w:pPr>
        <w:spacing w:after="0" w:line="130"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that the Articles remain in full force and effect and no alteration has been made or will be made to such articles of association, in each case prior to the date of the allotment and issue of the Shares (the “</w:t>
      </w:r>
      <w:r>
        <w:rPr>
          <w:rFonts w:ascii="Arial" w:cs="Arial" w:eastAsia="Arial" w:hAnsi="Arial"/>
          <w:sz w:val="18"/>
          <w:szCs w:val="18"/>
          <w:b w:val="1"/>
          <w:bCs w:val="1"/>
          <w:color w:val="auto"/>
        </w:rPr>
        <w:t>Allotment Date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24" w:right="180" w:hanging="424"/>
        <w:spacing w:after="0" w:line="263" w:lineRule="auto"/>
        <w:tabs>
          <w:tab w:leader="none" w:pos="42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on the Allotment Date, the Company will comply with all applicable laws, and will have all necessary corporate and other power, authority and capacity, in order to allot and issue the Shares and the Company will receive such amounts as are necessary to fully pay the nominal value of the Shares and any applicable share premium;</w:t>
      </w:r>
    </w:p>
    <w:p>
      <w:pPr>
        <w:spacing w:after="0" w:line="89" w:lineRule="exact"/>
        <w:rPr>
          <w:rFonts w:ascii="Arial" w:cs="Arial" w:eastAsia="Arial" w:hAnsi="Arial"/>
          <w:sz w:val="18"/>
          <w:szCs w:val="18"/>
          <w:color w:val="auto"/>
        </w:rPr>
      </w:pPr>
    </w:p>
    <w:p>
      <w:pPr>
        <w:jc w:val="both"/>
        <w:ind w:left="424" w:right="260" w:hanging="424"/>
        <w:spacing w:after="0" w:line="311" w:lineRule="auto"/>
        <w:tabs>
          <w:tab w:leader="none" w:pos="424"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that all documents, forms and notices which should have been delivered to the Registrar of Companies in respect of the Company have been so delivered, that information revealed by the Searches was complete and accurate in all respects and has not, since the time of the Searches, been altered and that the results of the Searches will remain complete and accurate as at the date of the Registration Statement;</w:t>
      </w:r>
    </w:p>
    <w:p>
      <w:pPr>
        <w:spacing w:after="0" w:line="54" w:lineRule="exact"/>
        <w:rPr>
          <w:rFonts w:ascii="Arial" w:cs="Arial" w:eastAsia="Arial" w:hAnsi="Arial"/>
          <w:sz w:val="16"/>
          <w:szCs w:val="16"/>
          <w:color w:val="auto"/>
        </w:rPr>
      </w:pPr>
    </w:p>
    <w:p>
      <w:pPr>
        <w:ind w:left="424" w:hanging="424"/>
        <w:spacing w:after="0"/>
        <w:tabs>
          <w:tab w:leader="none" w:pos="42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that the Registration Statement (including the Prospectus), as finally amended, has become effective under the Securities Act;</w:t>
      </w:r>
    </w:p>
    <w:p>
      <w:pPr>
        <w:spacing w:after="0" w:line="130" w:lineRule="exact"/>
        <w:rPr>
          <w:rFonts w:ascii="Arial" w:cs="Arial" w:eastAsia="Arial" w:hAnsi="Arial"/>
          <w:sz w:val="18"/>
          <w:szCs w:val="18"/>
          <w:color w:val="auto"/>
        </w:rPr>
      </w:pPr>
    </w:p>
    <w:p>
      <w:pPr>
        <w:jc w:val="both"/>
        <w:ind w:left="424" w:right="320" w:hanging="424"/>
        <w:spacing w:after="0" w:line="342" w:lineRule="auto"/>
        <w:tabs>
          <w:tab w:leader="none" w:pos="424"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that the contents of the Certificate were true and not misleading when given and remain true and not misleading as at the date of this letter and there is no fact or matter not referred to in the Certificate which could make any of the information in the Certificate inaccurate or misleading;</w:t>
      </w:r>
    </w:p>
    <w:p>
      <w:pPr>
        <w:spacing w:after="0" w:line="29" w:lineRule="exact"/>
        <w:rPr>
          <w:rFonts w:ascii="Arial" w:cs="Arial" w:eastAsia="Arial" w:hAnsi="Arial"/>
          <w:sz w:val="16"/>
          <w:szCs w:val="16"/>
          <w:color w:val="auto"/>
        </w:rPr>
      </w:pPr>
    </w:p>
    <w:p>
      <w:pPr>
        <w:jc w:val="both"/>
        <w:ind w:left="424" w:right="260" w:hanging="424"/>
        <w:spacing w:after="0" w:line="286" w:lineRule="auto"/>
        <w:tabs>
          <w:tab w:leader="none" w:pos="424"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that all documents, forms and notices which should have been delivered to the Registrar of Companies in respect of the Company have been so delivered, that information revealed by the Searches was complete and accurate in all respects and has not, since the time of the Searches, been altered and that the results of the Searches will remain complete and accurate as at the Allotment Date;</w:t>
      </w:r>
    </w:p>
    <w:p>
      <w:pPr>
        <w:spacing w:after="0" w:line="70" w:lineRule="exact"/>
        <w:rPr>
          <w:rFonts w:ascii="Arial" w:cs="Arial" w:eastAsia="Arial" w:hAnsi="Arial"/>
          <w:sz w:val="17"/>
          <w:szCs w:val="17"/>
          <w:color w:val="auto"/>
        </w:rPr>
      </w:pPr>
    </w:p>
    <w:p>
      <w:pPr>
        <w:ind w:left="424" w:right="520" w:hanging="424"/>
        <w:spacing w:after="0" w:line="277" w:lineRule="auto"/>
        <w:tabs>
          <w:tab w:leader="none" w:pos="42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prior to the issuance and/or allotment of any Securities, an appropriate Prospectus supplement with respect to the relevant Securities will be prepared, delivered and filed in compliance with the Securities Act and the rules and regulations thereunder;</w:t>
      </w:r>
    </w:p>
    <w:p>
      <w:pPr>
        <w:sectPr>
          <w:pgSz w:w="11900" w:h="16838" w:orient="portrait"/>
          <w:cols w:equalWidth="0" w:num="1">
            <w:col w:w="11004"/>
          </w:cols>
          <w:pgMar w:left="436" w:top="1097" w:right="459" w:bottom="1440" w:gutter="0" w:footer="0" w:header="0"/>
        </w:sectPr>
      </w:pPr>
    </w:p>
    <w:bookmarkStart w:id="238" w:name="page239"/>
    <w:bookmarkEnd w:id="23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14500" cy="3860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0">
                      <a:clrChange>
                        <a:clrFrom>
                          <a:srgbClr val="FFFFFF"/>
                        </a:clrFrom>
                        <a:clrTo>
                          <a:srgbClr val="FFFFFF">
                            <a:alpha val="0"/>
                          </a:srgbClr>
                        </a:clrTo>
                      </a:clrChange>
                      <a:extLst>
                        <a:ext uri="{28A0092B-C50C-407E-A947-70E740481C1C}"/>
                      </a:extLst>
                    </a:blip>
                    <a:srcRect/>
                    <a:stretch>
                      <a:fillRect/>
                    </a:stretch>
                  </pic:blipFill>
                  <pic:spPr bwMode="auto">
                    <a:xfrm>
                      <a:off x="0" y="0"/>
                      <a:ext cx="1714500" cy="386080"/>
                    </a:xfrm>
                    <a:prstGeom prst="rect">
                      <a:avLst/>
                    </a:prstGeom>
                    <a:noFill/>
                  </pic:spPr>
                </pic:pic>
              </a:graphicData>
            </a:graphic>
          </wp:anchor>
        </w:drawing>
        <w:t>Centessa Pharmaceuticals plc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 July 2022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left="424" w:right="920" w:hanging="424"/>
        <w:spacing w:after="0" w:line="308" w:lineRule="auto"/>
        <w:tabs>
          <w:tab w:leader="none" w:pos="424"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that any allotment of Shares which occurs after the date of this letter is done in accordance with any terms and limits prescribed by the Shareholder Resolutions or such other shareholder resolutions relating to Company in force at the time of such allotment;</w:t>
      </w:r>
    </w:p>
    <w:p>
      <w:pPr>
        <w:spacing w:after="0" w:line="51" w:lineRule="exact"/>
        <w:rPr>
          <w:rFonts w:ascii="Arial" w:cs="Arial" w:eastAsia="Arial" w:hAnsi="Arial"/>
          <w:sz w:val="17"/>
          <w:szCs w:val="17"/>
          <w:color w:val="auto"/>
        </w:rPr>
      </w:pPr>
    </w:p>
    <w:p>
      <w:pPr>
        <w:ind w:left="424" w:right="80" w:hanging="424"/>
        <w:spacing w:after="0" w:line="259" w:lineRule="auto"/>
        <w:tabs>
          <w:tab w:leader="none" w:pos="42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that any minutes of the meetings of the Board or the written resolutions of the Board provided to us in connection with the giving of this letter or otherwise contemplated in connection with the matters referred to herein were duly passed as resolutions of the Board, all constitutional, statutory and other formalities were and/or will be observed and such resolutions have not been, and will not be, revoked or varied and remain in full force and effect as at the date of this letter;</w:t>
      </w:r>
    </w:p>
    <w:p>
      <w:pPr>
        <w:spacing w:after="0" w:line="92" w:lineRule="exact"/>
        <w:rPr>
          <w:rFonts w:ascii="Arial" w:cs="Arial" w:eastAsia="Arial" w:hAnsi="Arial"/>
          <w:sz w:val="18"/>
          <w:szCs w:val="18"/>
          <w:color w:val="auto"/>
        </w:rPr>
      </w:pPr>
    </w:p>
    <w:p>
      <w:pPr>
        <w:ind w:left="424" w:right="80" w:hanging="424"/>
        <w:spacing w:after="0" w:line="301" w:lineRule="auto"/>
        <w:tabs>
          <w:tab w:leader="none" w:pos="42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that the resolutions set out in the Shareholder Resolutions were validly passed and have not been and will not be revoked or varied and remain in full force and effect and will remain so as at the date of this letter, the Company has not allotted shares or granted rights to subscribe for, or to convert any security into, shares pursuant to the Shareholder Resolutions which would, when aggregated with the allotment of the Shares set forth in the Registration Statement, result in the Directors exceeding the limits set out in the Shareholder Resolutions;</w:t>
      </w:r>
    </w:p>
    <w:p>
      <w:pPr>
        <w:spacing w:after="0" w:line="62" w:lineRule="exact"/>
        <w:rPr>
          <w:rFonts w:ascii="Arial" w:cs="Arial" w:eastAsia="Arial" w:hAnsi="Arial"/>
          <w:sz w:val="16"/>
          <w:szCs w:val="16"/>
          <w:color w:val="auto"/>
        </w:rPr>
      </w:pPr>
    </w:p>
    <w:p>
      <w:pPr>
        <w:ind w:left="424" w:right="220" w:hanging="424"/>
        <w:spacing w:after="0" w:line="263" w:lineRule="auto"/>
        <w:tabs>
          <w:tab w:leader="none" w:pos="42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that in relation to the allotment and issue of the Shares, the directors of the Company will act in the manner required by section 172 of the Companies Act 2006 (Duty to promote the success of the Company), and there has not been and will not be any bad faith, breach of trust, fraud, coercion, duress or undue influence on the part of any of the directors of the Company;</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Securities will be sold or issued in accordance with a duly authorised, executed and delivered purchase, underwriting or similar agreement;</w:t>
      </w:r>
    </w:p>
    <w:p>
      <w:pPr>
        <w:spacing w:after="0" w:line="153" w:lineRule="exact"/>
        <w:rPr>
          <w:rFonts w:ascii="Arial" w:cs="Arial" w:eastAsia="Arial" w:hAnsi="Arial"/>
          <w:sz w:val="16"/>
          <w:szCs w:val="16"/>
          <w:color w:val="auto"/>
        </w:rPr>
      </w:pPr>
    </w:p>
    <w:p>
      <w:pPr>
        <w:ind w:left="424" w:right="180" w:hanging="424"/>
        <w:spacing w:after="0" w:line="263" w:lineRule="auto"/>
        <w:tabs>
          <w:tab w:leader="none" w:pos="42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that each party to each Indenture will have the capacity to enter into and deliver, and to exercise its rights and perform its obligations thereunder, will have taken all necessary corporate action to authorise that entry, delivery, exercise and performance, and will not be prohibited by any applicable law from that entry, delivery, exercise and performance;</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that each of the Indentures will be duly executed by or on behalf of each party to it;</w:t>
      </w:r>
    </w:p>
    <w:p>
      <w:pPr>
        <w:spacing w:after="0" w:line="130"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that each of the Indentures will be unconditionally delivered by all of the parties to it and not subject to any escrow or similar arrangement and that all conditions precedent to such Indenture becoming effective will have been met or waived;</w:t>
      </w:r>
    </w:p>
    <w:p>
      <w:pPr>
        <w:spacing w:after="0" w:line="75" w:lineRule="exact"/>
        <w:rPr>
          <w:rFonts w:ascii="Arial" w:cs="Arial" w:eastAsia="Arial" w:hAnsi="Arial"/>
          <w:sz w:val="18"/>
          <w:szCs w:val="18"/>
          <w:color w:val="auto"/>
        </w:rPr>
      </w:pPr>
    </w:p>
    <w:p>
      <w:pPr>
        <w:ind w:left="424" w:right="340" w:hanging="424"/>
        <w:spacing w:after="0" w:line="286" w:lineRule="auto"/>
        <w:tabs>
          <w:tab w:leader="none" w:pos="424"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that the Shares when issued will be accurately and properly completed, duly authorised, executed and delivered on behalf of the Company and authenticated, issued and paid for and registered in the register of holders of Shares maintained for this purpose, in accordance with the then operative Articles and all applicable laws (for the avoidance of doubt, as in force at all relevant times);</w:t>
      </w:r>
    </w:p>
    <w:p>
      <w:pPr>
        <w:spacing w:after="0" w:line="70" w:lineRule="exact"/>
        <w:rPr>
          <w:rFonts w:ascii="Arial" w:cs="Arial" w:eastAsia="Arial" w:hAnsi="Arial"/>
          <w:sz w:val="17"/>
          <w:szCs w:val="17"/>
          <w:color w:val="auto"/>
        </w:rPr>
      </w:pPr>
    </w:p>
    <w:p>
      <w:pPr>
        <w:ind w:left="424" w:right="20" w:hanging="424"/>
        <w:spacing w:after="0" w:line="311" w:lineRule="auto"/>
        <w:tabs>
          <w:tab w:leader="none" w:pos="42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that the Debt Securities when issued will be accurately and properly completed, duly authorised, executed and delivered on behalf of the Company and authenticated, issued and paid for and registered in the register of holders of Debt Securities maintained for this purpose, in accordance with the relevant Indenture, the then operative Articles and all applicable laws (for the avoidance of doubt, as in force at all relevant times);</w:t>
      </w:r>
    </w:p>
    <w:p>
      <w:pPr>
        <w:spacing w:after="0" w:line="54" w:lineRule="exact"/>
        <w:rPr>
          <w:rFonts w:ascii="Arial" w:cs="Arial" w:eastAsia="Arial" w:hAnsi="Arial"/>
          <w:sz w:val="16"/>
          <w:szCs w:val="16"/>
          <w:color w:val="auto"/>
        </w:rPr>
      </w:pPr>
    </w:p>
    <w:p>
      <w:pPr>
        <w:ind w:left="424" w:right="180" w:hanging="424"/>
        <w:spacing w:after="0" w:line="263" w:lineRule="auto"/>
        <w:tabs>
          <w:tab w:leader="none" w:pos="42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that the Warrants when issued will be accurately and properly completed, duly authorised, executed and delivered on behalf of the Company and authenticated, issued and paid for and registered in the register of holders of Warrants maintained for this purpose, in accordance with the then operative Articles and all applicable laws (for the avoidance of doubt, as in force at all relevant times);</w:t>
      </w:r>
    </w:p>
    <w:p>
      <w:pPr>
        <w:sectPr>
          <w:pgSz w:w="11900" w:h="16838" w:orient="portrait"/>
          <w:cols w:equalWidth="0" w:num="1">
            <w:col w:w="11024"/>
          </w:cols>
          <w:pgMar w:left="436" w:top="1097" w:right="439" w:bottom="1440" w:gutter="0" w:footer="0" w:header="0"/>
        </w:sectPr>
      </w:pPr>
    </w:p>
    <w:bookmarkStart w:id="239" w:name="page240"/>
    <w:bookmarkEnd w:id="23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14500" cy="3860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2">
                      <a:clrChange>
                        <a:clrFrom>
                          <a:srgbClr val="FFFFFF"/>
                        </a:clrFrom>
                        <a:clrTo>
                          <a:srgbClr val="FFFFFF">
                            <a:alpha val="0"/>
                          </a:srgbClr>
                        </a:clrTo>
                      </a:clrChange>
                      <a:extLst>
                        <a:ext uri="{28A0092B-C50C-407E-A947-70E740481C1C}"/>
                      </a:extLst>
                    </a:blip>
                    <a:srcRect/>
                    <a:stretch>
                      <a:fillRect/>
                    </a:stretch>
                  </pic:blipFill>
                  <pic:spPr bwMode="auto">
                    <a:xfrm>
                      <a:off x="0" y="0"/>
                      <a:ext cx="1714500" cy="386080"/>
                    </a:xfrm>
                    <a:prstGeom prst="rect">
                      <a:avLst/>
                    </a:prstGeom>
                    <a:noFill/>
                  </pic:spPr>
                </pic:pic>
              </a:graphicData>
            </a:graphic>
          </wp:anchor>
        </w:drawing>
        <w:t>Centessa Pharmaceuticals plc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 July 2022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7</w:t>
      </w:r>
    </w:p>
    <w:p>
      <w:pPr>
        <w:spacing w:after="0" w:line="143" w:lineRule="exact"/>
        <w:rPr>
          <w:sz w:val="20"/>
          <w:szCs w:val="20"/>
          <w:color w:val="auto"/>
        </w:rPr>
      </w:pPr>
    </w:p>
    <w:p>
      <w:pPr>
        <w:ind w:left="424" w:right="420" w:hanging="424"/>
        <w:spacing w:after="0" w:line="286" w:lineRule="auto"/>
        <w:tabs>
          <w:tab w:leader="none" w:pos="424"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that the Units when issued will be accurately and properly completed, duly authorised, executed and delivered on behalf of the Company and authenticated, issued and paid for and registered in the register of holders of Units maintained for this purpose, in accordance with the then operative Articles and all applicable laws (for the avoidance of doubt, as in force at all relevant times);</w:t>
      </w:r>
    </w:p>
    <w:p>
      <w:pPr>
        <w:spacing w:after="0" w:line="70" w:lineRule="exact"/>
        <w:rPr>
          <w:rFonts w:ascii="Arial" w:cs="Arial" w:eastAsia="Arial" w:hAnsi="Arial"/>
          <w:sz w:val="17"/>
          <w:szCs w:val="17"/>
          <w:color w:val="auto"/>
        </w:rPr>
      </w:pPr>
    </w:p>
    <w:p>
      <w:pPr>
        <w:ind w:left="424" w:right="700" w:hanging="424"/>
        <w:spacing w:after="0" w:line="311" w:lineRule="auto"/>
        <w:tabs>
          <w:tab w:leader="none" w:pos="42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that the Indentures and the Debt Securities, and the obligations created by them, will constitute the legal, valid, binding and enforceable obligations of each of the parties to them under the laws by which they are expressed to be governed; and that the Indenture and the Debt Securities will remain in full force and effect at all relevant times and, in the case of the Indentures, in the form examined by us;</w:t>
      </w:r>
    </w:p>
    <w:p>
      <w:pPr>
        <w:spacing w:after="0" w:line="54" w:lineRule="exact"/>
        <w:rPr>
          <w:rFonts w:ascii="Arial" w:cs="Arial" w:eastAsia="Arial" w:hAnsi="Arial"/>
          <w:sz w:val="16"/>
          <w:szCs w:val="16"/>
          <w:color w:val="auto"/>
        </w:rPr>
      </w:pPr>
    </w:p>
    <w:p>
      <w:pPr>
        <w:ind w:left="424" w:hanging="424"/>
        <w:spacing w:after="0" w:line="342" w:lineRule="auto"/>
        <w:tabs>
          <w:tab w:leader="none" w:pos="42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that the Warrants, and the obligations created by them, will constitute the legal, valid, binding and enforceable obligations of each of the parties to them under the laws by which they will be expressed to be governed; and that the Warrants will remain in full force and effect at all relevant times;</w:t>
      </w:r>
    </w:p>
    <w:p>
      <w:pPr>
        <w:spacing w:after="0" w:line="29" w:lineRule="exact"/>
        <w:rPr>
          <w:sz w:val="20"/>
          <w:szCs w:val="20"/>
          <w:color w:val="auto"/>
        </w:rPr>
      </w:pPr>
    </w:p>
    <w:p>
      <w:pPr>
        <w:ind w:left="424" w:right="240" w:hanging="424"/>
        <w:spacing w:after="0" w:line="342" w:lineRule="auto"/>
        <w:tabs>
          <w:tab w:leader="none" w:pos="424"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that the Units, and the obligations created by them, will constitute the legal, valid, binding and enforceable obligations of each of the parties to them under the laws by which they will be expressed to be governed; and that the Units will remain in full force and effect at all relevant times;</w:t>
      </w:r>
    </w:p>
    <w:p>
      <w:pPr>
        <w:spacing w:after="0" w:line="29" w:lineRule="exact"/>
        <w:rPr>
          <w:rFonts w:ascii="Arial" w:cs="Arial" w:eastAsia="Arial" w:hAnsi="Arial"/>
          <w:sz w:val="16"/>
          <w:szCs w:val="16"/>
          <w:color w:val="auto"/>
        </w:rPr>
      </w:pPr>
    </w:p>
    <w:p>
      <w:pPr>
        <w:ind w:left="424" w:right="360" w:hanging="424"/>
        <w:spacing w:after="0" w:line="277" w:lineRule="auto"/>
        <w:tabs>
          <w:tab w:leader="none" w:pos="42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that the choice of laws by which the Indentures, the Debt Securities, the Warrants and the Units will be expressed to be governed will be valid under the chosen laws;</w:t>
      </w:r>
    </w:p>
    <w:p>
      <w:pPr>
        <w:spacing w:after="0" w:line="75" w:lineRule="exact"/>
        <w:rPr>
          <w:rFonts w:ascii="Arial" w:cs="Arial" w:eastAsia="Arial" w:hAnsi="Arial"/>
          <w:sz w:val="18"/>
          <w:szCs w:val="18"/>
          <w:color w:val="auto"/>
        </w:rPr>
      </w:pPr>
    </w:p>
    <w:p>
      <w:pPr>
        <w:ind w:left="424" w:right="80" w:hanging="424"/>
        <w:spacing w:after="0" w:line="263" w:lineRule="auto"/>
        <w:tabs>
          <w:tab w:leader="none" w:pos="42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prior to the Allotment Date, the directors of the Company, including the pricing committee or other appropriate committee appointed thereby, and appropriate officers of the Company will have taken all necessary corporate action to approve the allotment and issue of the Shares and related matters;</w:t>
      </w:r>
    </w:p>
    <w:p>
      <w:pPr>
        <w:spacing w:after="0" w:line="89" w:lineRule="exact"/>
        <w:rPr>
          <w:rFonts w:ascii="Arial" w:cs="Arial" w:eastAsia="Arial" w:hAnsi="Arial"/>
          <w:sz w:val="18"/>
          <w:szCs w:val="18"/>
          <w:color w:val="auto"/>
        </w:rPr>
      </w:pPr>
    </w:p>
    <w:p>
      <w:pPr>
        <w:jc w:val="both"/>
        <w:ind w:left="424" w:right="180" w:hanging="424"/>
        <w:spacing w:after="0" w:line="263" w:lineRule="auto"/>
        <w:tabs>
          <w:tab w:leader="none" w:pos="42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that the directors of the Company will act in accordance with sections 171 to 174 of the Companies Act 2006 in approving the board resolutions and that all actions to be carried out by the Company are or will be in its commercial interests, in each case in connection with the allotment and issue of the Shares and related matters;</w:t>
      </w:r>
    </w:p>
    <w:p>
      <w:pPr>
        <w:spacing w:after="0" w:line="89" w:lineRule="exact"/>
        <w:rPr>
          <w:rFonts w:ascii="Arial" w:cs="Arial" w:eastAsia="Arial" w:hAnsi="Arial"/>
          <w:sz w:val="18"/>
          <w:szCs w:val="18"/>
          <w:color w:val="auto"/>
        </w:rPr>
      </w:pPr>
    </w:p>
    <w:p>
      <w:pPr>
        <w:ind w:left="424" w:right="100" w:hanging="424"/>
        <w:spacing w:after="0" w:line="286" w:lineRule="auto"/>
        <w:tabs>
          <w:tab w:leader="none" w:pos="424"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that there are no facts or circumstances (and no documents, agreements, instruments or correspondence) which are not apparent from the face of the documents listed in paragraph 1.3 or which have not been disclosed to us that may affect the validity or enforceability of the documents listed in paragraph 1.3 or any obligation therein or otherwise affect the opinions expressed in this letter;</w:t>
      </w:r>
    </w:p>
    <w:p>
      <w:pPr>
        <w:spacing w:after="0" w:line="70" w:lineRule="exact"/>
        <w:rPr>
          <w:rFonts w:ascii="Arial" w:cs="Arial" w:eastAsia="Arial" w:hAnsi="Arial"/>
          <w:sz w:val="17"/>
          <w:szCs w:val="17"/>
          <w:color w:val="auto"/>
        </w:rPr>
      </w:pPr>
    </w:p>
    <w:p>
      <w:pPr>
        <w:ind w:left="424" w:right="100" w:hanging="424"/>
        <w:spacing w:after="0" w:line="301" w:lineRule="auto"/>
        <w:tabs>
          <w:tab w:leader="none" w:pos="424"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that no Securities or rights to subscribe for Securities have been or shall be offered to the public in the United Kingdom in breach of the Financial Services and Markets Act 2000 (“</w:t>
      </w:r>
      <w:r>
        <w:rPr>
          <w:rFonts w:ascii="Arial" w:cs="Arial" w:eastAsia="Arial" w:hAnsi="Arial"/>
          <w:sz w:val="16"/>
          <w:szCs w:val="16"/>
          <w:b w:val="1"/>
          <w:bCs w:val="1"/>
          <w:color w:val="auto"/>
        </w:rPr>
        <w:t>FSMA</w:t>
      </w:r>
      <w:r>
        <w:rPr>
          <w:rFonts w:ascii="Arial" w:cs="Arial" w:eastAsia="Arial" w:hAnsi="Arial"/>
          <w:sz w:val="16"/>
          <w:szCs w:val="16"/>
          <w:color w:val="auto"/>
        </w:rPr>
        <w:t>”) or of any other United Kingdom laws or regulations concerning offers of securities to the public, and no communication has been or shall be made in relation to the Shares in breach of section 21 of the FSMA or any other United Kingdom laws or regulations relating to offers or invitations to subscribe for, or to acquire rights to subscribe for or otherwise acquire, shares or other securities;</w:t>
      </w:r>
    </w:p>
    <w:p>
      <w:pPr>
        <w:spacing w:after="0" w:line="62" w:lineRule="exact"/>
        <w:rPr>
          <w:rFonts w:ascii="Arial" w:cs="Arial" w:eastAsia="Arial" w:hAnsi="Arial"/>
          <w:sz w:val="16"/>
          <w:szCs w:val="16"/>
          <w:color w:val="auto"/>
        </w:rPr>
      </w:pPr>
    </w:p>
    <w:p>
      <w:pPr>
        <w:ind w:left="424" w:right="80" w:hanging="424"/>
        <w:spacing w:after="0" w:line="254" w:lineRule="auto"/>
        <w:tabs>
          <w:tab w:leader="none" w:pos="42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that the Company has not taken, nor will it take, any corporate or other action nor have any steps been taken or legal proceedings been started against the Company for the liquidation, winding up, dissolution, reorganisation or bankruptcy of, or for the appointment of a liquidator, receiver, trustee, administrator, administrative receiver or similar officer of, the Company or all or any of its assets (or any analogous proceedings in any jurisdiction) and the Company is not unable to pay its debts as they fall due within the meaning of section 123 of the Insolvency Act 1986, as amended and will not become unable to pay its debts within the meaning of that section as a result of any of the transactions contemplated herein, is not insolvent and has not been dissolved or declared bankrupt (although the Searches gave no indication that any winding-up, dissolution or administration order or appointment of a receiver, administrator, administrative receiver or similar officer has been made with respect to the Company); and</w:t>
      </w:r>
    </w:p>
    <w:p>
      <w:pPr>
        <w:spacing w:after="0" w:line="97"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Company is not, nor will be, engaging in criminal, misleading, deceptive or unconscionable conduct or seeking to conduct any relevant transaction or any associated activity in a manner or for a purpose which might render any transaction contemplated under any corporate approvals or any associated activity illegal, void or voidable.</w:t>
      </w:r>
    </w:p>
    <w:p>
      <w:pPr>
        <w:sectPr>
          <w:pgSz w:w="11900" w:h="16838" w:orient="portrait"/>
          <w:cols w:equalWidth="0" w:num="1">
            <w:col w:w="11004"/>
          </w:cols>
          <w:pgMar w:left="436" w:top="1097" w:right="45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14500" cy="3860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4">
                      <a:clrChange>
                        <a:clrFrom>
                          <a:srgbClr val="FFFFFF"/>
                        </a:clrFrom>
                        <a:clrTo>
                          <a:srgbClr val="FFFFFF">
                            <a:alpha val="0"/>
                          </a:srgbClr>
                        </a:clrTo>
                      </a:clrChange>
                      <a:extLst>
                        <a:ext uri="{28A0092B-C50C-407E-A947-70E740481C1C}"/>
                      </a:extLst>
                    </a:blip>
                    <a:srcRect/>
                    <a:stretch>
                      <a:fillRect/>
                    </a:stretch>
                  </pic:blipFill>
                  <pic:spPr bwMode="auto">
                    <a:xfrm>
                      <a:off x="0" y="0"/>
                      <a:ext cx="1714500" cy="386080"/>
                    </a:xfrm>
                    <a:prstGeom prst="rect">
                      <a:avLst/>
                    </a:prstGeom>
                    <a:noFill/>
                  </pic:spPr>
                </pic:pic>
              </a:graphicData>
            </a:graphic>
          </wp:anchor>
        </w:drawing>
        <w:t>Centessa Pharmaceuticals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July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opinions in this letter are subject to the following reservations:</w:t>
      </w:r>
    </w:p>
    <w:p>
      <w:pPr>
        <w:spacing w:after="0" w:line="131" w:lineRule="exact"/>
        <w:rPr>
          <w:sz w:val="20"/>
          <w:szCs w:val="20"/>
          <w:color w:val="auto"/>
        </w:rPr>
      </w:pPr>
    </w:p>
    <w:p>
      <w:pPr>
        <w:ind w:left="960" w:hanging="532"/>
        <w:spacing w:after="0" w:line="269" w:lineRule="auto"/>
        <w:tabs>
          <w:tab w:leader="none" w:pos="96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Searches are not capable of revealing conclusively whether or not a winding-up or administration petition or order has been presented or made, a receiver appointed, a company voluntary arrangement proposed or approved or any other insolvency proceeding commenced, and the available records may not be complete or up-to-date. In particular, the Central Registry of Winding-Up Petitions in England may not contain details of administration applications filed, or appointments recorded in or orders made by, district registries and county courts outside London. Searches at Companies House and at the Central Registry of Winding Up Petitions in England are not capable of revealing whether or not a winding up petition or a petition for the making of an administration order has been presented and, further, notice of a winding up order or resolution, notice of an administration order and notice of the appointment of a receiver may not be filed at Companies House immediately and there may be a delay in the relevant notice appearing on the file of the company concerned. Further, not all security interests are registrable, such security interests have not in fact been registered or such security interests have been created by an individual or an entity which is not registered in England. We have not made enquiries of any District Registry or County Court in England;</w:t>
      </w:r>
    </w:p>
    <w:p>
      <w:pPr>
        <w:spacing w:after="0" w:line="87" w:lineRule="exact"/>
        <w:rPr>
          <w:rFonts w:ascii="Arial" w:cs="Arial" w:eastAsia="Arial" w:hAnsi="Arial"/>
          <w:sz w:val="17"/>
          <w:szCs w:val="17"/>
          <w:color w:val="auto"/>
        </w:rPr>
      </w:pPr>
    </w:p>
    <w:p>
      <w:pPr>
        <w:ind w:left="960" w:right="160" w:hanging="532"/>
        <w:spacing w:after="0" w:line="301" w:lineRule="auto"/>
        <w:tabs>
          <w:tab w:leader="none" w:pos="96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opinions set out in this letter are subject to: (i) any limitations arising from applicable laws relating to insolvency, bankruptcy, administration, reorganisation, liquidation, moratoria, schemes or analogous circumstances; and (ii) an English court exercising its discretion under section 426 of the Insolvency Act 1986 (</w:t>
      </w:r>
      <w:r>
        <w:rPr>
          <w:rFonts w:ascii="Arial" w:cs="Arial" w:eastAsia="Arial" w:hAnsi="Arial"/>
          <w:sz w:val="16"/>
          <w:szCs w:val="16"/>
          <w:i w:val="1"/>
          <w:iCs w:val="1"/>
          <w:color w:val="auto"/>
        </w:rPr>
        <w:t>co-operation between courts exercising jurisdiction in relation to insolvency</w:t>
      </w:r>
      <w:r>
        <w:rPr>
          <w:rFonts w:ascii="Arial" w:cs="Arial" w:eastAsia="Arial" w:hAnsi="Arial"/>
          <w:sz w:val="16"/>
          <w:szCs w:val="16"/>
          <w:color w:val="auto"/>
        </w:rPr>
        <w:t>) to assist the courts having the corresponding jurisdiction in any part of the United Kingdom or any relevant country or territory;</w:t>
      </w:r>
    </w:p>
    <w:p>
      <w:pPr>
        <w:spacing w:after="0" w:line="62" w:lineRule="exact"/>
        <w:rPr>
          <w:rFonts w:ascii="Arial" w:cs="Arial" w:eastAsia="Arial" w:hAnsi="Arial"/>
          <w:sz w:val="16"/>
          <w:szCs w:val="16"/>
          <w:color w:val="auto"/>
        </w:rPr>
      </w:pPr>
    </w:p>
    <w:p>
      <w:pPr>
        <w:ind w:left="960" w:hanging="532"/>
        <w:spacing w:after="0"/>
        <w:tabs>
          <w:tab w:leader="none" w:pos="9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if any agreement is entered into for a purpose prohibited by sections 678 and 679 of the Companies Act 2006, it will be void;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we express no opinion as to matters of fact;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we express no opinion as to taxation matters;</w:t>
      </w:r>
    </w:p>
    <w:p>
      <w:pPr>
        <w:spacing w:after="0" w:line="130" w:lineRule="exact"/>
        <w:rPr>
          <w:rFonts w:ascii="Arial" w:cs="Arial" w:eastAsia="Arial" w:hAnsi="Arial"/>
          <w:sz w:val="18"/>
          <w:szCs w:val="18"/>
          <w:color w:val="auto"/>
        </w:rPr>
      </w:pPr>
    </w:p>
    <w:p>
      <w:pPr>
        <w:ind w:left="960" w:right="140" w:hanging="532"/>
        <w:spacing w:after="0" w:line="263" w:lineRule="auto"/>
        <w:tabs>
          <w:tab w:leader="none" w:pos="9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save for the matters set out in the Certificate, we have made no enquiries of any individual connected with the Company and have relied entirely on the facts, statements and confirmations contained in the Certificate and we have not undertaken any independent investigation or verification of the matters referred to in the Certificate;</w:t>
      </w:r>
    </w:p>
    <w:p>
      <w:pPr>
        <w:spacing w:after="0" w:line="89" w:lineRule="exact"/>
        <w:rPr>
          <w:rFonts w:ascii="Arial" w:cs="Arial" w:eastAsia="Arial" w:hAnsi="Arial"/>
          <w:sz w:val="18"/>
          <w:szCs w:val="18"/>
          <w:color w:val="auto"/>
        </w:rPr>
      </w:pPr>
    </w:p>
    <w:p>
      <w:pPr>
        <w:ind w:left="960" w:right="100" w:hanging="532"/>
        <w:spacing w:after="0" w:line="277" w:lineRule="auto"/>
        <w:tabs>
          <w:tab w:leader="none" w:pos="9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 certificate, documentation, notification, opinion or the like might be held by the English courts not to be conclusive if it can be shown to have an unreasonable or arbitrary basis or in the event of a manifest error; and</w:t>
      </w:r>
    </w:p>
    <w:p>
      <w:pPr>
        <w:spacing w:after="0" w:line="75" w:lineRule="exact"/>
        <w:rPr>
          <w:rFonts w:ascii="Arial" w:cs="Arial" w:eastAsia="Arial" w:hAnsi="Arial"/>
          <w:sz w:val="18"/>
          <w:szCs w:val="18"/>
          <w:color w:val="auto"/>
        </w:rPr>
      </w:pPr>
    </w:p>
    <w:p>
      <w:pPr>
        <w:ind w:left="960" w:right="160" w:hanging="532"/>
        <w:spacing w:after="0" w:line="263" w:lineRule="auto"/>
        <w:tabs>
          <w:tab w:leader="none" w:pos="9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it should be understood that we have not been responsible for investigating or verifying (i) the accuracy of the facts, including statements of foreign law, or the reasonableness of any statements of opinion, contained in the Registration Statement; or (ii) that no material facts have been omitted from it.</w:t>
      </w:r>
    </w:p>
    <w:p>
      <w:pPr>
        <w:sectPr>
          <w:pgSz w:w="11900" w:h="16838" w:orient="portrait"/>
          <w:cols w:equalWidth="0" w:num="1">
            <w:col w:w="11000"/>
          </w:cols>
          <w:pgMar w:left="440" w:top="1097" w:right="45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5.2</w:t>
      </w:r>
    </w:p>
    <w:p>
      <w:pPr>
        <w:spacing w:after="0" w:line="25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714500" cy="3860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5">
                      <a:extLst>
                        <a:ext uri="{28A0092B-C50C-407E-A947-70E740481C1C}"/>
                      </a:extLst>
                    </a:blip>
                    <a:srcRect/>
                    <a:stretch>
                      <a:fillRect/>
                    </a:stretch>
                  </pic:blipFill>
                  <pic:spPr bwMode="auto">
                    <a:xfrm>
                      <a:off x="0" y="0"/>
                      <a:ext cx="1714500" cy="386080"/>
                    </a:xfrm>
                    <a:prstGeom prst="rect">
                      <a:avLst/>
                    </a:prstGeom>
                    <a:noFill/>
                  </pic:spPr>
                </pic:pic>
              </a:graphicData>
            </a:graphic>
          </wp:anchor>
        </w:drawing>
      </w:r>
    </w:p>
    <w:p>
      <w:pPr>
        <w:spacing w:after="0" w:line="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goodwinlaw.com</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+1 617 570 1000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Centessa Pharmaceuticals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3rd Floor, 1 Ashley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Altrincham, Cheshire,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WA14 2DT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Securities Being Registered under Registration Statement on Form S-3</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have acted as U.S. counsel to you in connection with your filing of a Registration Statement on Form S-3 (as amended or supplemented, the “Registration Statement”) pursuant to the Securities Act of 1933, as amended (the “Securities Act”), relating to the registration by Centessa Pharmaceuticals plc, a public limited company organized under the laws of England and Wales (the “Company”), of up to $350,000,000 of any combination of (i) ordinary shares, nominal value £0.002 per share (the “Ordinary Shares”) of the Company, which may be represented by American Depositary Shares (“American Depositary Shares”), (ii) debt securities of the Company, which may be either senior debt securities or subordinated debt securities (“Debt Securities”), (iii) warrants to purchase Ordinary Shares, ordinary shares represented by American Depositary Shares or Debt Securities (“Warrants”) and (iv) units comprised of Ordinary Shares, ordinary shares represented by American Depositary Shares, Debt Securities and Warrants in any combination (“Units”). The American Depositary Shares, Debt Securities, Warrants to purchase ordinary shares represented by American Depositary Shares or Debt Securities and Units comprised of American Depositary Shares, Debt Securities or Warrants, are sometimes referred to collectively herein as the “Securities.” The Securities may be issued in an unspecified number (with respect to American Depositary Shares, Warrants and Units) or in an unspecified principal amount (with respect to Debt Securities). The Registration Statement provides that the Securities may be offered separately or together, in separate series, in amounts, at prices and on terms to be set forth in one or more prospectus supplements (each a “Prospectus Supplement”) to the prospectus contained in the Registration Statement.</w:t>
      </w:r>
    </w:p>
    <w:p>
      <w:pPr>
        <w:spacing w:after="0" w:line="18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opinions set forth below are limited to the law of New York.</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For purposes of the opinions set forth below, without limiting any other exceptions or qualifications set forth herein, we have assumed that (i) each of the Debt Securities, Warrants and Units, and the indentures, warrant agreements, unit agreements and other agreements governing Securities offered pursuant to the Registration Statement will be governed by the internal law of New York and (ii) after the issuance of any Securities offered pursuant to the Registration Statement, the total number of Ordinary Shares, together with the total number of Ordinary Shares issuable in exchange for American Depositary Shares, upon the exercise, exchange, conversion or settlement, as the case may be, of any exercisable, exchangeable or convertible security (including without limitation any Warrants, Debt Securities or Units), as the case may be, then outstanding, will not exceed the total number of authorized Ordinary Shares available for issuance under the Company’s articles of association as then in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opinions set forth below, we refer to the following as the “Future Authorization and Issuance” of Securities:</w:t>
      </w:r>
    </w:p>
    <w:p>
      <w:pPr>
        <w:spacing w:after="0" w:line="131" w:lineRule="exact"/>
        <w:rPr>
          <w:sz w:val="20"/>
          <w:szCs w:val="20"/>
          <w:color w:val="auto"/>
        </w:rPr>
      </w:pPr>
    </w:p>
    <w:p>
      <w:pPr>
        <w:ind w:left="860" w:right="180" w:hanging="432"/>
        <w:spacing w:after="0" w:line="263" w:lineRule="auto"/>
        <w:tabs>
          <w:tab w:leader="none" w:pos="8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with respect to any of the Securities, (a) the authorization by the Company of the amount, terms and issuance of such Securities (the “Authorization”) and (b) the issuance of such Securities in accordance with the Authorization therefor upon the receipt by the Company of the consideration to be paid therefor in accordance with the Authorization;</w:t>
      </w:r>
    </w:p>
    <w:p>
      <w:pPr>
        <w:sectPr>
          <w:pgSz w:w="11900" w:h="16838" w:orient="portrait"/>
          <w:cols w:equalWidth="0" w:num="1">
            <w:col w:w="11020"/>
          </w:cols>
          <w:pgMar w:left="440" w:top="121" w:right="439" w:bottom="1440" w:gutter="0" w:footer="0" w:header="0"/>
        </w:sectPr>
      </w:pPr>
    </w:p>
    <w:bookmarkStart w:id="242" w:name="page243"/>
    <w:bookmarkEnd w:id="24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Centessa Pharmaceuticals plc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July 1, 2022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16" w:lineRule="exact"/>
        <w:rPr>
          <w:sz w:val="20"/>
          <w:szCs w:val="20"/>
          <w:color w:val="auto"/>
        </w:rPr>
      </w:pPr>
    </w:p>
    <w:p>
      <w:pPr>
        <w:ind w:left="864" w:hanging="432"/>
        <w:spacing w:after="0" w:line="301" w:lineRule="auto"/>
        <w:tabs>
          <w:tab w:leader="none" w:pos="864" w:val="left"/>
        </w:tabs>
        <w:numPr>
          <w:ilvl w:val="0"/>
          <w:numId w:val="220"/>
        </w:numPr>
        <w:rPr>
          <w:rFonts w:ascii="Arial" w:cs="Arial" w:eastAsia="Arial" w:hAnsi="Arial"/>
          <w:sz w:val="16"/>
          <w:szCs w:val="16"/>
          <w:color w:val="auto"/>
        </w:rPr>
      </w:pPr>
      <w:r>
        <w:rPr>
          <w:rFonts w:ascii="Arial" w:cs="Arial" w:eastAsia="Arial" w:hAnsi="Arial"/>
          <w:sz w:val="16"/>
          <w:szCs w:val="16"/>
          <w:color w:val="auto"/>
        </w:rPr>
        <w:t>with respect to Debt Securities, (a) the authorization, execution and delivery of the indenture or a supplemental indenture relating to such Securities by the Company and the trustee thereunder and/or (b) the establishment of the terms of such Securities by the Company in conformity with the applicable indenture or supplemental indenture and applicable law, and (c) the execution, authentication and issuance of such Securities in accordance with the applicable indenture or supplemental indenture and applicable law; and</w:t>
      </w:r>
    </w:p>
    <w:p>
      <w:pPr>
        <w:spacing w:after="0" w:line="62" w:lineRule="exact"/>
        <w:rPr>
          <w:rFonts w:ascii="Arial" w:cs="Arial" w:eastAsia="Arial" w:hAnsi="Arial"/>
          <w:sz w:val="16"/>
          <w:szCs w:val="16"/>
          <w:color w:val="auto"/>
        </w:rPr>
      </w:pPr>
    </w:p>
    <w:p>
      <w:pPr>
        <w:ind w:left="864" w:right="220" w:hanging="432"/>
        <w:spacing w:after="0" w:line="286" w:lineRule="auto"/>
        <w:tabs>
          <w:tab w:leader="none" w:pos="864" w:val="left"/>
        </w:tabs>
        <w:numPr>
          <w:ilvl w:val="0"/>
          <w:numId w:val="220"/>
        </w:numPr>
        <w:rPr>
          <w:rFonts w:ascii="Arial" w:cs="Arial" w:eastAsia="Arial" w:hAnsi="Arial"/>
          <w:sz w:val="17"/>
          <w:szCs w:val="17"/>
          <w:color w:val="auto"/>
        </w:rPr>
      </w:pPr>
      <w:r>
        <w:rPr>
          <w:rFonts w:ascii="Arial" w:cs="Arial" w:eastAsia="Arial" w:hAnsi="Arial"/>
          <w:sz w:val="17"/>
          <w:szCs w:val="17"/>
          <w:color w:val="auto"/>
        </w:rPr>
        <w:t>with respect to Warrants or Units, (a) the authorization, execution and delivery by the Company and the other parties thereto of any agreement under which such Securities are to be issued, and (b) the establishment of the terms of such Securities and the issuance of such Securities in conformity with those terms, the terms of any applicable agreement and applicable law.</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Based upon the foregoing, and subject to the additional qualifications set forth below, we are of the opinion that:</w:t>
      </w:r>
    </w:p>
    <w:p>
      <w:pPr>
        <w:spacing w:after="0" w:line="117" w:lineRule="exact"/>
        <w:rPr>
          <w:sz w:val="20"/>
          <w:szCs w:val="20"/>
          <w:color w:val="auto"/>
        </w:rPr>
      </w:pPr>
    </w:p>
    <w:p>
      <w:pPr>
        <w:ind w:left="184" w:hanging="184"/>
        <w:spacing w:after="0"/>
        <w:tabs>
          <w:tab w:leader="none" w:pos="184" w:val="left"/>
        </w:tabs>
        <w:numPr>
          <w:ilvl w:val="0"/>
          <w:numId w:val="221"/>
        </w:numPr>
        <w:rPr>
          <w:rFonts w:ascii="Arial" w:cs="Arial" w:eastAsia="Arial" w:hAnsi="Arial"/>
          <w:sz w:val="17"/>
          <w:szCs w:val="17"/>
          <w:color w:val="auto"/>
        </w:rPr>
      </w:pPr>
      <w:r>
        <w:rPr>
          <w:rFonts w:ascii="Arial" w:cs="Arial" w:eastAsia="Arial" w:hAnsi="Arial"/>
          <w:sz w:val="17"/>
          <w:szCs w:val="17"/>
          <w:color w:val="auto"/>
        </w:rPr>
        <w:t>Upon the Future Authorization and Issuance of Debt Securities, such Debt Securities will be valid and binding obligations of the Company.</w:t>
      </w:r>
    </w:p>
    <w:p>
      <w:pPr>
        <w:spacing w:after="0" w:line="236" w:lineRule="exact"/>
        <w:rPr>
          <w:rFonts w:ascii="Arial" w:cs="Arial" w:eastAsia="Arial" w:hAnsi="Arial"/>
          <w:sz w:val="17"/>
          <w:szCs w:val="17"/>
          <w:color w:val="auto"/>
        </w:rPr>
      </w:pPr>
    </w:p>
    <w:p>
      <w:pPr>
        <w:ind w:left="184" w:hanging="184"/>
        <w:spacing w:after="0"/>
        <w:tabs>
          <w:tab w:leader="none" w:pos="18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Upon the Future Authorization and Issuance of Warrants, such Warrants will be valid and binding obligations of the Company.</w:t>
      </w:r>
    </w:p>
    <w:p>
      <w:pPr>
        <w:spacing w:after="0" w:line="225" w:lineRule="exact"/>
        <w:rPr>
          <w:rFonts w:ascii="Arial" w:cs="Arial" w:eastAsia="Arial" w:hAnsi="Arial"/>
          <w:sz w:val="18"/>
          <w:szCs w:val="18"/>
          <w:color w:val="auto"/>
        </w:rPr>
      </w:pPr>
    </w:p>
    <w:p>
      <w:pPr>
        <w:ind w:left="184" w:hanging="184"/>
        <w:spacing w:after="0"/>
        <w:tabs>
          <w:tab w:leader="none" w:pos="18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Upon the Future Authorization and Issuance of Units, such Units will be valid and binding obligations of the Company.</w:t>
      </w:r>
    </w:p>
    <w:p>
      <w:pPr>
        <w:spacing w:after="0" w:line="225"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The opinions expressed above are subject to bankruptcy, insolvency, fraudulent transfer, reorganization, moratorium and other similar laws of general application affecting the rights and remedies of creditors and to general principles of equity.</w:t>
      </w:r>
    </w:p>
    <w:p>
      <w:pPr>
        <w:spacing w:after="0" w:line="170"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 xml:space="preserve">This opinion letter and the opinions it contains shall be interpreted in accordance with the Core Opinion Principles as published in 74 </w:t>
      </w:r>
      <w:r>
        <w:rPr>
          <w:rFonts w:ascii="Arial" w:cs="Arial" w:eastAsia="Arial" w:hAnsi="Arial"/>
          <w:sz w:val="18"/>
          <w:szCs w:val="18"/>
          <w:i w:val="1"/>
          <w:iCs w:val="1"/>
          <w:color w:val="auto"/>
        </w:rPr>
        <w:t>Business Lawyer</w:t>
      </w:r>
      <w:r>
        <w:rPr>
          <w:rFonts w:ascii="Arial" w:cs="Arial" w:eastAsia="Arial" w:hAnsi="Arial"/>
          <w:sz w:val="18"/>
          <w:szCs w:val="18"/>
          <w:color w:val="auto"/>
        </w:rPr>
        <w:t xml:space="preserve"> 815 (Summer 2019).</w:t>
      </w:r>
    </w:p>
    <w:p>
      <w:pPr>
        <w:spacing w:after="0" w:line="170"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We hereby consent to the inclusion of this opinion as Exhibit 5.2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0984"/>
          </w:cols>
          <w:pgMar w:left="436" w:top="274" w:right="47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940"/>
        <w:spacing w:after="0" w:line="311" w:lineRule="auto"/>
        <w:rPr>
          <w:sz w:val="20"/>
          <w:szCs w:val="20"/>
          <w:color w:val="auto"/>
        </w:rPr>
      </w:pPr>
      <w:r>
        <w:rPr>
          <w:rFonts w:ascii="Arial" w:cs="Arial" w:eastAsia="Arial" w:hAnsi="Arial"/>
          <w:sz w:val="16"/>
          <w:szCs w:val="16"/>
          <w:color w:val="auto"/>
        </w:rPr>
        <w:t>We consent to the use of our report dated March 30, 2022, with respect to the consolidated and combined financial statements of Centessa Pharmaceuticals plc and subsidiaries and the Centessa Predecessor Group (consisting of Z Factor Limited, LockBody Therapeutics Ltd, and Morphogen-IX Limited), incorporated herein by reference and to the reference to our firm under the heading “Experts” in the prospectus.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 2022</w:t>
      </w:r>
    </w:p>
    <w:p>
      <w:pPr>
        <w:sectPr>
          <w:pgSz w:w="11900" w:h="16838" w:orient="portrait"/>
          <w:cols w:equalWidth="0" w:num="1">
            <w:col w:w="11020"/>
          </w:cols>
          <w:pgMar w:left="440" w:top="121" w:right="4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107.1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REGISTRATION FEE</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Form S-3</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0" w:lineRule="exact"/>
        <w:rPr>
          <w:sz w:val="20"/>
          <w:szCs w:val="20"/>
          <w:color w:val="auto"/>
        </w:rPr>
      </w:pPr>
    </w:p>
    <w:p>
      <w:pPr>
        <w:spacing w:after="0" w:line="2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Centessa Pharmaceuticals plc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1: Newly Registered and Carry Forward Securities</w:t>
      </w:r>
    </w:p>
    <w:p>
      <w:pPr>
        <w:spacing w:after="0" w:line="246" w:lineRule="exact"/>
        <w:rPr>
          <w:sz w:val="20"/>
          <w:szCs w:val="20"/>
          <w:color w:val="auto"/>
        </w:rPr>
      </w:pPr>
    </w:p>
    <w:tbl>
      <w:tblPr>
        <w:tblLayout w:type="fixed"/>
        <w:tblInd w:w="174" w:type="dxa"/>
        <w:tblCellMar>
          <w:top w:w="0" w:type="dxa"/>
          <w:left w:w="0" w:type="dxa"/>
          <w:bottom w:w="0" w:type="dxa"/>
          <w:right w:w="0" w:type="dxa"/>
        </w:tblCellMar>
      </w:tblPr>
      <w:tr>
        <w:trPr>
          <w:trHeight w:val="144"/>
        </w:trPr>
        <w:tc>
          <w:tcPr>
            <w:tcW w:w="940" w:type="dxa"/>
            <w:vAlign w:val="bottom"/>
            <w:tcBorders>
              <w:top w:val="single" w:sz="8" w:color="auto"/>
              <w:left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5"/>
              </w:rPr>
              <w:t>Filing Fee</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Previously</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Paid In</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Connection</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2"/>
              </w:rPr>
              <w:t>with</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Fee</w:t>
            </w:r>
          </w:p>
        </w:tc>
        <w:tc>
          <w:tcPr>
            <w:tcW w:w="80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Proposed</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3"/>
              </w:rPr>
              <w:t>Maximum</w:t>
            </w:r>
          </w:p>
        </w:tc>
        <w:tc>
          <w:tcPr>
            <w:tcW w:w="10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9"/>
              </w:rPr>
              <w:t>Carry</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Unsold</w:t>
            </w:r>
          </w:p>
        </w:tc>
        <w:tc>
          <w:tcPr>
            <w:tcW w:w="0" w:type="dxa"/>
            <w:vAlign w:val="bottom"/>
          </w:tcPr>
          <w:p>
            <w:pPr>
              <w:spacing w:after="0"/>
              <w:rPr>
                <w:sz w:val="1"/>
                <w:szCs w:val="1"/>
                <w:color w:val="auto"/>
              </w:rPr>
            </w:pPr>
          </w:p>
        </w:tc>
      </w:tr>
      <w:tr>
        <w:trPr>
          <w:trHeight w:val="126"/>
        </w:trPr>
        <w:tc>
          <w:tcPr>
            <w:tcW w:w="940" w:type="dxa"/>
            <w:vAlign w:val="bottom"/>
            <w:tcBorders>
              <w:left w:val="single" w:sz="8" w:color="auto"/>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8"/>
              </w:rPr>
              <w:t>Calculation</w:t>
            </w:r>
          </w:p>
        </w:tc>
        <w:tc>
          <w:tcPr>
            <w:tcW w:w="80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3"/>
              </w:rPr>
              <w:t>Maximum</w:t>
            </w:r>
          </w:p>
        </w:tc>
        <w:tc>
          <w:tcPr>
            <w:tcW w:w="116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4"/>
              </w:rPr>
              <w:t>Carry</w:t>
            </w:r>
          </w:p>
        </w:tc>
        <w:tc>
          <w:tcPr>
            <w:tcW w:w="62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4"/>
              </w:rPr>
              <w:t>Carry</w:t>
            </w:r>
          </w:p>
        </w:tc>
        <w:tc>
          <w:tcPr>
            <w:tcW w:w="600" w:type="dxa"/>
            <w:vAlign w:val="bottom"/>
            <w:tcBorders>
              <w:right w:val="single" w:sz="8" w:color="auto"/>
            </w:tcBorders>
          </w:tcPr>
          <w:p>
            <w:pPr>
              <w:ind w:left="40"/>
              <w:spacing w:after="0" w:line="126" w:lineRule="exact"/>
              <w:rPr>
                <w:sz w:val="20"/>
                <w:szCs w:val="20"/>
                <w:color w:val="auto"/>
              </w:rPr>
            </w:pPr>
            <w:r>
              <w:rPr>
                <w:rFonts w:ascii="Arial" w:cs="Arial" w:eastAsia="Arial" w:hAnsi="Arial"/>
                <w:sz w:val="13"/>
                <w:szCs w:val="13"/>
                <w:b w:val="1"/>
                <w:bCs w:val="1"/>
                <w:color w:val="auto"/>
              </w:rPr>
              <w:t>Forward</w:t>
            </w:r>
          </w:p>
        </w:tc>
        <w:tc>
          <w:tcPr>
            <w:tcW w:w="72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Security</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or Carry</w:t>
            </w:r>
          </w:p>
        </w:tc>
        <w:tc>
          <w:tcPr>
            <w:tcW w:w="80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0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c>
          <w:tcPr>
            <w:tcW w:w="60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3"/>
                <w:szCs w:val="13"/>
                <w:b w:val="1"/>
                <w:bCs w:val="1"/>
                <w:color w:val="auto"/>
              </w:rPr>
              <w:t>Forward</w:t>
            </w:r>
          </w:p>
        </w:tc>
        <w:tc>
          <w:tcPr>
            <w:tcW w:w="620" w:type="dxa"/>
            <w:vAlign w:val="bottom"/>
            <w:tcBorders>
              <w:right w:val="single" w:sz="8" w:color="auto"/>
            </w:tcBorders>
          </w:tcPr>
          <w:p>
            <w:pPr>
              <w:ind w:left="60"/>
              <w:spacing w:after="0" w:line="135" w:lineRule="exact"/>
              <w:rPr>
                <w:sz w:val="20"/>
                <w:szCs w:val="20"/>
                <w:color w:val="auto"/>
              </w:rPr>
            </w:pPr>
            <w:r>
              <w:rPr>
                <w:rFonts w:ascii="Arial" w:cs="Arial" w:eastAsia="Arial" w:hAnsi="Arial"/>
                <w:sz w:val="13"/>
                <w:szCs w:val="13"/>
                <w:b w:val="1"/>
                <w:bCs w:val="1"/>
                <w:color w:val="auto"/>
              </w:rPr>
              <w:t>Forward</w:t>
            </w: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9"/>
              </w:rPr>
              <w:t>Initial</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to be</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Security</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Class</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Forward</w:t>
            </w:r>
          </w:p>
        </w:tc>
        <w:tc>
          <w:tcPr>
            <w:tcW w:w="800" w:type="dxa"/>
            <w:vAlign w:val="bottom"/>
            <w:tcBorders>
              <w:right w:val="single" w:sz="8" w:color="auto"/>
            </w:tcBorders>
          </w:tcPr>
          <w:p>
            <w:pPr>
              <w:jc w:val="right"/>
              <w:ind w:right="95"/>
              <w:spacing w:after="0" w:line="135" w:lineRule="exact"/>
              <w:rPr>
                <w:sz w:val="20"/>
                <w:szCs w:val="20"/>
                <w:color w:val="auto"/>
              </w:rPr>
            </w:pPr>
            <w:r>
              <w:rPr>
                <w:rFonts w:ascii="Arial" w:cs="Arial" w:eastAsia="Arial" w:hAnsi="Arial"/>
                <w:sz w:val="13"/>
                <w:szCs w:val="13"/>
                <w:b w:val="1"/>
                <w:bCs w:val="1"/>
                <w:color w:val="auto"/>
              </w:rPr>
              <w:t>Amount</w:t>
            </w: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Price Per</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w:t>
            </w:r>
          </w:p>
        </w:tc>
        <w:tc>
          <w:tcPr>
            <w:tcW w:w="10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Registration</w:t>
            </w: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2"/>
              </w:rPr>
              <w:t>Form</w:t>
            </w: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File</w:t>
            </w: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effective</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Carried</w:t>
            </w:r>
          </w:p>
        </w:tc>
        <w:tc>
          <w:tcPr>
            <w:tcW w:w="0" w:type="dxa"/>
            <w:vAlign w:val="bottom"/>
          </w:tcPr>
          <w:p>
            <w:pPr>
              <w:spacing w:after="0"/>
              <w:rPr>
                <w:sz w:val="1"/>
                <w:szCs w:val="1"/>
                <w:color w:val="auto"/>
              </w:rPr>
            </w:pPr>
          </w:p>
        </w:tc>
      </w:tr>
      <w:tr>
        <w:trPr>
          <w:trHeight w:val="174"/>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Type</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Title</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Rule</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Registered(2)</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Share (3)</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Price</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Fee Rate</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0"/>
              </w:rPr>
              <w:t>Fee</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Type</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Number</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date</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Forward</w:t>
            </w:r>
          </w:p>
        </w:tc>
        <w:tc>
          <w:tcPr>
            <w:tcW w:w="0" w:type="dxa"/>
            <w:vAlign w:val="bottom"/>
          </w:tcPr>
          <w:p>
            <w:pPr>
              <w:spacing w:after="0"/>
              <w:rPr>
                <w:sz w:val="1"/>
                <w:szCs w:val="1"/>
                <w:color w:val="auto"/>
              </w:rPr>
            </w:pPr>
          </w:p>
        </w:tc>
      </w:tr>
      <w:tr>
        <w:trPr>
          <w:trHeight w:val="231"/>
        </w:trPr>
        <w:tc>
          <w:tcPr>
            <w:tcW w:w="940" w:type="dxa"/>
            <w:vAlign w:val="bottom"/>
            <w:tcBorders>
              <w:left w:val="single" w:sz="8" w:color="auto"/>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center"/>
              <w:ind w:right="673"/>
              <w:spacing w:after="0"/>
              <w:rPr>
                <w:sz w:val="20"/>
                <w:szCs w:val="20"/>
                <w:color w:val="auto"/>
              </w:rPr>
            </w:pPr>
            <w:r>
              <w:rPr>
                <w:rFonts w:ascii="Arial" w:cs="Arial" w:eastAsia="Arial" w:hAnsi="Arial"/>
                <w:sz w:val="18"/>
                <w:szCs w:val="18"/>
                <w:color w:val="auto"/>
                <w:w w:val="89"/>
              </w:rPr>
              <w:t>Newly Registered Securities</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Ordinary</w:t>
            </w:r>
          </w:p>
        </w:tc>
        <w:tc>
          <w:tcPr>
            <w:tcW w:w="7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7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nominal</w:t>
            </w:r>
          </w:p>
        </w:tc>
        <w:tc>
          <w:tcPr>
            <w:tcW w:w="7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vMerge w:val="restart"/>
          </w:tcPr>
          <w:p>
            <w:pPr>
              <w:jc w:val="center"/>
              <w:ind w:left="50"/>
              <w:spacing w:after="0"/>
              <w:rPr>
                <w:sz w:val="20"/>
                <w:szCs w:val="20"/>
                <w:color w:val="auto"/>
              </w:rPr>
            </w:pPr>
            <w:r>
              <w:rPr>
                <w:rFonts w:ascii="Arial" w:cs="Arial" w:eastAsia="Arial" w:hAnsi="Arial"/>
                <w:sz w:val="18"/>
                <w:szCs w:val="18"/>
                <w:color w:val="auto"/>
                <w:w w:val="87"/>
              </w:rPr>
              <w:t>Fees to Be</w:t>
            </w:r>
          </w:p>
        </w:tc>
        <w:tc>
          <w:tcPr>
            <w:tcW w:w="9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value £0.002</w:t>
            </w:r>
          </w:p>
        </w:tc>
        <w:tc>
          <w:tcPr>
            <w:tcW w:w="7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40" w:type="dxa"/>
            <w:vAlign w:val="bottom"/>
            <w:tcBorders>
              <w:left w:val="single" w:sz="8" w:color="auto"/>
              <w:right w:val="single" w:sz="8" w:color="auto"/>
            </w:tcBorders>
            <w:vMerge w:val="continue"/>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7"/>
              </w:rPr>
              <w:t>per share(3)</w:t>
            </w:r>
          </w:p>
        </w:tc>
        <w:tc>
          <w:tcPr>
            <w:tcW w:w="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1"/>
              </w:rPr>
              <w:t>Rule</w:t>
            </w:r>
          </w:p>
        </w:tc>
        <w:tc>
          <w:tcPr>
            <w:tcW w:w="80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Equity(1)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Rule</w:t>
            </w:r>
          </w:p>
        </w:tc>
        <w:tc>
          <w:tcPr>
            <w:tcW w:w="8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American</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457(o),</w:t>
            </w:r>
          </w:p>
        </w:tc>
        <w:tc>
          <w:tcPr>
            <w:tcW w:w="8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Depositary</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Rule</w:t>
            </w:r>
          </w:p>
        </w:tc>
        <w:tc>
          <w:tcPr>
            <w:tcW w:w="8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457(k)</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Debt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Rule</w:t>
            </w:r>
          </w:p>
        </w:tc>
        <w:tc>
          <w:tcPr>
            <w:tcW w:w="8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Debt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Securities(2)</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456(o)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Rule</w:t>
            </w:r>
          </w:p>
        </w:tc>
        <w:tc>
          <w:tcPr>
            <w:tcW w:w="8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Warrants(2)</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456(o)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Rule</w:t>
            </w:r>
          </w:p>
        </w:tc>
        <w:tc>
          <w:tcPr>
            <w:tcW w:w="8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Units(2)</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Unallocated</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Unallocated</w:t>
            </w:r>
          </w:p>
        </w:tc>
        <w:tc>
          <w:tcPr>
            <w:tcW w:w="7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(Universal)</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(Universal)</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Rule</w:t>
            </w:r>
          </w:p>
        </w:tc>
        <w:tc>
          <w:tcPr>
            <w:tcW w:w="8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940" w:type="dxa"/>
            <w:vAlign w:val="bottom"/>
            <w:tcBorders>
              <w:left w:val="single" w:sz="8" w:color="auto"/>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Shelf</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Shelf</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18"/>
                <w:szCs w:val="18"/>
                <w:color w:val="auto"/>
                <w:w w:val="92"/>
              </w:rPr>
              <w:t>$350,000,000</w:t>
            </w:r>
          </w:p>
        </w:tc>
        <w:tc>
          <w:tcPr>
            <w:tcW w:w="100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w w:val="92"/>
              </w:rPr>
              <w:t>$0.0000927</w:t>
            </w:r>
          </w:p>
        </w:tc>
        <w:tc>
          <w:tcPr>
            <w:tcW w:w="980" w:type="dxa"/>
            <w:vAlign w:val="bottom"/>
            <w:tcBorders>
              <w:bottom w:val="single" w:sz="8" w:color="auto"/>
              <w:right w:val="single" w:sz="8" w:color="auto"/>
            </w:tcBorders>
          </w:tcPr>
          <w:p>
            <w:pPr>
              <w:jc w:val="right"/>
              <w:ind w:right="36"/>
              <w:spacing w:after="0"/>
              <w:rPr>
                <w:sz w:val="20"/>
                <w:szCs w:val="20"/>
                <w:color w:val="auto"/>
              </w:rPr>
            </w:pPr>
            <w:r>
              <w:rPr>
                <w:rFonts w:ascii="Arial" w:cs="Arial" w:eastAsia="Arial" w:hAnsi="Arial"/>
                <w:sz w:val="18"/>
                <w:szCs w:val="18"/>
                <w:color w:val="auto"/>
                <w:w w:val="93"/>
              </w:rPr>
              <w:t>$32,445.00</w:t>
            </w:r>
          </w:p>
        </w:tc>
        <w:tc>
          <w:tcPr>
            <w:tcW w:w="60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79"/>
              </w:rPr>
              <w:t>Fees</w:t>
            </w:r>
          </w:p>
        </w:tc>
        <w:tc>
          <w:tcPr>
            <w:tcW w:w="9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1"/>
              </w:rPr>
              <w:t>Previously</w:t>
            </w:r>
          </w:p>
        </w:tc>
        <w:tc>
          <w:tcPr>
            <w:tcW w:w="9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center"/>
              <w:ind w:right="673"/>
              <w:spacing w:after="0"/>
              <w:rPr>
                <w:sz w:val="20"/>
                <w:szCs w:val="20"/>
                <w:color w:val="auto"/>
              </w:rPr>
            </w:pPr>
            <w:r>
              <w:rPr>
                <w:rFonts w:ascii="Arial" w:cs="Arial" w:eastAsia="Arial" w:hAnsi="Arial"/>
                <w:sz w:val="18"/>
                <w:szCs w:val="18"/>
                <w:color w:val="auto"/>
                <w:w w:val="91"/>
              </w:rPr>
              <w:t>Carry Forward Securities</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Carry</w:t>
            </w:r>
          </w:p>
        </w:tc>
        <w:tc>
          <w:tcPr>
            <w:tcW w:w="9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Forward</w:t>
            </w:r>
          </w:p>
        </w:tc>
        <w:tc>
          <w:tcPr>
            <w:tcW w:w="9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9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1"/>
              </w:rPr>
              <w:t>Securities</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9"/>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50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Total Offering Amounts</w:t>
            </w:r>
          </w:p>
        </w:tc>
        <w:tc>
          <w:tcPr>
            <w:tcW w:w="6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$350,000,000</w:t>
            </w:r>
          </w:p>
        </w:tc>
        <w:tc>
          <w:tcPr>
            <w:tcW w:w="10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$32,445.00</w:t>
            </w:r>
          </w:p>
        </w:tc>
        <w:tc>
          <w:tcPr>
            <w:tcW w:w="60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50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Total Fees Previously Paid</w:t>
            </w:r>
          </w:p>
        </w:tc>
        <w:tc>
          <w:tcPr>
            <w:tcW w:w="6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Total Fee Offsets</w:t>
            </w:r>
          </w:p>
        </w:tc>
        <w:tc>
          <w:tcPr>
            <w:tcW w:w="6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Net Fee Due</w:t>
            </w:r>
          </w:p>
        </w:tc>
        <w:tc>
          <w:tcPr>
            <w:tcW w:w="6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$32,445.00</w:t>
            </w:r>
          </w:p>
        </w:tc>
        <w:tc>
          <w:tcPr>
            <w:tcW w:w="60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20" w:hanging="424"/>
        <w:spacing w:after="0" w:line="283" w:lineRule="auto"/>
        <w:tabs>
          <w:tab w:leader="none" w:pos="424"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amount to be registered consists of up to $350,000,000 of an indeterminate amount of ordinary shares, debt securities, warrants and/or units that may be offered and sold from time to time in one or more offerings. The ordinary shares may be represented by American Depositary Shares (“ADSs”), each of which currently represents one ordinary share. A separate registration statement on Form F-6 has been or will be filed for the registration of ADSs issuable upon deposit of the ordinary shares. The proposed maximum initial offering price per unit will be determined, from time to time, by the registrant in connection with the issuance by the registrant of the securities registered hereunder as to each class of security. The securities registered also include such indeterminate number of ordinary shares represented by ADSs and the amount of debt securities as may be issued upon conversion of or exchange for debt securities that provide for conversion or exchange, upon exercise of warrants or pursuant to the anti-dilution provisions of any such securities. In addition, pursuant to Rule 416 under the Securities Act, the ordinary shares, including ADSs representing ordinary shares, being registered hereunder include such indeterminate number of shares and ADSs representing ordinary shares as may be issuable with respect to the shares being registered hereunder as a result of share splits, share dividends or similar transactions.</w:t>
      </w:r>
    </w:p>
    <w:p>
      <w:pPr>
        <w:spacing w:after="0" w:line="4" w:lineRule="exact"/>
        <w:rPr>
          <w:rFonts w:ascii="Arial" w:cs="Arial" w:eastAsia="Arial" w:hAnsi="Arial"/>
          <w:sz w:val="16"/>
          <w:szCs w:val="16"/>
          <w:color w:val="auto"/>
        </w:rPr>
      </w:pPr>
    </w:p>
    <w:p>
      <w:pPr>
        <w:ind w:left="424" w:right="100" w:hanging="424"/>
        <w:spacing w:after="0" w:line="250" w:lineRule="auto"/>
        <w:tabs>
          <w:tab w:leader="none" w:pos="42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Such indeterminate number or amount of ordinary shares, debt securities, warrants and/or units to purchase any combination of the foregoing securities, as may from time to time be issued at indeterminate prices, and units composed of one or more of the foregoing securities, with an aggregate initial offering price not to exceed $350,000,000. Securities registered hereunder may be sold separately or together in any combination with other securities registered hereunder. Warrants may be exercised to purchase any of the other securities registered hereby. The securities registered hereunder also include such indeterminate number of ordinary shares and amount of debt securities as may be issued upon conversion of or exchange for securities that provide for conversion or exchange, upon exercise of securities or pursuant to the antidilution provisions of any other securities.</w:t>
      </w:r>
    </w:p>
    <w:p>
      <w:pPr>
        <w:spacing w:after="0" w:line="2" w:lineRule="exact"/>
        <w:rPr>
          <w:rFonts w:ascii="Arial" w:cs="Arial" w:eastAsia="Arial" w:hAnsi="Arial"/>
          <w:sz w:val="18"/>
          <w:szCs w:val="18"/>
          <w:color w:val="auto"/>
        </w:rPr>
      </w:pPr>
    </w:p>
    <w:p>
      <w:pPr>
        <w:jc w:val="both"/>
        <w:ind w:left="424" w:right="140" w:hanging="424"/>
        <w:spacing w:after="0" w:line="255" w:lineRule="auto"/>
        <w:tabs>
          <w:tab w:leader="none" w:pos="42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proposed maximum offering price per security will be determined from time to time by the registrant in connection with the issuance by the registrant of the securities registered hereunder and is not specified as to each class of security pursuant to Instruction 2.A(iii)(b) of Item 16(b) of Form S-3 under the Securities Act of 1933, as amended (the “Securities Act”).</w:t>
      </w:r>
    </w:p>
    <w:sectPr>
      <w:pgSz w:w="11900" w:h="16838" w:orient="portrait"/>
      <w:cols w:equalWidth="0" w:num="1">
        <w:col w:w="11024"/>
      </w:cols>
      <w:pgMar w:left="436" w:top="121" w:right="4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5E286C"/>
    <w:multiLevelType w:val="hybridMultilevel"/>
    <w:lvl w:ilvl="0">
      <w:lvlJc w:val="left"/>
      <w:lvlText w:val="•"/>
      <w:numFmt w:val="bullet"/>
      <w:start w:val="1"/>
    </w:lvl>
  </w:abstractNum>
  <w:abstractNum w:abstractNumId="1">
    <w:nsid w:val="7C58FD05"/>
    <w:multiLevelType w:val="hybridMultilevel"/>
    <w:lvl w:ilvl="0">
      <w:lvlJc w:val="left"/>
      <w:lvlText w:val="•"/>
      <w:numFmt w:val="bullet"/>
      <w:start w:val="1"/>
    </w:lvl>
  </w:abstractNum>
  <w:abstractNum w:abstractNumId="2">
    <w:nsid w:val="23D86AAC"/>
    <w:multiLevelType w:val="hybridMultilevel"/>
    <w:lvl w:ilvl="0">
      <w:lvlJc w:val="left"/>
      <w:lvlText w:val="•"/>
      <w:numFmt w:val="bullet"/>
      <w:start w:val="1"/>
    </w:lvl>
  </w:abstractNum>
  <w:abstractNum w:abstractNumId="3">
    <w:nsid w:val="45E6D486"/>
    <w:multiLevelType w:val="hybridMultilevel"/>
    <w:lvl w:ilvl="0">
      <w:lvlJc w:val="left"/>
      <w:lvlText w:val="•"/>
      <w:numFmt w:val="bullet"/>
      <w:start w:val="1"/>
    </w:lvl>
  </w:abstractNum>
  <w:abstractNum w:abstractNumId="4">
    <w:nsid w:val="5C10FE21"/>
    <w:multiLevelType w:val="hybridMultilevel"/>
    <w:lvl w:ilvl="0">
      <w:lvlJc w:val="left"/>
      <w:lvlText w:val="•"/>
      <w:numFmt w:val="bullet"/>
      <w:start w:val="1"/>
    </w:lvl>
  </w:abstractNum>
  <w:abstractNum w:abstractNumId="5">
    <w:nsid w:val="E7FFA2B"/>
    <w:multiLevelType w:val="hybridMultilevel"/>
    <w:lvl w:ilvl="0">
      <w:lvlJc w:val="left"/>
      <w:lvlText w:val="•"/>
      <w:numFmt w:val="bullet"/>
      <w:start w:val="1"/>
    </w:lvl>
  </w:abstractNum>
  <w:abstractNum w:abstractNumId="6">
    <w:nsid w:val="3C5991AA"/>
    <w:multiLevelType w:val="hybridMultilevel"/>
    <w:lvl w:ilvl="0">
      <w:lvlJc w:val="left"/>
      <w:lvlText w:val="•"/>
      <w:numFmt w:val="bullet"/>
      <w:start w:val="1"/>
    </w:lvl>
  </w:abstractNum>
  <w:abstractNum w:abstractNumId="7">
    <w:nsid w:val="4BD8591A"/>
    <w:multiLevelType w:val="hybridMultilevel"/>
    <w:lvl w:ilvl="0">
      <w:lvlJc w:val="left"/>
      <w:lvlText w:val="•"/>
      <w:numFmt w:val="bullet"/>
      <w:start w:val="1"/>
    </w:lvl>
  </w:abstractNum>
  <w:abstractNum w:abstractNumId="8">
    <w:nsid w:val="78DF6A55"/>
    <w:multiLevelType w:val="hybridMultilevel"/>
    <w:lvl w:ilvl="0">
      <w:lvlJc w:val="left"/>
      <w:lvlText w:val="•"/>
      <w:numFmt w:val="bullet"/>
      <w:start w:val="1"/>
    </w:lvl>
  </w:abstractNum>
  <w:abstractNum w:abstractNumId="9">
    <w:nsid w:val="39B7AAA2"/>
    <w:multiLevelType w:val="hybridMultilevel"/>
    <w:lvl w:ilvl="0">
      <w:lvlJc w:val="left"/>
      <w:lvlText w:val="•"/>
      <w:numFmt w:val="bullet"/>
      <w:start w:val="1"/>
    </w:lvl>
  </w:abstractNum>
  <w:abstractNum w:abstractNumId="10">
    <w:nsid w:val="2B0D8DBE"/>
    <w:multiLevelType w:val="hybridMultilevel"/>
    <w:lvl w:ilvl="0">
      <w:lvlJc w:val="left"/>
      <w:lvlText w:val="(%1)"/>
      <w:numFmt w:val="lowerRoman"/>
      <w:start w:val="1"/>
    </w:lvl>
  </w:abstractNum>
  <w:abstractNum w:abstractNumId="11">
    <w:nsid w:val="6C80EC70"/>
    <w:multiLevelType w:val="hybridMultilevel"/>
    <w:lvl w:ilvl="0">
      <w:lvlJc w:val="left"/>
      <w:lvlText w:val="(%1)"/>
      <w:numFmt w:val="lowerRoman"/>
      <w:start w:val="1"/>
    </w:lvl>
  </w:abstractNum>
  <w:abstractNum w:abstractNumId="12">
    <w:nsid w:val="379E21B5"/>
    <w:multiLevelType w:val="hybridMultilevel"/>
    <w:lvl w:ilvl="0">
      <w:lvlJc w:val="left"/>
      <w:lvlText w:val="(%1)"/>
      <w:numFmt w:val="lowerRoman"/>
      <w:start w:val="1"/>
    </w:lvl>
  </w:abstractNum>
  <w:abstractNum w:abstractNumId="13">
    <w:nsid w:val="69E373"/>
    <w:multiLevelType w:val="hybridMultilevel"/>
    <w:lvl w:ilvl="0">
      <w:lvlJc w:val="left"/>
      <w:lvlText w:val="(%1)"/>
      <w:numFmt w:val="lowerLetter"/>
      <w:start w:val="1"/>
    </w:lvl>
  </w:abstractNum>
  <w:abstractNum w:abstractNumId="14">
    <w:nsid w:val="2C27173B"/>
    <w:multiLevelType w:val="hybridMultilevel"/>
    <w:lvl w:ilvl="0">
      <w:lvlJc w:val="left"/>
      <w:lvlText w:val="(%1)"/>
      <w:numFmt w:val="lowerLetter"/>
      <w:start w:val="2"/>
    </w:lvl>
  </w:abstractNum>
  <w:abstractNum w:abstractNumId="15">
    <w:nsid w:val="4C9B0904"/>
    <w:multiLevelType w:val="hybridMultilevel"/>
    <w:lvl w:ilvl="0">
      <w:lvlJc w:val="left"/>
      <w:lvlText w:val="•"/>
      <w:numFmt w:val="bullet"/>
      <w:start w:val="1"/>
    </w:lvl>
  </w:abstractNum>
  <w:abstractNum w:abstractNumId="16">
    <w:nsid w:val="6AA7B75C"/>
    <w:multiLevelType w:val="hybridMultilevel"/>
    <w:lvl w:ilvl="0">
      <w:lvlJc w:val="left"/>
      <w:lvlText w:val="(%1)"/>
      <w:numFmt w:val="lowerRoman"/>
      <w:start w:val="2"/>
    </w:lvl>
  </w:abstractNum>
  <w:abstractNum w:abstractNumId="17">
    <w:nsid w:val="1DF029D3"/>
    <w:multiLevelType w:val="hybridMultilevel"/>
    <w:lvl w:ilvl="0">
      <w:lvlJc w:val="left"/>
      <w:lvlText w:val="•"/>
      <w:numFmt w:val="bullet"/>
      <w:start w:val="1"/>
    </w:lvl>
  </w:abstractNum>
  <w:abstractNum w:abstractNumId="18">
    <w:nsid w:val="5675FF36"/>
    <w:multiLevelType w:val="hybridMultilevel"/>
    <w:lvl w:ilvl="0">
      <w:lvlJc w:val="left"/>
      <w:lvlText w:val="•"/>
      <w:numFmt w:val="bullet"/>
      <w:start w:val="1"/>
    </w:lvl>
  </w:abstractNum>
  <w:abstractNum w:abstractNumId="19">
    <w:nsid w:val="3DD15094"/>
    <w:multiLevelType w:val="hybridMultilevel"/>
    <w:lvl w:ilvl="0">
      <w:lvlJc w:val="left"/>
      <w:lvlText w:val="•"/>
      <w:numFmt w:val="bullet"/>
      <w:start w:val="1"/>
    </w:lvl>
  </w:abstractNum>
  <w:abstractNum w:abstractNumId="20">
    <w:nsid w:val="3DB012B3"/>
    <w:multiLevelType w:val="hybridMultilevel"/>
    <w:lvl w:ilvl="0">
      <w:lvlJc w:val="left"/>
      <w:lvlText w:val="(%1)"/>
      <w:numFmt w:val="lowerRoman"/>
      <w:start w:val="5"/>
    </w:lvl>
  </w:abstractNum>
  <w:abstractNum w:abstractNumId="21">
    <w:nsid w:val="2708C9AF"/>
    <w:multiLevelType w:val="hybridMultilevel"/>
    <w:lvl w:ilvl="0">
      <w:lvlJc w:val="left"/>
      <w:lvlText w:val="•"/>
      <w:numFmt w:val="bullet"/>
      <w:start w:val="1"/>
    </w:lvl>
  </w:abstractNum>
  <w:abstractNum w:abstractNumId="22">
    <w:nsid w:val="5B25ACE2"/>
    <w:multiLevelType w:val="hybridMultilevel"/>
    <w:lvl w:ilvl="0">
      <w:lvlJc w:val="left"/>
      <w:lvlText w:val="•"/>
      <w:numFmt w:val="bullet"/>
      <w:start w:val="1"/>
    </w:lvl>
  </w:abstractNum>
  <w:abstractNum w:abstractNumId="23">
    <w:nsid w:val="175DFCF0"/>
    <w:multiLevelType w:val="hybridMultilevel"/>
    <w:lvl w:ilvl="0">
      <w:lvlJc w:val="left"/>
      <w:lvlText w:val="•"/>
      <w:numFmt w:val="bullet"/>
      <w:start w:val="1"/>
    </w:lvl>
  </w:abstractNum>
  <w:abstractNum w:abstractNumId="24">
    <w:nsid w:val="4F97E3E4"/>
    <w:multiLevelType w:val="hybridMultilevel"/>
    <w:lvl w:ilvl="0">
      <w:lvlJc w:val="left"/>
      <w:lvlText w:val="•"/>
      <w:numFmt w:val="bullet"/>
      <w:start w:val="1"/>
    </w:lvl>
  </w:abstractNum>
  <w:abstractNum w:abstractNumId="25">
    <w:nsid w:val="53B0A9E"/>
    <w:multiLevelType w:val="hybridMultilevel"/>
    <w:lvl w:ilvl="0">
      <w:lvlJc w:val="left"/>
      <w:lvlText w:val="•"/>
      <w:numFmt w:val="bullet"/>
      <w:start w:val="1"/>
    </w:lvl>
  </w:abstractNum>
  <w:abstractNum w:abstractNumId="26">
    <w:nsid w:val="34FD6B4F"/>
    <w:multiLevelType w:val="hybridMultilevel"/>
    <w:lvl w:ilvl="0">
      <w:lvlJc w:val="left"/>
      <w:lvlText w:val="•"/>
      <w:numFmt w:val="bullet"/>
      <w:start w:val="1"/>
    </w:lvl>
  </w:abstractNum>
  <w:abstractNum w:abstractNumId="27">
    <w:nsid w:val="5915FF32"/>
    <w:multiLevelType w:val="hybridMultilevel"/>
    <w:lvl w:ilvl="0">
      <w:lvlJc w:val="left"/>
      <w:lvlText w:val="•"/>
      <w:numFmt w:val="bullet"/>
      <w:start w:val="1"/>
    </w:lvl>
  </w:abstractNum>
  <w:abstractNum w:abstractNumId="28">
    <w:nsid w:val="56438D15"/>
    <w:multiLevelType w:val="hybridMultilevel"/>
    <w:lvl w:ilvl="0">
      <w:lvlJc w:val="left"/>
      <w:lvlText w:val="•"/>
      <w:numFmt w:val="bullet"/>
      <w:start w:val="1"/>
    </w:lvl>
  </w:abstractNum>
  <w:abstractNum w:abstractNumId="29">
    <w:nsid w:val="519E3149"/>
    <w:multiLevelType w:val="hybridMultilevel"/>
    <w:lvl w:ilvl="0">
      <w:lvlJc w:val="left"/>
      <w:lvlText w:val="•"/>
      <w:numFmt w:val="bullet"/>
      <w:start w:val="1"/>
    </w:lvl>
  </w:abstractNum>
  <w:abstractNum w:abstractNumId="30">
    <w:nsid w:val="2C6E4AFD"/>
    <w:multiLevelType w:val="hybridMultilevel"/>
    <w:lvl w:ilvl="0">
      <w:lvlJc w:val="left"/>
      <w:lvlText w:val="•"/>
      <w:numFmt w:val="bullet"/>
      <w:start w:val="1"/>
    </w:lvl>
  </w:abstractNum>
  <w:abstractNum w:abstractNumId="31">
    <w:nsid w:val="17A1B582"/>
    <w:multiLevelType w:val="hybridMultilevel"/>
    <w:lvl w:ilvl="0">
      <w:lvlJc w:val="left"/>
      <w:lvlText w:val="•"/>
      <w:numFmt w:val="bullet"/>
      <w:start w:val="1"/>
    </w:lvl>
  </w:abstractNum>
  <w:abstractNum w:abstractNumId="32">
    <w:nsid w:val="4DF72E4E"/>
    <w:multiLevelType w:val="hybridMultilevel"/>
    <w:lvl w:ilvl="0">
      <w:lvlJc w:val="left"/>
      <w:lvlText w:val="•"/>
      <w:numFmt w:val="bullet"/>
      <w:start w:val="1"/>
    </w:lvl>
  </w:abstractNum>
  <w:abstractNum w:abstractNumId="33">
    <w:nsid w:val="5046B5A9"/>
    <w:multiLevelType w:val="hybridMultilevel"/>
    <w:lvl w:ilvl="0">
      <w:lvlJc w:val="left"/>
      <w:lvlText w:val="•"/>
      <w:numFmt w:val="bullet"/>
      <w:start w:val="1"/>
    </w:lvl>
  </w:abstractNum>
  <w:abstractNum w:abstractNumId="34">
    <w:nsid w:val="5D888A08"/>
    <w:multiLevelType w:val="hybridMultilevel"/>
    <w:lvl w:ilvl="0">
      <w:lvlJc w:val="left"/>
      <w:lvlText w:val="•"/>
      <w:numFmt w:val="bullet"/>
      <w:start w:val="1"/>
    </w:lvl>
  </w:abstractNum>
  <w:abstractNum w:abstractNumId="35">
    <w:nsid w:val="2A082C70"/>
    <w:multiLevelType w:val="hybridMultilevel"/>
    <w:lvl w:ilvl="0">
      <w:lvlJc w:val="left"/>
      <w:lvlText w:val="•"/>
      <w:numFmt w:val="bullet"/>
      <w:start w:val="1"/>
    </w:lvl>
  </w:abstractNum>
  <w:abstractNum w:abstractNumId="36">
    <w:nsid w:val="5EC6AFD4"/>
    <w:multiLevelType w:val="hybridMultilevel"/>
    <w:lvl w:ilvl="0">
      <w:lvlJc w:val="left"/>
      <w:lvlText w:val="•"/>
      <w:numFmt w:val="bullet"/>
      <w:start w:val="1"/>
    </w:lvl>
  </w:abstractNum>
  <w:abstractNum w:abstractNumId="37">
    <w:nsid w:val="19E21BB2"/>
    <w:multiLevelType w:val="hybridMultilevel"/>
    <w:lvl w:ilvl="0">
      <w:lvlJc w:val="left"/>
      <w:lvlText w:val="•"/>
      <w:numFmt w:val="bullet"/>
      <w:start w:val="1"/>
    </w:lvl>
  </w:abstractNum>
  <w:abstractNum w:abstractNumId="38">
    <w:nsid w:val="75E0858A"/>
    <w:multiLevelType w:val="hybridMultilevel"/>
    <w:lvl w:ilvl="0">
      <w:lvlJc w:val="left"/>
      <w:lvlText w:val="•"/>
      <w:numFmt w:val="bullet"/>
      <w:start w:val="1"/>
    </w:lvl>
  </w:abstractNum>
  <w:abstractNum w:abstractNumId="39">
    <w:nsid w:val="57A61A29"/>
    <w:multiLevelType w:val="hybridMultilevel"/>
    <w:lvl w:ilvl="0">
      <w:lvlJc w:val="left"/>
      <w:lvlText w:val="•"/>
      <w:numFmt w:val="bullet"/>
      <w:start w:val="1"/>
    </w:lvl>
  </w:abstractNum>
  <w:abstractNum w:abstractNumId="40">
    <w:nsid w:val="5399C654"/>
    <w:multiLevelType w:val="hybridMultilevel"/>
    <w:lvl w:ilvl="0">
      <w:lvlJc w:val="left"/>
      <w:lvlText w:val="•"/>
      <w:numFmt w:val="bullet"/>
      <w:start w:val="1"/>
    </w:lvl>
  </w:abstractNum>
  <w:abstractNum w:abstractNumId="41">
    <w:nsid w:val="20EE1348"/>
    <w:multiLevelType w:val="hybridMultilevel"/>
    <w:lvl w:ilvl="0">
      <w:lvlJc w:val="left"/>
      <w:lvlText w:val="•"/>
      <w:numFmt w:val="bullet"/>
      <w:start w:val="1"/>
    </w:lvl>
  </w:abstractNum>
  <w:abstractNum w:abstractNumId="42">
    <w:nsid w:val="4427069A"/>
    <w:multiLevelType w:val="hybridMultilevel"/>
    <w:lvl w:ilvl="0">
      <w:lvlJc w:val="left"/>
      <w:lvlText w:val="•"/>
      <w:numFmt w:val="bullet"/>
      <w:start w:val="1"/>
    </w:lvl>
    <w:lvl w:ilvl="1">
      <w:lvlJc w:val="left"/>
      <w:lvlText w:val="(%2)"/>
      <w:numFmt w:val="decimal"/>
      <w:start w:val="1"/>
    </w:lvl>
  </w:abstractNum>
  <w:abstractNum w:abstractNumId="43">
    <w:nsid w:val="B37E80A"/>
    <w:multiLevelType w:val="hybridMultilevel"/>
    <w:lvl w:ilvl="0">
      <w:lvlJc w:val="left"/>
      <w:lvlText w:val="•"/>
      <w:numFmt w:val="bullet"/>
      <w:start w:val="1"/>
    </w:lvl>
    <w:lvl w:ilvl="1">
      <w:lvlJc w:val="left"/>
      <w:lvlText w:val="(%2)"/>
      <w:numFmt w:val="decimal"/>
      <w:start w:val="2"/>
    </w:lvl>
  </w:abstractNum>
  <w:abstractNum w:abstractNumId="44">
    <w:nsid w:val="2157F6BC"/>
    <w:multiLevelType w:val="hybridMultilevel"/>
    <w:lvl w:ilvl="0">
      <w:lvlJc w:val="left"/>
      <w:lvlText w:val="•"/>
      <w:numFmt w:val="bullet"/>
      <w:start w:val="1"/>
    </w:lvl>
  </w:abstractNum>
  <w:abstractNum w:abstractNumId="45">
    <w:nsid w:val="704E1DD5"/>
    <w:multiLevelType w:val="hybridMultilevel"/>
    <w:lvl w:ilvl="0">
      <w:lvlJc w:val="left"/>
      <w:lvlText w:val="•"/>
      <w:numFmt w:val="bullet"/>
      <w:start w:val="1"/>
    </w:lvl>
  </w:abstractNum>
  <w:abstractNum w:abstractNumId="46">
    <w:nsid w:val="57D2F10E"/>
    <w:multiLevelType w:val="hybridMultilevel"/>
    <w:lvl w:ilvl="0">
      <w:lvlJc w:val="left"/>
      <w:lvlText w:val="•"/>
      <w:numFmt w:val="bullet"/>
      <w:start w:val="1"/>
    </w:lvl>
  </w:abstractNum>
  <w:abstractNum w:abstractNumId="47">
    <w:nsid w:val="BFFAE18"/>
    <w:multiLevelType w:val="hybridMultilevel"/>
    <w:lvl w:ilvl="0">
      <w:lvlJc w:val="left"/>
      <w:lvlText w:val="•"/>
      <w:numFmt w:val="bullet"/>
      <w:start w:val="1"/>
    </w:lvl>
  </w:abstractNum>
  <w:abstractNum w:abstractNumId="48">
    <w:nsid w:val="E3E47A8"/>
    <w:multiLevelType w:val="hybridMultilevel"/>
    <w:lvl w:ilvl="0">
      <w:lvlJc w:val="left"/>
      <w:lvlText w:val="•"/>
      <w:numFmt w:val="bullet"/>
      <w:start w:val="1"/>
    </w:lvl>
  </w:abstractNum>
  <w:abstractNum w:abstractNumId="49">
    <w:nsid w:val="2E48F044"/>
    <w:multiLevelType w:val="hybridMultilevel"/>
    <w:lvl w:ilvl="0">
      <w:lvlJc w:val="left"/>
      <w:lvlText w:val="•"/>
      <w:numFmt w:val="bullet"/>
      <w:start w:val="1"/>
    </w:lvl>
  </w:abstractNum>
  <w:abstractNum w:abstractNumId="50">
    <w:nsid w:val="49D0FEAC"/>
    <w:multiLevelType w:val="hybridMultilevel"/>
    <w:lvl w:ilvl="0">
      <w:lvlJc w:val="left"/>
      <w:lvlText w:val="•"/>
      <w:numFmt w:val="bullet"/>
      <w:start w:val="1"/>
    </w:lvl>
  </w:abstractNum>
  <w:abstractNum w:abstractNumId="51">
    <w:nsid w:val="4BEE5A5B"/>
    <w:multiLevelType w:val="hybridMultilevel"/>
    <w:lvl w:ilvl="0">
      <w:lvlJc w:val="left"/>
      <w:lvlText w:val="•"/>
      <w:numFmt w:val="bullet"/>
      <w:start w:val="1"/>
    </w:lvl>
  </w:abstractNum>
  <w:abstractNum w:abstractNumId="52">
    <w:nsid w:val="5551B9F3"/>
    <w:multiLevelType w:val="hybridMultilevel"/>
    <w:lvl w:ilvl="0">
      <w:lvlJc w:val="left"/>
      <w:lvlText w:val="•"/>
      <w:numFmt w:val="bullet"/>
      <w:start w:val="1"/>
    </w:lvl>
  </w:abstractNum>
  <w:abstractNum w:abstractNumId="53">
    <w:nsid w:val="24F6AB8E"/>
    <w:multiLevelType w:val="hybridMultilevel"/>
    <w:lvl w:ilvl="0">
      <w:lvlJc w:val="left"/>
      <w:lvlText w:val="•"/>
      <w:numFmt w:val="bullet"/>
      <w:start w:val="1"/>
    </w:lvl>
  </w:abstractNum>
  <w:abstractNum w:abstractNumId="54">
    <w:nsid w:val="634C574C"/>
    <w:multiLevelType w:val="hybridMultilevel"/>
    <w:lvl w:ilvl="0">
      <w:lvlJc w:val="left"/>
      <w:lvlText w:val="•"/>
      <w:numFmt w:val="bullet"/>
      <w:start w:val="1"/>
    </w:lvl>
  </w:abstractNum>
  <w:abstractNum w:abstractNumId="55">
    <w:nsid w:val="24E99DD7"/>
    <w:multiLevelType w:val="hybridMultilevel"/>
    <w:lvl w:ilvl="0">
      <w:lvlJc w:val="left"/>
      <w:lvlText w:val="•"/>
      <w:numFmt w:val="bullet"/>
      <w:start w:val="1"/>
    </w:lvl>
  </w:abstractNum>
  <w:abstractNum w:abstractNumId="56">
    <w:nsid w:val="2A31B62D"/>
    <w:multiLevelType w:val="hybridMultilevel"/>
    <w:lvl w:ilvl="0">
      <w:lvlJc w:val="left"/>
      <w:lvlText w:val="•"/>
      <w:numFmt w:val="bullet"/>
      <w:start w:val="1"/>
    </w:lvl>
  </w:abstractNum>
  <w:abstractNum w:abstractNumId="57">
    <w:nsid w:val="1849C29B"/>
    <w:multiLevelType w:val="hybridMultilevel"/>
    <w:lvl w:ilvl="0">
      <w:lvlJc w:val="left"/>
      <w:lvlText w:val="•"/>
      <w:numFmt w:val="bullet"/>
      <w:start w:val="1"/>
    </w:lvl>
  </w:abstractNum>
  <w:abstractNum w:abstractNumId="58">
    <w:nsid w:val="7DFF9D09"/>
    <w:multiLevelType w:val="hybridMultilevel"/>
    <w:lvl w:ilvl="0">
      <w:lvlJc w:val="left"/>
      <w:lvlText w:val="•"/>
      <w:numFmt w:val="bullet"/>
      <w:start w:val="1"/>
    </w:lvl>
  </w:abstractNum>
  <w:abstractNum w:abstractNumId="59">
    <w:nsid w:val="754342"/>
    <w:multiLevelType w:val="hybridMultilevel"/>
    <w:lvl w:ilvl="0">
      <w:lvlJc w:val="left"/>
      <w:lvlText w:val="•"/>
      <w:numFmt w:val="bullet"/>
      <w:start w:val="1"/>
    </w:lvl>
  </w:abstractNum>
  <w:abstractNum w:abstractNumId="60">
    <w:nsid w:val="69E7F3E5"/>
    <w:multiLevelType w:val="hybridMultilevel"/>
    <w:lvl w:ilvl="0">
      <w:lvlJc w:val="left"/>
      <w:lvlText w:val="•"/>
      <w:numFmt w:val="bullet"/>
      <w:start w:val="1"/>
    </w:lvl>
  </w:abstractNum>
  <w:abstractNum w:abstractNumId="61">
    <w:nsid w:val="2A6DE806"/>
    <w:multiLevelType w:val="hybridMultilevel"/>
    <w:lvl w:ilvl="0">
      <w:lvlJc w:val="left"/>
      <w:lvlText w:val="•"/>
      <w:numFmt w:val="bullet"/>
      <w:start w:val="1"/>
    </w:lvl>
  </w:abstractNum>
  <w:abstractNum w:abstractNumId="62">
    <w:nsid w:val="1816F8C4"/>
    <w:multiLevelType w:val="hybridMultilevel"/>
    <w:lvl w:ilvl="0">
      <w:lvlJc w:val="left"/>
      <w:lvlText w:val="•"/>
      <w:numFmt w:val="bullet"/>
      <w:start w:val="1"/>
    </w:lvl>
  </w:abstractNum>
  <w:abstractNum w:abstractNumId="63">
    <w:nsid w:val="37DF2233"/>
    <w:multiLevelType w:val="hybridMultilevel"/>
    <w:lvl w:ilvl="0">
      <w:lvlJc w:val="left"/>
      <w:lvlText w:val="$"/>
      <w:numFmt w:val="bullet"/>
      <w:start w:val="1"/>
    </w:lvl>
  </w:abstractNum>
  <w:abstractNum w:abstractNumId="64">
    <w:nsid w:val="7AB49DAF"/>
    <w:multiLevelType w:val="hybridMultilevel"/>
    <w:lvl w:ilvl="0">
      <w:lvlJc w:val="left"/>
      <w:lvlText w:val="$"/>
      <w:numFmt w:val="bullet"/>
      <w:start w:val="1"/>
    </w:lvl>
  </w:abstractNum>
  <w:abstractNum w:abstractNumId="65">
    <w:nsid w:val="759F82CD"/>
    <w:multiLevelType w:val="hybridMultilevel"/>
    <w:lvl w:ilvl="0">
      <w:lvlJc w:val="left"/>
      <w:lvlText w:val="(%1)"/>
      <w:numFmt w:val="lowerRoman"/>
      <w:start w:val="1"/>
    </w:lvl>
  </w:abstractNum>
  <w:abstractNum w:abstractNumId="66">
    <w:nsid w:val="61E74EA3"/>
    <w:multiLevelType w:val="hybridMultilevel"/>
    <w:lvl w:ilvl="0">
      <w:lvlJc w:val="left"/>
      <w:lvlText w:val="(%1)"/>
      <w:numFmt w:val="lowerRoman"/>
      <w:start w:val="1"/>
    </w:lvl>
  </w:abstractNum>
  <w:abstractNum w:abstractNumId="67">
    <w:nsid w:val="597B4D84"/>
    <w:multiLevelType w:val="hybridMultilevel"/>
    <w:lvl w:ilvl="0">
      <w:lvlJc w:val="left"/>
      <w:lvlText w:val="%1"/>
      <w:numFmt w:val="decimal"/>
      <w:start w:val="107"/>
    </w:lvl>
  </w:abstractNum>
  <w:abstractNum w:abstractNumId="68">
    <w:nsid w:val="F819E7F"/>
    <w:multiLevelType w:val="hybridMultilevel"/>
    <w:lvl w:ilvl="0">
      <w:lvlJc w:val="left"/>
      <w:lvlText w:val="*"/>
      <w:numFmt w:val="bullet"/>
      <w:start w:val="1"/>
    </w:lvl>
  </w:abstractNum>
  <w:abstractNum w:abstractNumId="69">
    <w:nsid w:val="57C7D42D"/>
    <w:multiLevelType w:val="hybridMultilevel"/>
    <w:lvl w:ilvl="0">
      <w:lvlJc w:val="left"/>
      <w:lvlText w:val="**"/>
      <w:numFmt w:val="bullet"/>
      <w:start w:val="1"/>
    </w:lvl>
  </w:abstractNum>
  <w:abstractNum w:abstractNumId="70">
    <w:nsid w:val="312167A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1">
    <w:nsid w:val="631B64D4"/>
    <w:multiLevelType w:val="hybridMultilevel"/>
    <w:lvl w:ilvl="0">
      <w:lvlJc w:val="left"/>
      <w:lvlText w:val="(%1)"/>
      <w:numFmt w:val="decimal"/>
      <w:start w:val="2"/>
    </w:lvl>
  </w:abstractNum>
  <w:abstractNum w:abstractNumId="72">
    <w:nsid w:val="78B5E776"/>
    <w:multiLevelType w:val="hybridMultilevel"/>
    <w:lvl w:ilvl="0">
      <w:lvlJc w:val="left"/>
      <w:lvlText w:val="(%1)"/>
      <w:numFmt w:val="upperLetter"/>
      <w:start w:val="1"/>
    </w:lvl>
  </w:abstractNum>
  <w:abstractNum w:abstractNumId="73">
    <w:nsid w:val="75486E47"/>
    <w:multiLevelType w:val="hybridMultilevel"/>
    <w:lvl w:ilvl="0">
      <w:lvlJc w:val="left"/>
      <w:lvlText w:val="(%1)"/>
      <w:numFmt w:val="decimal"/>
      <w:start w:val="5"/>
    </w:lvl>
    <w:lvl w:ilvl="1">
      <w:lvlJc w:val="left"/>
      <w:lvlText w:val="(%2)"/>
      <w:numFmt w:val="lowerRoman"/>
      <w:start w:val="1"/>
    </w:lvl>
  </w:abstractNum>
  <w:abstractNum w:abstractNumId="74">
    <w:nsid w:val="6E534CDE"/>
    <w:multiLevelType w:val="hybridMultilevel"/>
    <w:lvl w:ilvl="0">
      <w:lvlJc w:val="left"/>
      <w:lvlText w:val="(%1)"/>
      <w:numFmt w:val="decimal"/>
      <w:start w:val="2"/>
    </w:lvl>
    <w:lvl w:ilvl="1">
      <w:lvlJc w:val="left"/>
      <w:lvlText w:val="%2"/>
      <w:numFmt w:val="lowerRoman"/>
      <w:start w:val="1"/>
    </w:lvl>
  </w:abstractNum>
  <w:abstractNum w:abstractNumId="75">
    <w:nsid w:val="1A0DDE32"/>
    <w:multiLevelType w:val="hybridMultilevel"/>
    <w:lvl w:ilvl="0">
      <w:lvlJc w:val="left"/>
      <w:lvlText w:val="(%1)"/>
      <w:numFmt w:val="decimal"/>
      <w:start w:val="1"/>
    </w:lvl>
  </w:abstractNum>
  <w:abstractNum w:abstractNumId="76">
    <w:nsid w:val="65968C1C"/>
    <w:multiLevelType w:val="hybridMultilevel"/>
    <w:lvl w:ilvl="0">
      <w:lvlJc w:val="left"/>
      <w:lvlText w:val="(%1)"/>
      <w:numFmt w:val="decimal"/>
      <w:start w:val="2"/>
    </w:lvl>
  </w:abstractNum>
  <w:abstractNum w:abstractNumId="77">
    <w:nsid w:val="46263DEC"/>
    <w:multiLevelType w:val="hybridMultilevel"/>
    <w:lvl w:ilvl="0">
      <w:lvlJc w:val="left"/>
      <w:lvlText w:val="(%1)"/>
      <w:numFmt w:val="lowerRoman"/>
      <w:start w:val="1"/>
    </w:lvl>
  </w:abstractNum>
  <w:abstractNum w:abstractNumId="78">
    <w:nsid w:val="260D8C4A"/>
    <w:multiLevelType w:val="hybridMultilevel"/>
    <w:lvl w:ilvl="0">
      <w:lvlJc w:val="left"/>
      <w:lvlText w:val="(%1)"/>
      <w:numFmt w:val="decimal"/>
      <w:start w:val="1"/>
    </w:lvl>
  </w:abstractNum>
  <w:abstractNum w:abstractNumId="79">
    <w:nsid w:val="73D4D3C4"/>
    <w:multiLevelType w:val="hybridMultilevel"/>
    <w:lvl w:ilvl="0">
      <w:lvlJc w:val="left"/>
      <w:lvlText w:val="(%1)"/>
      <w:numFmt w:val="lowerLetter"/>
      <w:start w:val="1"/>
    </w:lvl>
  </w:abstractNum>
  <w:abstractNum w:abstractNumId="80">
    <w:nsid w:val="746F2E30"/>
    <w:multiLevelType w:val="hybridMultilevel"/>
    <w:lvl w:ilvl="0">
      <w:lvlJc w:val="left"/>
      <w:lvlText w:val="(%1)"/>
      <w:numFmt w:val="lowerLetter"/>
      <w:start w:val="2"/>
    </w:lvl>
  </w:abstractNum>
  <w:abstractNum w:abstractNumId="81">
    <w:nsid w:val="6FDE8AF6"/>
    <w:multiLevelType w:val="hybridMultilevel"/>
    <w:lvl w:ilvl="0">
      <w:lvlJc w:val="left"/>
      <w:lvlText w:val="(%1)"/>
      <w:numFmt w:val="decimal"/>
      <w:start w:val="1"/>
    </w:lvl>
  </w:abstractNum>
  <w:abstractNum w:abstractNumId="82">
    <w:nsid w:val="3FC32E20"/>
    <w:multiLevelType w:val="hybridMultilevel"/>
    <w:lvl w:ilvl="0">
      <w:lvlJc w:val="left"/>
      <w:lvlText w:val="(%1)"/>
      <w:numFmt w:val="decimal"/>
      <w:start w:val="3"/>
    </w:lvl>
  </w:abstractNum>
  <w:abstractNum w:abstractNumId="83">
    <w:nsid w:val="49C0E823"/>
    <w:multiLevelType w:val="hybridMultilevel"/>
    <w:lvl w:ilvl="0">
      <w:lvlJc w:val="left"/>
      <w:lvlText w:val="(%1)"/>
      <w:numFmt w:val="decimal"/>
      <w:start w:val="1"/>
    </w:lvl>
  </w:abstractNum>
  <w:abstractNum w:abstractNumId="84">
    <w:nsid w:val="14D53685"/>
    <w:multiLevelType w:val="hybridMultilevel"/>
    <w:lvl w:ilvl="0">
      <w:lvlJc w:val="left"/>
      <w:lvlText w:val="(%1)"/>
      <w:numFmt w:val="decimal"/>
      <w:start w:val="10"/>
    </w:lvl>
  </w:abstractNum>
  <w:abstractNum w:abstractNumId="85">
    <w:nsid w:val="230F856C"/>
    <w:multiLevelType w:val="hybridMultilevel"/>
    <w:lvl w:ilvl="0">
      <w:lvlJc w:val="left"/>
      <w:lvlText w:val="(%1)"/>
      <w:numFmt w:val="decimal"/>
      <w:start w:val="21"/>
    </w:lvl>
  </w:abstractNum>
  <w:abstractNum w:abstractNumId="86">
    <w:nsid w:val="6EAA85FB"/>
    <w:multiLevelType w:val="hybridMultilevel"/>
    <w:lvl w:ilvl="0">
      <w:lvlJc w:val="left"/>
      <w:lvlText w:val="(%1)"/>
      <w:numFmt w:val="lowerLetter"/>
      <w:start w:val="9"/>
    </w:lvl>
    <w:lvl w:ilvl="1">
      <w:lvlJc w:val="left"/>
      <w:lvlText w:val="(%2)"/>
      <w:numFmt w:val="lowerLetter"/>
      <w:start w:val="1"/>
    </w:lvl>
  </w:abstractNum>
  <w:abstractNum w:abstractNumId="87">
    <w:nsid w:val="3F06ECB2"/>
    <w:multiLevelType w:val="hybridMultilevel"/>
    <w:lvl w:ilvl="0">
      <w:lvlJc w:val="left"/>
      <w:lvlText w:val="(%1)"/>
      <w:numFmt w:val="lowerRoman"/>
      <w:start w:val="2"/>
    </w:lvl>
  </w:abstractNum>
  <w:abstractNum w:abstractNumId="88">
    <w:nsid w:val="3B594807"/>
    <w:multiLevelType w:val="hybridMultilevel"/>
    <w:lvl w:ilvl="0">
      <w:lvlJc w:val="left"/>
      <w:lvlText w:val="(%1)"/>
      <w:numFmt w:val="lowerLetter"/>
      <w:start w:val="1"/>
    </w:lvl>
  </w:abstractNum>
  <w:abstractNum w:abstractNumId="89">
    <w:nsid w:val="6CAA2304"/>
    <w:multiLevelType w:val="hybridMultilevel"/>
    <w:lvl w:ilvl="0">
      <w:lvlJc w:val="left"/>
      <w:lvlText w:val="(%1)"/>
      <w:numFmt w:val="lowerLetter"/>
      <w:start w:val="2"/>
    </w:lvl>
  </w:abstractNum>
  <w:abstractNum w:abstractNumId="90">
    <w:nsid w:val="3F7C2FF4"/>
    <w:multiLevelType w:val="hybridMultilevel"/>
    <w:lvl w:ilvl="0">
      <w:lvlJc w:val="left"/>
      <w:lvlText w:val="(%1)"/>
      <w:numFmt w:val="decimal"/>
      <w:start w:val="1"/>
    </w:lvl>
  </w:abstractNum>
  <w:abstractNum w:abstractNumId="91">
    <w:nsid w:val="25413BEC"/>
    <w:multiLevelType w:val="hybridMultilevel"/>
    <w:lvl w:ilvl="0">
      <w:lvlJc w:val="left"/>
      <w:lvlText w:val="(%1)"/>
      <w:numFmt w:val="decimal"/>
      <w:start w:val="2"/>
    </w:lvl>
  </w:abstractNum>
  <w:abstractNum w:abstractNumId="92">
    <w:nsid w:val="17180B0B"/>
    <w:multiLevelType w:val="hybridMultilevel"/>
    <w:lvl w:ilvl="0">
      <w:lvlJc w:val="left"/>
      <w:lvlText w:val="(%1)"/>
      <w:numFmt w:val="decimal"/>
      <w:start w:val="1"/>
    </w:lvl>
    <w:lvl w:ilvl="1">
      <w:lvlJc w:val="left"/>
      <w:lvlText w:val="(%2)"/>
      <w:numFmt w:val="upperLetter"/>
      <w:start w:val="1"/>
    </w:lvl>
  </w:abstractNum>
  <w:abstractNum w:abstractNumId="93">
    <w:nsid w:val="579328B9"/>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2"/>
    </w:lvl>
  </w:abstractNum>
  <w:abstractNum w:abstractNumId="94">
    <w:nsid w:val="5D205E20"/>
    <w:multiLevelType w:val="hybridMultilevel"/>
    <w:lvl w:ilvl="0">
      <w:lvlJc w:val="left"/>
      <w:lvlText w:val="(%1)"/>
      <w:numFmt w:val="decimal"/>
      <w:start w:val="2"/>
    </w:lvl>
  </w:abstractNum>
  <w:abstractNum w:abstractNumId="95">
    <w:nsid w:val="11CCA8BA"/>
    <w:multiLevelType w:val="hybridMultilevel"/>
    <w:lvl w:ilvl="0">
      <w:lvlJc w:val="left"/>
      <w:lvlText w:val="(%1)"/>
      <w:numFmt w:val="decimal"/>
      <w:start w:val="1"/>
    </w:lvl>
  </w:abstractNum>
  <w:abstractNum w:abstractNumId="96">
    <w:nsid w:val="4D32AB86"/>
    <w:multiLevelType w:val="hybridMultilevel"/>
    <w:lvl w:ilvl="0">
      <w:lvlJc w:val="left"/>
      <w:lvlText w:val="(%1)"/>
      <w:numFmt w:val="decimal"/>
      <w:start w:val="4"/>
    </w:lvl>
    <w:lvl w:ilvl="1">
      <w:lvlJc w:val="left"/>
      <w:lvlText w:val="(%2)"/>
      <w:numFmt w:val="upperLetter"/>
      <w:start w:val="1"/>
    </w:lvl>
  </w:abstractNum>
  <w:abstractNum w:abstractNumId="97">
    <w:nsid w:val="3F07ACC3"/>
    <w:multiLevelType w:val="hybridMultilevel"/>
    <w:lvl w:ilvl="0">
      <w:lvlJc w:val="left"/>
      <w:lvlText w:val="(%1)"/>
      <w:numFmt w:val="decimal"/>
      <w:start w:val="1"/>
    </w:lvl>
    <w:lvl w:ilvl="1">
      <w:lvlJc w:val="left"/>
      <w:lvlText w:val="(%2)"/>
      <w:numFmt w:val="upperLetter"/>
      <w:start w:val="1"/>
    </w:lvl>
  </w:abstractNum>
  <w:abstractNum w:abstractNumId="98">
    <w:nsid w:val="6B47F63E"/>
    <w:multiLevelType w:val="hybridMultilevel"/>
    <w:lvl w:ilvl="0">
      <w:lvlJc w:val="left"/>
      <w:lvlText w:val="(%1)"/>
      <w:numFmt w:val="decimal"/>
      <w:start w:val="1"/>
    </w:lvl>
  </w:abstractNum>
  <w:abstractNum w:abstractNumId="99">
    <w:nsid w:val="5CB44A05"/>
    <w:multiLevelType w:val="hybridMultilevel"/>
    <w:lvl w:ilvl="0">
      <w:lvlJc w:val="left"/>
      <w:lvlText w:val="(%1)"/>
      <w:numFmt w:val="lowerRoman"/>
      <w:start w:val="1"/>
    </w:lvl>
  </w:abstractNum>
  <w:abstractNum w:abstractNumId="100">
    <w:nsid w:val="16CF80F1"/>
    <w:multiLevelType w:val="hybridMultilevel"/>
    <w:lvl w:ilvl="0">
      <w:lvlJc w:val="left"/>
      <w:lvlText w:val="(%1)"/>
      <w:numFmt w:val="decimal"/>
      <w:start w:val="1"/>
    </w:lvl>
  </w:abstractNum>
  <w:abstractNum w:abstractNumId="101">
    <w:nsid w:val="1C695DEC"/>
    <w:multiLevelType w:val="hybridMultilevel"/>
    <w:lvl w:ilvl="0">
      <w:lvlJc w:val="left"/>
      <w:lvlText w:val="(%1)"/>
      <w:numFmt w:val="decimal"/>
      <w:start w:val="1"/>
    </w:lvl>
  </w:abstractNum>
  <w:abstractNum w:abstractNumId="102">
    <w:nsid w:val="3FCFAED9"/>
    <w:multiLevelType w:val="hybridMultilevel"/>
    <w:lvl w:ilvl="0">
      <w:lvlJc w:val="left"/>
      <w:lvlText w:val="(%1)"/>
      <w:numFmt w:val="decimal"/>
      <w:start w:val="1"/>
    </w:lvl>
  </w:abstractNum>
  <w:abstractNum w:abstractNumId="103">
    <w:nsid w:val="F856867"/>
    <w:multiLevelType w:val="hybridMultilevel"/>
    <w:lvl w:ilvl="0">
      <w:lvlJc w:val="left"/>
      <w:lvlText w:val="(%1)"/>
      <w:numFmt w:val="decimal"/>
      <w:start w:val="1"/>
    </w:lvl>
  </w:abstractNum>
  <w:abstractNum w:abstractNumId="104">
    <w:nsid w:val="11B1CC33"/>
    <w:multiLevelType w:val="hybridMultilevel"/>
    <w:lvl w:ilvl="0">
      <w:lvlJc w:val="left"/>
      <w:lvlText w:val="(%1)"/>
      <w:numFmt w:val="decimal"/>
      <w:start w:val="9"/>
    </w:lvl>
  </w:abstractNum>
  <w:abstractNum w:abstractNumId="105">
    <w:nsid w:val="2E22FBB7"/>
    <w:multiLevelType w:val="hybridMultilevel"/>
    <w:lvl w:ilvl="0">
      <w:lvlJc w:val="left"/>
      <w:lvlText w:val="(%1)"/>
      <w:numFmt w:val="decimal"/>
      <w:start w:val="1"/>
    </w:lvl>
  </w:abstractNum>
  <w:abstractNum w:abstractNumId="106">
    <w:nsid w:val="29934699"/>
    <w:multiLevelType w:val="hybridMultilevel"/>
    <w:lvl w:ilvl="0">
      <w:lvlJc w:val="left"/>
      <w:lvlText w:val="(%1)"/>
      <w:numFmt w:val="decimal"/>
      <w:start w:val="3"/>
    </w:lvl>
  </w:abstractNum>
  <w:abstractNum w:abstractNumId="107">
    <w:nsid w:val="77485850"/>
    <w:multiLevelType w:val="hybridMultilevel"/>
    <w:lvl w:ilvl="0">
      <w:lvlJc w:val="left"/>
      <w:lvlText w:val="(%1)"/>
      <w:numFmt w:val="lowerLetter"/>
      <w:start w:val="1"/>
    </w:lvl>
    <w:lvl w:ilvl="1">
      <w:lvlJc w:val="left"/>
      <w:lvlText w:val="(%2)"/>
      <w:numFmt w:val="decimal"/>
      <w:start w:val="1"/>
    </w:lvl>
  </w:abstractNum>
  <w:abstractNum w:abstractNumId="108">
    <w:nsid w:val="744939A3"/>
    <w:multiLevelType w:val="hybridMultilevel"/>
    <w:lvl w:ilvl="0">
      <w:lvlJc w:val="left"/>
      <w:lvlText w:val="(%1)"/>
      <w:numFmt w:val="decimal"/>
      <w:start w:val="2"/>
    </w:lvl>
  </w:abstractNum>
  <w:abstractNum w:abstractNumId="109">
    <w:nsid w:val="4FA0D2E3"/>
    <w:multiLevelType w:val="hybridMultilevel"/>
    <w:lvl w:ilvl="0">
      <w:lvlJc w:val="left"/>
      <w:lvlText w:val="(%1)"/>
      <w:numFmt w:val="lowerLetter"/>
      <w:start w:val="5"/>
    </w:lvl>
  </w:abstractNum>
  <w:abstractNum w:abstractNumId="110">
    <w:nsid w:val="6B1D2C14"/>
    <w:multiLevelType w:val="hybridMultilevel"/>
    <w:lvl w:ilvl="0">
      <w:lvlJc w:val="left"/>
      <w:lvlText w:val="(%1)"/>
      <w:numFmt w:val="lowerLetter"/>
      <w:start w:val="1"/>
    </w:lvl>
  </w:abstractNum>
  <w:abstractNum w:abstractNumId="111">
    <w:nsid w:val="68B867D3"/>
    <w:multiLevelType w:val="hybridMultilevel"/>
    <w:lvl w:ilvl="0">
      <w:lvlJc w:val="left"/>
      <w:lvlText w:val="(%1)"/>
      <w:numFmt w:val="lowerLetter"/>
      <w:start w:val="3"/>
    </w:lvl>
  </w:abstractNum>
  <w:abstractNum w:abstractNumId="112">
    <w:nsid w:val="3F7F5DD9"/>
    <w:multiLevelType w:val="hybridMultilevel"/>
    <w:lvl w:ilvl="0">
      <w:lvlJc w:val="left"/>
      <w:lvlText w:val="(%1)"/>
      <w:numFmt w:val="lowerLetter"/>
      <w:start w:val="1"/>
    </w:lvl>
    <w:lvl w:ilvl="1">
      <w:lvlJc w:val="left"/>
      <w:lvlText w:val="(%2)"/>
      <w:numFmt w:val="decimal"/>
      <w:start w:val="1"/>
    </w:lvl>
  </w:abstractNum>
  <w:abstractNum w:abstractNumId="113">
    <w:nsid w:val="2AE05A34"/>
    <w:multiLevelType w:val="hybridMultilevel"/>
    <w:lvl w:ilvl="0">
      <w:lvlJc w:val="left"/>
      <w:lvlText w:val="(%1)"/>
      <w:numFmt w:val="lowerLetter"/>
      <w:start w:val="3"/>
    </w:lvl>
    <w:lvl w:ilvl="1">
      <w:lvlJc w:val="left"/>
      <w:lvlText w:val="(%2)"/>
      <w:numFmt w:val="decimal"/>
      <w:start w:val="1"/>
    </w:lvl>
  </w:abstractNum>
  <w:abstractNum w:abstractNumId="114">
    <w:nsid w:val="32794FF7"/>
    <w:multiLevelType w:val="hybridMultilevel"/>
    <w:lvl w:ilvl="0">
      <w:lvlJc w:val="left"/>
      <w:lvlText w:val="(%1)"/>
      <w:numFmt w:val="decimal"/>
      <w:start w:val="1"/>
    </w:lvl>
  </w:abstractNum>
  <w:abstractNum w:abstractNumId="115">
    <w:nsid w:val="5454945E"/>
    <w:multiLevelType w:val="hybridMultilevel"/>
    <w:lvl w:ilvl="0">
      <w:lvlJc w:val="left"/>
      <w:lvlText w:val="%1"/>
      <w:numFmt w:val="decimal"/>
      <w:start w:val="1"/>
    </w:lvl>
    <w:lvl w:ilvl="1">
      <w:lvlJc w:val="left"/>
      <w:lvlText w:val="(%2)"/>
      <w:numFmt w:val="decimal"/>
      <w:start w:val="2"/>
    </w:lvl>
  </w:abstractNum>
  <w:abstractNum w:abstractNumId="116">
    <w:nsid w:val="4DEFDFA0"/>
    <w:multiLevelType w:val="hybridMultilevel"/>
    <w:lvl w:ilvl="0">
      <w:lvlJc w:val="left"/>
      <w:lvlText w:val="(%1)"/>
      <w:numFmt w:val="decimal"/>
      <w:start w:val="1"/>
    </w:lvl>
    <w:lvl w:ilvl="1">
      <w:lvlJc w:val="left"/>
      <w:lvlText w:val="(%2)"/>
      <w:numFmt w:val="decimal"/>
      <w:start w:val="4"/>
    </w:lvl>
  </w:abstractNum>
  <w:abstractNum w:abstractNumId="117">
    <w:nsid w:val="2123D5F2"/>
    <w:multiLevelType w:val="hybridMultilevel"/>
    <w:lvl w:ilvl="0">
      <w:lvlJc w:val="left"/>
      <w:lvlText w:val="(%1)"/>
      <w:numFmt w:val="lowerLetter"/>
      <w:start w:val="1"/>
    </w:lvl>
  </w:abstractNum>
  <w:abstractNum w:abstractNumId="118">
    <w:nsid w:val="135B8110"/>
    <w:multiLevelType w:val="hybridMultilevel"/>
    <w:lvl w:ilvl="0">
      <w:lvlJc w:val="left"/>
      <w:lvlText w:val="(%1)"/>
      <w:numFmt w:val="decimal"/>
      <w:start w:val="1"/>
    </w:lvl>
  </w:abstractNum>
  <w:abstractNum w:abstractNumId="119">
    <w:nsid w:val="94927A8"/>
    <w:multiLevelType w:val="hybridMultilevel"/>
    <w:lvl w:ilvl="0">
      <w:lvlJc w:val="left"/>
      <w:lvlText w:val="(%1)"/>
      <w:numFmt w:val="decimal"/>
      <w:start w:val="9"/>
    </w:lvl>
  </w:abstractNum>
  <w:abstractNum w:abstractNumId="120">
    <w:nsid w:val="DCDF8F6"/>
    <w:multiLevelType w:val="hybridMultilevel"/>
    <w:lvl w:ilvl="0">
      <w:lvlJc w:val="left"/>
      <w:lvlText w:val="(%1)"/>
      <w:numFmt w:val="decimal"/>
      <w:start w:val="1"/>
    </w:lvl>
  </w:abstractNum>
  <w:abstractNum w:abstractNumId="121">
    <w:nsid w:val="52D7B105"/>
    <w:multiLevelType w:val="hybridMultilevel"/>
    <w:lvl w:ilvl="0">
      <w:lvlJc w:val="left"/>
      <w:lvlText w:val="(%1)"/>
      <w:numFmt w:val="decimal"/>
      <w:start w:val="1"/>
    </w:lvl>
  </w:abstractNum>
  <w:abstractNum w:abstractNumId="122">
    <w:nsid w:val="2E8A6394"/>
    <w:multiLevelType w:val="hybridMultilevel"/>
    <w:lvl w:ilvl="0">
      <w:lvlJc w:val="left"/>
      <w:lvlText w:val="(%1)"/>
      <w:numFmt w:val="decimal"/>
      <w:start w:val="1"/>
    </w:lvl>
  </w:abstractNum>
  <w:abstractNum w:abstractNumId="123">
    <w:nsid w:val="24E60401"/>
    <w:multiLevelType w:val="hybridMultilevel"/>
    <w:lvl w:ilvl="0">
      <w:lvlJc w:val="left"/>
      <w:lvlText w:val="(%1)"/>
      <w:numFmt w:val="lowerLetter"/>
      <w:start w:val="1"/>
    </w:lvl>
  </w:abstractNum>
  <w:abstractNum w:abstractNumId="124">
    <w:nsid w:val="2A6AD9BE"/>
    <w:multiLevelType w:val="hybridMultilevel"/>
    <w:lvl w:ilvl="0">
      <w:lvlJc w:val="left"/>
      <w:lvlText w:val="(%1)"/>
      <w:numFmt w:val="lowerLetter"/>
      <w:start w:val="5"/>
    </w:lvl>
  </w:abstractNum>
  <w:abstractNum w:abstractNumId="125">
    <w:nsid w:val="BAAC1B4"/>
    <w:multiLevelType w:val="hybridMultilevel"/>
    <w:lvl w:ilvl="0">
      <w:lvlJc w:val="left"/>
      <w:lvlText w:val="(%1)"/>
      <w:numFmt w:val="lowerLetter"/>
      <w:start w:val="1"/>
    </w:lvl>
  </w:abstractNum>
  <w:abstractNum w:abstractNumId="126">
    <w:nsid w:val="36B2ACBC"/>
    <w:multiLevelType w:val="hybridMultilevel"/>
    <w:lvl w:ilvl="0">
      <w:lvlJc w:val="left"/>
      <w:lvlText w:val="(%1)"/>
      <w:numFmt w:val="decimal"/>
      <w:start w:val="1"/>
    </w:lvl>
  </w:abstractNum>
  <w:abstractNum w:abstractNumId="127">
    <w:nsid w:val="779D8544"/>
    <w:multiLevelType w:val="hybridMultilevel"/>
    <w:lvl w:ilvl="0">
      <w:lvlJc w:val="left"/>
      <w:lvlText w:val="(%1)"/>
      <w:numFmt w:val="lowerRoman"/>
      <w:start w:val="1"/>
    </w:lvl>
  </w:abstractNum>
  <w:abstractNum w:abstractNumId="128">
    <w:nsid w:val="4AB26E78"/>
    <w:multiLevelType w:val="hybridMultilevel"/>
    <w:lvl w:ilvl="0">
      <w:lvlJc w:val="left"/>
      <w:lvlText w:val="(%1)"/>
      <w:numFmt w:val="lowerLetter"/>
      <w:start w:val="1"/>
    </w:lvl>
  </w:abstractNum>
  <w:abstractNum w:abstractNumId="129">
    <w:nsid w:val="21FAA2FA"/>
    <w:multiLevelType w:val="hybridMultilevel"/>
    <w:lvl w:ilvl="0">
      <w:lvlJc w:val="left"/>
      <w:lvlText w:val="(%1)"/>
      <w:numFmt w:val="lowerLetter"/>
      <w:start w:val="4"/>
    </w:lvl>
  </w:abstractNum>
  <w:abstractNum w:abstractNumId="130">
    <w:nsid w:val="5451CF49"/>
    <w:multiLevelType w:val="hybridMultilevel"/>
    <w:lvl w:ilvl="0">
      <w:lvlJc w:val="left"/>
      <w:lvlText w:val="(%1)"/>
      <w:numFmt w:val="decimal"/>
      <w:start w:val="1"/>
    </w:lvl>
  </w:abstractNum>
  <w:abstractNum w:abstractNumId="131">
    <w:nsid w:val="6181EF69"/>
    <w:multiLevelType w:val="hybridMultilevel"/>
    <w:lvl w:ilvl="0">
      <w:lvlJc w:val="left"/>
      <w:lvlText w:val="(%1)"/>
      <w:numFmt w:val="decimal"/>
      <w:start w:val="2"/>
    </w:lvl>
  </w:abstractNum>
  <w:abstractNum w:abstractNumId="132">
    <w:nsid w:val="3E6400E6"/>
    <w:multiLevelType w:val="hybridMultilevel"/>
    <w:lvl w:ilvl="0">
      <w:lvlJc w:val="left"/>
      <w:lvlText w:val="(%1)"/>
      <w:numFmt w:val="decimal"/>
      <w:start w:val="5"/>
    </w:lvl>
  </w:abstractNum>
  <w:abstractNum w:abstractNumId="133">
    <w:nsid w:val="14217E23"/>
    <w:multiLevelType w:val="hybridMultilevel"/>
    <w:lvl w:ilvl="0">
      <w:lvlJc w:val="left"/>
      <w:lvlText w:val="(%1)"/>
      <w:numFmt w:val="decimal"/>
      <w:start w:val="1"/>
    </w:lvl>
  </w:abstractNum>
  <w:abstractNum w:abstractNumId="134">
    <w:nsid w:val="710757D0"/>
    <w:multiLevelType w:val="hybridMultilevel"/>
    <w:lvl w:ilvl="0">
      <w:lvlJc w:val="left"/>
      <w:lvlText w:val="(%1)"/>
      <w:numFmt w:val="decimal"/>
      <w:start w:val="1"/>
    </w:lvl>
  </w:abstractNum>
  <w:abstractNum w:abstractNumId="135">
    <w:nsid w:val="5015CD1A"/>
    <w:multiLevelType w:val="hybridMultilevel"/>
    <w:lvl w:ilvl="0">
      <w:lvlJc w:val="left"/>
      <w:lvlText w:val="(%1)"/>
      <w:numFmt w:val="decimal"/>
      <w:start w:val="1"/>
    </w:lvl>
  </w:abstractNum>
  <w:abstractNum w:abstractNumId="136">
    <w:nsid w:val="424479DA"/>
    <w:multiLevelType w:val="hybridMultilevel"/>
    <w:lvl w:ilvl="0">
      <w:lvlJc w:val="left"/>
      <w:lvlText w:val="(%1)"/>
      <w:numFmt w:val="lowerLetter"/>
      <w:start w:val="9"/>
    </w:lvl>
    <w:lvl w:ilvl="1">
      <w:lvlJc w:val="left"/>
      <w:lvlText w:val="(%2)"/>
      <w:numFmt w:val="decimal"/>
      <w:start w:val="1"/>
    </w:lvl>
  </w:abstractNum>
  <w:abstractNum w:abstractNumId="137">
    <w:nsid w:val="1A9A9E69"/>
    <w:multiLevelType w:val="hybridMultilevel"/>
    <w:lvl w:ilvl="0">
      <w:lvlJc w:val="left"/>
      <w:lvlText w:val="(%1)"/>
      <w:numFmt w:val="decimal"/>
      <w:start w:val="1"/>
    </w:lvl>
  </w:abstractNum>
  <w:abstractNum w:abstractNumId="138">
    <w:nsid w:val="475E256A"/>
    <w:multiLevelType w:val="hybridMultilevel"/>
    <w:lvl w:ilvl="0">
      <w:lvlJc w:val="left"/>
      <w:lvlText w:val="(%1)"/>
      <w:numFmt w:val="decimal"/>
      <w:start w:val="2"/>
    </w:lvl>
  </w:abstractNum>
  <w:abstractNum w:abstractNumId="139">
    <w:nsid w:val="368DB37E"/>
    <w:multiLevelType w:val="hybridMultilevel"/>
    <w:lvl w:ilvl="0">
      <w:lvlJc w:val="left"/>
      <w:lvlText w:val="(%1)"/>
      <w:numFmt w:val="decimal"/>
      <w:start w:val="1"/>
    </w:lvl>
  </w:abstractNum>
  <w:abstractNum w:abstractNumId="140">
    <w:nsid w:val="6A3B714C"/>
    <w:multiLevelType w:val="hybridMultilevel"/>
    <w:lvl w:ilvl="0">
      <w:lvlJc w:val="left"/>
      <w:lvlText w:val="(%1)"/>
      <w:numFmt w:val="decimal"/>
      <w:start w:val="2"/>
    </w:lvl>
  </w:abstractNum>
  <w:abstractNum w:abstractNumId="141">
    <w:nsid w:val="327B517E"/>
    <w:multiLevelType w:val="hybridMultilevel"/>
    <w:lvl w:ilvl="0">
      <w:lvlJc w:val="left"/>
      <w:lvlText w:val="(%1)"/>
      <w:numFmt w:val="upperLetter"/>
      <w:start w:val="1"/>
    </w:lvl>
  </w:abstractNum>
  <w:abstractNum w:abstractNumId="142">
    <w:nsid w:val="1F461B51"/>
    <w:multiLevelType w:val="hybridMultilevel"/>
    <w:lvl w:ilvl="0">
      <w:lvlJc w:val="left"/>
      <w:lvlText w:val="(%1)"/>
      <w:numFmt w:val="lowerRoman"/>
      <w:start w:val="1"/>
    </w:lvl>
  </w:abstractNum>
  <w:abstractNum w:abstractNumId="143">
    <w:nsid w:val="29BACF25"/>
    <w:multiLevelType w:val="hybridMultilevel"/>
    <w:lvl w:ilvl="0">
      <w:lvlJc w:val="left"/>
      <w:lvlText w:val="(%1)"/>
      <w:numFmt w:val="lowerRoman"/>
      <w:start w:val="2"/>
    </w:lvl>
  </w:abstractNum>
  <w:abstractNum w:abstractNumId="144">
    <w:nsid w:val="5D5BABB3"/>
    <w:multiLevelType w:val="hybridMultilevel"/>
    <w:lvl w:ilvl="0">
      <w:lvlJc w:val="left"/>
      <w:lvlText w:val="(%1)"/>
      <w:numFmt w:val="decimal"/>
      <w:start w:val="1"/>
    </w:lvl>
  </w:abstractNum>
  <w:abstractNum w:abstractNumId="145">
    <w:nsid w:val="51BF6B48"/>
    <w:multiLevelType w:val="hybridMultilevel"/>
    <w:lvl w:ilvl="0">
      <w:lvlJc w:val="left"/>
      <w:lvlText w:val="(%1)"/>
      <w:numFmt w:val="lowerLetter"/>
      <w:start w:val="1"/>
    </w:lvl>
  </w:abstractNum>
  <w:abstractNum w:abstractNumId="146">
    <w:nsid w:val="7E0F6384"/>
    <w:multiLevelType w:val="hybridMultilevel"/>
    <w:lvl w:ilvl="0">
      <w:lvlJc w:val="left"/>
      <w:lvlText w:val="(%1)"/>
      <w:numFmt w:val="lowerLetter"/>
      <w:start w:val="6"/>
    </w:lvl>
  </w:abstractNum>
  <w:abstractNum w:abstractNumId="147">
    <w:nsid w:val="2B4B8B53"/>
    <w:multiLevelType w:val="hybridMultilevel"/>
    <w:lvl w:ilvl="0">
      <w:lvlJc w:val="left"/>
      <w:lvlText w:val="(%1)"/>
      <w:numFmt w:val="decimal"/>
      <w:start w:val="2"/>
    </w:lvl>
  </w:abstractNum>
  <w:abstractNum w:abstractNumId="148">
    <w:nsid w:val="72E3413A"/>
    <w:multiLevelType w:val="hybridMultilevel"/>
    <w:lvl w:ilvl="0">
      <w:lvlJc w:val="left"/>
      <w:lvlText w:val="(%1)"/>
      <w:numFmt w:val="decimal"/>
      <w:start w:val="3"/>
    </w:lvl>
  </w:abstractNum>
  <w:abstractNum w:abstractNumId="149">
    <w:nsid w:val="116AE494"/>
    <w:multiLevelType w:val="hybridMultilevel"/>
    <w:lvl w:ilvl="0">
      <w:lvlJc w:val="left"/>
      <w:lvlText w:val="(%1)"/>
      <w:numFmt w:val="lowerRoman"/>
      <w:start w:val="1"/>
    </w:lvl>
  </w:abstractNum>
  <w:abstractNum w:abstractNumId="150">
    <w:nsid w:val="3494B2FB"/>
    <w:multiLevelType w:val="hybridMultilevel"/>
    <w:lvl w:ilvl="0">
      <w:lvlJc w:val="left"/>
      <w:lvlText w:val="(%1)"/>
      <w:numFmt w:val="decimal"/>
      <w:start w:val="1"/>
    </w:lvl>
  </w:abstractNum>
  <w:abstractNum w:abstractNumId="151">
    <w:nsid w:val="B13A31"/>
    <w:multiLevelType w:val="hybridMultilevel"/>
    <w:lvl w:ilvl="0">
      <w:lvlJc w:val="left"/>
      <w:lvlText w:val="(%1)"/>
      <w:numFmt w:val="decimal"/>
      <w:start w:val="4"/>
    </w:lvl>
  </w:abstractNum>
  <w:abstractNum w:abstractNumId="152">
    <w:nsid w:val="64429599"/>
    <w:multiLevelType w:val="hybridMultilevel"/>
    <w:lvl w:ilvl="0">
      <w:lvlJc w:val="left"/>
      <w:lvlText w:val="(%1)"/>
      <w:numFmt w:val="decimal"/>
      <w:start w:val="17"/>
    </w:lvl>
  </w:abstractNum>
  <w:abstractNum w:abstractNumId="153">
    <w:nsid w:val="631F1690"/>
    <w:multiLevelType w:val="hybridMultilevel"/>
    <w:lvl w:ilvl="0">
      <w:lvlJc w:val="left"/>
      <w:lvlText w:val="(%1)"/>
      <w:numFmt w:val="lowerLetter"/>
      <w:start w:val="9"/>
    </w:lvl>
    <w:lvl w:ilvl="1">
      <w:lvlJc w:val="left"/>
      <w:lvlText w:val="(%2)"/>
      <w:numFmt w:val="lowerLetter"/>
      <w:start w:val="1"/>
    </w:lvl>
  </w:abstractNum>
  <w:abstractNum w:abstractNumId="154">
    <w:nsid w:val="25973E32"/>
    <w:multiLevelType w:val="hybridMultilevel"/>
    <w:lvl w:ilvl="0">
      <w:lvlJc w:val="left"/>
      <w:lvlText w:val="(%1)"/>
      <w:numFmt w:val="lowerLetter"/>
      <w:start w:val="2"/>
    </w:lvl>
  </w:abstractNum>
  <w:abstractNum w:abstractNumId="155">
    <w:nsid w:val="EAD6F57"/>
    <w:multiLevelType w:val="hybridMultilevel"/>
    <w:lvl w:ilvl="0">
      <w:lvlJc w:val="left"/>
      <w:lvlText w:val="(%1)"/>
      <w:numFmt w:val="lowerRoman"/>
      <w:start w:val="2"/>
    </w:lvl>
  </w:abstractNum>
  <w:abstractNum w:abstractNumId="156">
    <w:nsid w:val="6EC9D844"/>
    <w:multiLevelType w:val="hybridMultilevel"/>
    <w:lvl w:ilvl="0">
      <w:lvlJc w:val="left"/>
      <w:lvlText w:val="(%1)"/>
      <w:numFmt w:val="lowerLetter"/>
      <w:start w:val="1"/>
    </w:lvl>
  </w:abstractNum>
  <w:abstractNum w:abstractNumId="157">
    <w:nsid w:val="5C49EAEE"/>
    <w:multiLevelType w:val="hybridMultilevel"/>
    <w:lvl w:ilvl="0">
      <w:lvlJc w:val="left"/>
      <w:lvlText w:val="(%1)"/>
      <w:numFmt w:val="lowerLetter"/>
      <w:start w:val="2"/>
    </w:lvl>
  </w:abstractNum>
  <w:abstractNum w:abstractNumId="158">
    <w:nsid w:val="64AF49B"/>
    <w:multiLevelType w:val="hybridMultilevel"/>
    <w:lvl w:ilvl="0">
      <w:lvlJc w:val="left"/>
      <w:lvlText w:val="(%1)"/>
      <w:numFmt w:val="decimal"/>
      <w:start w:val="1"/>
    </w:lvl>
  </w:abstractNum>
  <w:abstractNum w:abstractNumId="159">
    <w:nsid w:val="397C46BC"/>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60">
    <w:nsid w:val="7E448DE9"/>
    <w:multiLevelType w:val="hybridMultilevel"/>
    <w:lvl w:ilvl="0">
      <w:lvlJc w:val="left"/>
      <w:lvlText w:val="(%1)"/>
      <w:numFmt w:val="decimal"/>
      <w:start w:val="2"/>
    </w:lvl>
  </w:abstractNum>
  <w:abstractNum w:abstractNumId="161">
    <w:nsid w:val="5A9CC3E5"/>
    <w:multiLevelType w:val="hybridMultilevel"/>
    <w:lvl w:ilvl="0">
      <w:lvlJc w:val="left"/>
      <w:lvlText w:val="(%1)"/>
      <w:numFmt w:val="decimal"/>
      <w:start w:val="1"/>
    </w:lvl>
    <w:lvl w:ilvl="1">
      <w:lvlJc w:val="left"/>
      <w:lvlText w:val="(%2)"/>
      <w:numFmt w:val="upperLetter"/>
      <w:start w:val="1"/>
    </w:lvl>
  </w:abstractNum>
  <w:abstractNum w:abstractNumId="162">
    <w:nsid w:val="1AFE3625"/>
    <w:multiLevelType w:val="hybridMultilevel"/>
    <w:lvl w:ilvl="0">
      <w:lvlJc w:val="left"/>
      <w:lvlText w:val="%1"/>
      <w:numFmt w:val="decimal"/>
      <w:start w:val="1"/>
    </w:lvl>
    <w:lvl w:ilvl="1">
      <w:lvlJc w:val="left"/>
      <w:lvlText w:val="(%2)"/>
      <w:numFmt w:val="upperLetter"/>
      <w:start w:val="2"/>
    </w:lvl>
  </w:abstractNum>
  <w:abstractNum w:abstractNumId="163">
    <w:nsid w:val="3CA88ECF"/>
    <w:multiLevelType w:val="hybridMultilevel"/>
    <w:lvl w:ilvl="0">
      <w:lvlJc w:val="left"/>
      <w:lvlText w:val="(%1)"/>
      <w:numFmt w:val="decimal"/>
      <w:start w:val="7"/>
    </w:lvl>
    <w:lvl w:ilvl="1">
      <w:lvlJc w:val="left"/>
      <w:lvlText w:val="(%2)"/>
      <w:numFmt w:val="upperLetter"/>
      <w:start w:val="1"/>
    </w:lvl>
  </w:abstractNum>
  <w:abstractNum w:abstractNumId="164">
    <w:nsid w:val="6EBE4208"/>
    <w:multiLevelType w:val="hybridMultilevel"/>
    <w:lvl w:ilvl="0">
      <w:lvlJc w:val="left"/>
      <w:lvlText w:val="(%1)"/>
      <w:numFmt w:val="decimal"/>
      <w:start w:val="1"/>
    </w:lvl>
    <w:lvl w:ilvl="1">
      <w:lvlJc w:val="left"/>
      <w:lvlText w:val="(%2)"/>
      <w:numFmt w:val="upperLetter"/>
      <w:start w:val="1"/>
    </w:lvl>
  </w:abstractNum>
  <w:abstractNum w:abstractNumId="165">
    <w:nsid w:val="C058DF5"/>
    <w:multiLevelType w:val="hybridMultilevel"/>
    <w:lvl w:ilvl="0">
      <w:lvlJc w:val="left"/>
      <w:lvlText w:val="(%1)"/>
      <w:numFmt w:val="decimal"/>
      <w:start w:val="1"/>
    </w:lvl>
  </w:abstractNum>
  <w:abstractNum w:abstractNumId="166">
    <w:nsid w:val="CBE5BE9"/>
    <w:multiLevelType w:val="hybridMultilevel"/>
    <w:lvl w:ilvl="0">
      <w:lvlJc w:val="left"/>
      <w:lvlText w:val="(%1)"/>
      <w:numFmt w:val="lowerRoman"/>
      <w:start w:val="1"/>
    </w:lvl>
  </w:abstractNum>
  <w:abstractNum w:abstractNumId="167">
    <w:nsid w:val="3102BBE2"/>
    <w:multiLevelType w:val="hybridMultilevel"/>
    <w:lvl w:ilvl="0">
      <w:lvlJc w:val="left"/>
      <w:lvlText w:val="(%1)"/>
      <w:numFmt w:val="decimal"/>
      <w:start w:val="1"/>
    </w:lvl>
  </w:abstractNum>
  <w:abstractNum w:abstractNumId="168">
    <w:nsid w:val="26A02C5E"/>
    <w:multiLevelType w:val="hybridMultilevel"/>
    <w:lvl w:ilvl="0">
      <w:lvlJc w:val="left"/>
      <w:lvlText w:val="(%1)"/>
      <w:numFmt w:val="decimal"/>
      <w:start w:val="1"/>
    </w:lvl>
  </w:abstractNum>
  <w:abstractNum w:abstractNumId="169">
    <w:nsid w:val="541C8153"/>
    <w:multiLevelType w:val="hybridMultilevel"/>
    <w:lvl w:ilvl="0">
      <w:lvlJc w:val="left"/>
      <w:lvlText w:val="(%1)"/>
      <w:numFmt w:val="decimal"/>
      <w:start w:val="1"/>
    </w:lvl>
  </w:abstractNum>
  <w:abstractNum w:abstractNumId="170">
    <w:nsid w:val="67906F60"/>
    <w:multiLevelType w:val="hybridMultilevel"/>
    <w:lvl w:ilvl="0">
      <w:lvlJc w:val="left"/>
      <w:lvlText w:val="(%1)"/>
      <w:numFmt w:val="decimal"/>
      <w:start w:val="1"/>
    </w:lvl>
  </w:abstractNum>
  <w:abstractNum w:abstractNumId="171">
    <w:nsid w:val="10DB9DAA"/>
    <w:multiLevelType w:val="hybridMultilevel"/>
    <w:lvl w:ilvl="0">
      <w:lvlJc w:val="left"/>
      <w:lvlText w:val="(%1)"/>
      <w:numFmt w:val="decimal"/>
      <w:start w:val="4"/>
    </w:lvl>
  </w:abstractNum>
  <w:abstractNum w:abstractNumId="172">
    <w:nsid w:val="697D2D2"/>
    <w:multiLevelType w:val="hybridMultilevel"/>
    <w:lvl w:ilvl="0">
      <w:lvlJc w:val="left"/>
      <w:lvlText w:val="(%1)"/>
      <w:numFmt w:val="decimal"/>
      <w:start w:val="1"/>
    </w:lvl>
  </w:abstractNum>
  <w:abstractNum w:abstractNumId="173">
    <w:nsid w:val="6D68AB2"/>
    <w:multiLevelType w:val="hybridMultilevel"/>
    <w:lvl w:ilvl="0">
      <w:lvlJc w:val="left"/>
      <w:lvlText w:val="(%1)"/>
      <w:numFmt w:val="lowerLetter"/>
      <w:start w:val="1"/>
    </w:lvl>
    <w:lvl w:ilvl="1">
      <w:lvlJc w:val="left"/>
      <w:lvlText w:val="(%2)"/>
      <w:numFmt w:val="decimal"/>
      <w:start w:val="1"/>
    </w:lvl>
  </w:abstractNum>
  <w:abstractNum w:abstractNumId="174">
    <w:nsid w:val="3A966CD0"/>
    <w:multiLevelType w:val="hybridMultilevel"/>
    <w:lvl w:ilvl="0">
      <w:lvlJc w:val="left"/>
      <w:lvlText w:val="(%1)"/>
      <w:numFmt w:val="lowerLetter"/>
      <w:start w:val="5"/>
    </w:lvl>
  </w:abstractNum>
  <w:abstractNum w:abstractNumId="175">
    <w:nsid w:val="63F37E85"/>
    <w:multiLevelType w:val="hybridMultilevel"/>
    <w:lvl w:ilvl="0">
      <w:lvlJc w:val="left"/>
      <w:lvlText w:val="(%1)"/>
      <w:numFmt w:val="lowerLetter"/>
      <w:start w:val="6"/>
    </w:lvl>
  </w:abstractNum>
  <w:abstractNum w:abstractNumId="176">
    <w:nsid w:val="5895F5FA"/>
    <w:multiLevelType w:val="hybridMultilevel"/>
    <w:lvl w:ilvl="0">
      <w:lvlJc w:val="left"/>
      <w:lvlText w:val="(%1)"/>
      <w:numFmt w:val="lowerLetter"/>
      <w:start w:val="1"/>
    </w:lvl>
  </w:abstractNum>
  <w:abstractNum w:abstractNumId="177">
    <w:nsid w:val="38A5D054"/>
    <w:multiLevelType w:val="hybridMultilevel"/>
    <w:lvl w:ilvl="0">
      <w:lvlJc w:val="left"/>
      <w:lvlText w:val="(%1)"/>
      <w:numFmt w:val="lowerLetter"/>
      <w:start w:val="1"/>
    </w:lvl>
    <w:lvl w:ilvl="1">
      <w:lvlJc w:val="left"/>
      <w:lvlText w:val="(%2)"/>
      <w:numFmt w:val="decimal"/>
      <w:start w:val="1"/>
    </w:lvl>
  </w:abstractNum>
  <w:abstractNum w:abstractNumId="178">
    <w:nsid w:val="F3F09D8"/>
    <w:multiLevelType w:val="hybridMultilevel"/>
    <w:lvl w:ilvl="0">
      <w:lvlJc w:val="left"/>
      <w:lvlText w:val="(%1)"/>
      <w:numFmt w:val="lowerLetter"/>
      <w:start w:val="4"/>
    </w:lvl>
  </w:abstractNum>
  <w:abstractNum w:abstractNumId="179">
    <w:nsid w:val="4B793735"/>
    <w:multiLevelType w:val="hybridMultilevel"/>
    <w:lvl w:ilvl="0">
      <w:lvlJc w:val="left"/>
      <w:lvlText w:val="%1"/>
      <w:numFmt w:val="decimal"/>
      <w:start w:val="1"/>
    </w:lvl>
    <w:lvl w:ilvl="1">
      <w:lvlJc w:val="left"/>
      <w:lvlText w:val="(%2)"/>
      <w:numFmt w:val="decimal"/>
      <w:start w:val="1"/>
    </w:lvl>
  </w:abstractNum>
  <w:abstractNum w:abstractNumId="180">
    <w:nsid w:val="4A10B4E8"/>
    <w:multiLevelType w:val="hybridMultilevel"/>
    <w:lvl w:ilvl="0">
      <w:lvlJc w:val="left"/>
      <w:lvlText w:val="(%1)"/>
      <w:numFmt w:val="decimal"/>
      <w:start w:val="1"/>
    </w:lvl>
    <w:lvl w:ilvl="1">
      <w:lvlJc w:val="left"/>
      <w:lvlText w:val="(%2)"/>
      <w:numFmt w:val="decimal"/>
      <w:start w:val="4"/>
    </w:lvl>
  </w:abstractNum>
  <w:abstractNum w:abstractNumId="181">
    <w:nsid w:val="43D3BCD4"/>
    <w:multiLevelType w:val="hybridMultilevel"/>
    <w:lvl w:ilvl="0">
      <w:lvlJc w:val="left"/>
      <w:lvlText w:val="(%1)"/>
      <w:numFmt w:val="lowerLetter"/>
      <w:start w:val="1"/>
    </w:lvl>
  </w:abstractNum>
  <w:abstractNum w:abstractNumId="182">
    <w:nsid w:val="4C2A7166"/>
    <w:multiLevelType w:val="hybridMultilevel"/>
    <w:lvl w:ilvl="0">
      <w:lvlJc w:val="left"/>
      <w:lvlText w:val="(%1)"/>
      <w:numFmt w:val="decimal"/>
      <w:start w:val="1"/>
    </w:lvl>
  </w:abstractNum>
  <w:abstractNum w:abstractNumId="183">
    <w:nsid w:val="2E534A82"/>
    <w:multiLevelType w:val="hybridMultilevel"/>
    <w:lvl w:ilvl="0">
      <w:lvlJc w:val="left"/>
      <w:lvlText w:val="(%1)"/>
      <w:numFmt w:val="decimal"/>
      <w:start w:val="12"/>
    </w:lvl>
  </w:abstractNum>
  <w:abstractNum w:abstractNumId="184">
    <w:nsid w:val="26F2D364"/>
    <w:multiLevelType w:val="hybridMultilevel"/>
    <w:lvl w:ilvl="0">
      <w:lvlJc w:val="left"/>
      <w:lvlText w:val="(%1)"/>
      <w:numFmt w:val="decimal"/>
      <w:start w:val="1"/>
    </w:lvl>
  </w:abstractNum>
  <w:abstractNum w:abstractNumId="185">
    <w:nsid w:val="71C1AF98"/>
    <w:multiLevelType w:val="hybridMultilevel"/>
    <w:lvl w:ilvl="0">
      <w:lvlJc w:val="left"/>
      <w:lvlText w:val="(%1)"/>
      <w:numFmt w:val="decimal"/>
      <w:start w:val="2"/>
    </w:lvl>
  </w:abstractNum>
  <w:abstractNum w:abstractNumId="186">
    <w:nsid w:val="3D00B9D9"/>
    <w:multiLevelType w:val="hybridMultilevel"/>
    <w:lvl w:ilvl="0">
      <w:lvlJc w:val="left"/>
      <w:lvlText w:val="(%1)"/>
      <w:numFmt w:val="lowerRoman"/>
      <w:start w:val="1"/>
    </w:lvl>
  </w:abstractNum>
  <w:abstractNum w:abstractNumId="187">
    <w:nsid w:val="15BCABA8"/>
    <w:multiLevelType w:val="hybridMultilevel"/>
    <w:lvl w:ilvl="0">
      <w:lvlJc w:val="left"/>
      <w:lvlText w:val="(%1)"/>
      <w:numFmt w:val="decimal"/>
      <w:start w:val="1"/>
    </w:lvl>
  </w:abstractNum>
  <w:abstractNum w:abstractNumId="188">
    <w:nsid w:val="4E0B9A87"/>
    <w:multiLevelType w:val="hybridMultilevel"/>
    <w:lvl w:ilvl="0">
      <w:lvlJc w:val="left"/>
      <w:lvlText w:val="(%1)"/>
      <w:numFmt w:val="decimal"/>
      <w:start w:val="1"/>
    </w:lvl>
  </w:abstractNum>
  <w:abstractNum w:abstractNumId="189">
    <w:nsid w:val="434BAE75"/>
    <w:multiLevelType w:val="hybridMultilevel"/>
    <w:lvl w:ilvl="0">
      <w:lvlJc w:val="left"/>
      <w:lvlText w:val="(%1)"/>
      <w:numFmt w:val="lowerLetter"/>
      <w:start w:val="1"/>
    </w:lvl>
  </w:abstractNum>
  <w:abstractNum w:abstractNumId="190">
    <w:nsid w:val="4F38F265"/>
    <w:multiLevelType w:val="hybridMultilevel"/>
    <w:lvl w:ilvl="0">
      <w:lvlJc w:val="left"/>
      <w:lvlText w:val="(%1)"/>
      <w:numFmt w:val="lowerLetter"/>
      <w:start w:val="6"/>
    </w:lvl>
  </w:abstractNum>
  <w:abstractNum w:abstractNumId="191">
    <w:nsid w:val="4C502870"/>
    <w:multiLevelType w:val="hybridMultilevel"/>
    <w:lvl w:ilvl="0">
      <w:lvlJc w:val="left"/>
      <w:lvlText w:val="(%1)"/>
      <w:numFmt w:val="lowerLetter"/>
      <w:start w:val="1"/>
    </w:lvl>
  </w:abstractNum>
  <w:abstractNum w:abstractNumId="192">
    <w:nsid w:val="1DE8725A"/>
    <w:multiLevelType w:val="hybridMultilevel"/>
    <w:lvl w:ilvl="0">
      <w:lvlJc w:val="left"/>
      <w:lvlText w:val="(%1)"/>
      <w:numFmt w:val="lowerRoman"/>
      <w:start w:val="1"/>
    </w:lvl>
  </w:abstractNum>
  <w:abstractNum w:abstractNumId="193">
    <w:nsid w:val="6A37288A"/>
    <w:multiLevelType w:val="hybridMultilevel"/>
    <w:lvl w:ilvl="0">
      <w:lvlJc w:val="left"/>
      <w:lvlText w:val="(%1)"/>
      <w:numFmt w:val="lowerLetter"/>
      <w:start w:val="1"/>
    </w:lvl>
  </w:abstractNum>
  <w:abstractNum w:abstractNumId="194">
    <w:nsid w:val="8F8B73F"/>
    <w:multiLevelType w:val="hybridMultilevel"/>
    <w:lvl w:ilvl="0">
      <w:lvlJc w:val="left"/>
      <w:lvlText w:val="(%1)"/>
      <w:numFmt w:val="decimal"/>
      <w:start w:val="1"/>
    </w:lvl>
  </w:abstractNum>
  <w:abstractNum w:abstractNumId="195">
    <w:nsid w:val="CA6B462"/>
    <w:multiLevelType w:val="hybridMultilevel"/>
    <w:lvl w:ilvl="0">
      <w:lvlJc w:val="left"/>
      <w:lvlText w:val="(%1)"/>
      <w:numFmt w:val="decimal"/>
      <w:start w:val="1"/>
    </w:lvl>
  </w:abstractNum>
  <w:abstractNum w:abstractNumId="196">
    <w:nsid w:val="763CB680"/>
    <w:multiLevelType w:val="hybridMultilevel"/>
    <w:lvl w:ilvl="0">
      <w:lvlJc w:val="left"/>
      <w:lvlText w:val="(%1)"/>
      <w:numFmt w:val="decimal"/>
      <w:start w:val="2"/>
    </w:lvl>
  </w:abstractNum>
  <w:abstractNum w:abstractNumId="197">
    <w:nsid w:val="15B71329"/>
    <w:multiLevelType w:val="hybridMultilevel"/>
    <w:lvl w:ilvl="0">
      <w:lvlJc w:val="left"/>
      <w:lvlText w:val="%1"/>
      <w:numFmt w:val="lowerRoman"/>
      <w:start w:val="1"/>
    </w:lvl>
    <w:lvl w:ilvl="1">
      <w:lvlJc w:val="left"/>
      <w:lvlText w:val="(%2)"/>
      <w:numFmt w:val="decimal"/>
      <w:start w:val="5"/>
    </w:lvl>
  </w:abstractNum>
  <w:abstractNum w:abstractNumId="198">
    <w:nsid w:val="3DA97044"/>
    <w:multiLevelType w:val="hybridMultilevel"/>
    <w:lvl w:ilvl="0">
      <w:lvlJc w:val="left"/>
      <w:lvlText w:val="(%1)"/>
      <w:numFmt w:val="lowerRoman"/>
      <w:start w:val="3"/>
    </w:lvl>
    <w:lvl w:ilvl="1">
      <w:lvlJc w:val="left"/>
      <w:lvlText w:val="(%2)"/>
      <w:numFmt w:val="decimal"/>
      <w:start w:val="7"/>
    </w:lvl>
  </w:abstractNum>
  <w:abstractNum w:abstractNumId="199">
    <w:nsid w:val="1CDCE2DE"/>
    <w:multiLevelType w:val="hybridMultilevel"/>
    <w:lvl w:ilvl="0">
      <w:lvlJc w:val="left"/>
      <w:lvlText w:val="(%1)"/>
      <w:numFmt w:val="decimal"/>
      <w:start w:val="1"/>
    </w:lvl>
  </w:abstractNum>
  <w:abstractNum w:abstractNumId="200">
    <w:nsid w:val="69D3947C"/>
    <w:multiLevelType w:val="hybridMultilevel"/>
    <w:lvl w:ilvl="0">
      <w:lvlJc w:val="left"/>
      <w:lvlText w:val="(%1)"/>
      <w:numFmt w:val="decimal"/>
      <w:start w:val="1"/>
    </w:lvl>
  </w:abstractNum>
  <w:abstractNum w:abstractNumId="201">
    <w:nsid w:val="2539DFA5"/>
    <w:multiLevelType w:val="hybridMultilevel"/>
    <w:lvl w:ilvl="0">
      <w:lvlJc w:val="left"/>
      <w:lvlText w:val="(%1)"/>
      <w:numFmt w:val="lowerLetter"/>
      <w:start w:val="9"/>
    </w:lvl>
    <w:lvl w:ilvl="1">
      <w:lvlJc w:val="left"/>
      <w:lvlText w:val="(%2)"/>
      <w:numFmt w:val="decimal"/>
      <w:start w:val="1"/>
    </w:lvl>
  </w:abstractNum>
  <w:abstractNum w:abstractNumId="202">
    <w:nsid w:val="2DB88089"/>
    <w:multiLevelType w:val="hybridMultilevel"/>
    <w:lvl w:ilvl="0">
      <w:lvlJc w:val="left"/>
      <w:lvlText w:val="(%1)"/>
      <w:numFmt w:val="decimal"/>
      <w:start w:val="1"/>
    </w:lvl>
  </w:abstractNum>
  <w:abstractNum w:abstractNumId="203">
    <w:nsid w:val="706B674E"/>
    <w:multiLevelType w:val="hybridMultilevel"/>
    <w:lvl w:ilvl="0">
      <w:lvlJc w:val="left"/>
      <w:lvlText w:val="\emdash "/>
      <w:numFmt w:val="bullet"/>
      <w:start w:val="1"/>
    </w:lvl>
  </w:abstractNum>
  <w:abstractNum w:abstractNumId="204">
    <w:nsid w:val="2C106A57"/>
    <w:multiLevelType w:val="hybridMultilevel"/>
    <w:lvl w:ilvl="0">
      <w:lvlJc w:val="left"/>
      <w:lvlText w:val="%1."/>
      <w:numFmt w:val="decimal"/>
      <w:start w:val="1"/>
    </w:lvl>
  </w:abstractNum>
  <w:abstractNum w:abstractNumId="205">
    <w:nsid w:val="684EED59"/>
    <w:multiLevelType w:val="hybridMultilevel"/>
    <w:lvl w:ilvl="0">
      <w:lvlJc w:val="left"/>
      <w:lvlText w:val="(%1)"/>
      <w:numFmt w:val="lowerLetter"/>
      <w:start w:val="1"/>
    </w:lvl>
  </w:abstractNum>
  <w:abstractNum w:abstractNumId="206">
    <w:nsid w:val="545EE5D3"/>
    <w:multiLevelType w:val="hybridMultilevel"/>
    <w:lvl w:ilvl="0">
      <w:lvlJc w:val="left"/>
      <w:lvlText w:val="(%1)"/>
      <w:numFmt w:val="lowerLetter"/>
      <w:start w:val="1"/>
    </w:lvl>
  </w:abstractNum>
  <w:abstractNum w:abstractNumId="207">
    <w:nsid w:val="4A66051"/>
    <w:multiLevelType w:val="hybridMultilevel"/>
    <w:lvl w:ilvl="0">
      <w:lvlJc w:val="left"/>
      <w:lvlText w:val="(%1)"/>
      <w:numFmt w:val="lowerLetter"/>
      <w:start w:val="2"/>
    </w:lvl>
    <w:lvl w:ilvl="1">
      <w:lvlJc w:val="left"/>
      <w:lvlText w:val="%2."/>
      <w:numFmt w:val="lowerLetter"/>
      <w:start w:val="1"/>
    </w:lvl>
  </w:abstractNum>
  <w:abstractNum w:abstractNumId="208">
    <w:nsid w:val="20F4BDAD"/>
    <w:multiLevelType w:val="hybridMultilevel"/>
    <w:lvl w:ilvl="0">
      <w:lvlJc w:val="left"/>
      <w:lvlText w:val="(%1)"/>
      <w:numFmt w:val="lowerLetter"/>
      <w:start w:val="1"/>
    </w:lvl>
  </w:abstractNum>
  <w:abstractNum w:abstractNumId="209">
    <w:nsid w:val="639DEFAC"/>
    <w:multiLevelType w:val="hybridMultilevel"/>
    <w:lvl w:ilvl="0">
      <w:lvlJc w:val="left"/>
      <w:lvlText w:val="%1."/>
      <w:numFmt w:val="decimal"/>
      <w:start w:val="2"/>
    </w:lvl>
  </w:abstractNum>
  <w:abstractNum w:abstractNumId="210">
    <w:nsid w:val="501F9786"/>
    <w:multiLevelType w:val="hybridMultilevel"/>
    <w:lvl w:ilvl="0">
      <w:lvlJc w:val="left"/>
      <w:lvlText w:val="%1"/>
      <w:numFmt w:val="decimal"/>
      <w:start w:val="1"/>
    </w:lvl>
    <w:lvl w:ilvl="1">
      <w:lvlJc w:val="left"/>
      <w:lvlText w:val="(%2)"/>
      <w:numFmt w:val="lowerLetter"/>
      <w:start w:val="1"/>
    </w:lvl>
  </w:abstractNum>
  <w:abstractNum w:abstractNumId="211">
    <w:nsid w:val="6B057295"/>
    <w:multiLevelType w:val="hybridMultilevel"/>
    <w:lvl w:ilvl="0">
      <w:lvlJc w:val="left"/>
      <w:lvlText w:val="%1."/>
      <w:numFmt w:val="decimal"/>
      <w:start w:val="3"/>
    </w:lvl>
    <w:lvl w:ilvl="1">
      <w:lvlJc w:val="left"/>
      <w:lvlText w:val="%2"/>
      <w:numFmt w:val="lowerLetter"/>
      <w:start w:val="1"/>
    </w:lvl>
  </w:abstractNum>
  <w:abstractNum w:abstractNumId="212">
    <w:nsid w:val="2771AC80"/>
    <w:multiLevelType w:val="hybridMultilevel"/>
    <w:lvl w:ilvl="0">
      <w:lvlJc w:val="left"/>
      <w:lvlText w:val="%1."/>
      <w:numFmt w:val="decimal"/>
      <w:start w:val="4"/>
    </w:lvl>
  </w:abstractNum>
  <w:abstractNum w:abstractNumId="213">
    <w:nsid w:val="1C4A08EC"/>
    <w:multiLevelType w:val="hybridMultilevel"/>
    <w:lvl w:ilvl="0">
      <w:lvlJc w:val="left"/>
      <w:lvlText w:val="(%1)"/>
      <w:numFmt w:val="lowerLetter"/>
      <w:start w:val="1"/>
    </w:lvl>
  </w:abstractNum>
  <w:abstractNum w:abstractNumId="214">
    <w:nsid w:val="1958BD17"/>
    <w:multiLevelType w:val="hybridMultilevel"/>
    <w:lvl w:ilvl="0">
      <w:lvlJc w:val="left"/>
      <w:lvlText w:val="(%1)"/>
      <w:numFmt w:val="lowerLetter"/>
      <w:start w:val="13"/>
    </w:lvl>
  </w:abstractNum>
  <w:abstractNum w:abstractNumId="215">
    <w:nsid w:val="4E647FE4"/>
    <w:multiLevelType w:val="hybridMultilevel"/>
    <w:lvl w:ilvl="0">
      <w:lvlJc w:val="left"/>
      <w:lvlText w:val="(%1)"/>
      <w:numFmt w:val="lowerLetter"/>
      <w:start w:val="24"/>
    </w:lvl>
  </w:abstractNum>
  <w:abstractNum w:abstractNumId="216">
    <w:nsid w:val="E0BB885"/>
    <w:multiLevelType w:val="hybridMultilevel"/>
    <w:lvl w:ilvl="0">
      <w:lvlJc w:val="left"/>
      <w:lvlText w:val="(%1)"/>
      <w:numFmt w:val="lowerLetter"/>
      <w:start w:val="27"/>
    </w:lvl>
  </w:abstractNum>
  <w:abstractNum w:abstractNumId="217">
    <w:nsid w:val="565976F1"/>
    <w:multiLevelType w:val="hybridMultilevel"/>
    <w:lvl w:ilvl="0">
      <w:lvlJc w:val="left"/>
      <w:lvlText w:val="(%1)"/>
      <w:numFmt w:val="lowerLetter"/>
      <w:start w:val="1"/>
    </w:lvl>
  </w:abstractNum>
  <w:abstractNum w:abstractNumId="218">
    <w:nsid w:val="64212B8C"/>
    <w:multiLevelType w:val="hybridMultilevel"/>
    <w:lvl w:ilvl="0">
      <w:lvlJc w:val="left"/>
      <w:lvlText w:val="•"/>
      <w:numFmt w:val="bullet"/>
      <w:start w:val="1"/>
    </w:lvl>
  </w:abstractNum>
  <w:abstractNum w:abstractNumId="219">
    <w:nsid w:val="5C17530C"/>
    <w:multiLevelType w:val="hybridMultilevel"/>
    <w:lvl w:ilvl="0">
      <w:lvlJc w:val="left"/>
      <w:lvlText w:val="•"/>
      <w:numFmt w:val="bullet"/>
      <w:start w:val="1"/>
    </w:lvl>
  </w:abstractNum>
  <w:abstractNum w:abstractNumId="220">
    <w:nsid w:val="19A52566"/>
    <w:multiLevelType w:val="hybridMultilevel"/>
    <w:lvl w:ilvl="0">
      <w:lvlJc w:val="left"/>
      <w:lvlText w:val="%1."/>
      <w:numFmt w:val="decimal"/>
      <w:start w:val="1"/>
    </w:lvl>
  </w:abstractNum>
  <w:abstractNum w:abstractNumId="221">
    <w:nsid w:val="335A1DF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jpe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214" Type="http://schemas.openxmlformats.org/officeDocument/2006/relationships/image" Target="media/image196.png"/><Relationship Id="rId215" Type="http://schemas.openxmlformats.org/officeDocument/2006/relationships/image" Target="media/image197.png"/><Relationship Id="rId216" Type="http://schemas.openxmlformats.org/officeDocument/2006/relationships/image" Target="media/image198.png"/><Relationship Id="rId217" Type="http://schemas.openxmlformats.org/officeDocument/2006/relationships/image" Target="media/image199.png"/><Relationship Id="rId218" Type="http://schemas.openxmlformats.org/officeDocument/2006/relationships/image" Target="media/image200.png"/><Relationship Id="rId219" Type="http://schemas.openxmlformats.org/officeDocument/2006/relationships/image" Target="media/image201.png"/><Relationship Id="rId220" Type="http://schemas.openxmlformats.org/officeDocument/2006/relationships/image" Target="media/image202.png"/><Relationship Id="rId221" Type="http://schemas.openxmlformats.org/officeDocument/2006/relationships/image" Target="media/image203.png"/><Relationship Id="rId222" Type="http://schemas.openxmlformats.org/officeDocument/2006/relationships/image" Target="media/image204.png"/><Relationship Id="rId223" Type="http://schemas.openxmlformats.org/officeDocument/2006/relationships/image" Target="media/image205.png"/><Relationship Id="rId224" Type="http://schemas.openxmlformats.org/officeDocument/2006/relationships/image" Target="media/image206.png"/><Relationship Id="rId225" Type="http://schemas.openxmlformats.org/officeDocument/2006/relationships/image" Target="media/image207.png"/><Relationship Id="rId226" Type="http://schemas.openxmlformats.org/officeDocument/2006/relationships/image" Target="media/image208.png"/><Relationship Id="rId227" Type="http://schemas.openxmlformats.org/officeDocument/2006/relationships/image" Target="media/image209.png"/><Relationship Id="rId228" Type="http://schemas.openxmlformats.org/officeDocument/2006/relationships/image" Target="media/image210.png"/><Relationship Id="rId229" Type="http://schemas.openxmlformats.org/officeDocument/2006/relationships/image" Target="media/image211.png"/><Relationship Id="rId230" Type="http://schemas.openxmlformats.org/officeDocument/2006/relationships/image" Target="media/image212.png"/><Relationship Id="rId231" Type="http://schemas.openxmlformats.org/officeDocument/2006/relationships/image" Target="media/image213.png"/><Relationship Id="rId232" Type="http://schemas.openxmlformats.org/officeDocument/2006/relationships/image" Target="media/image214.png"/><Relationship Id="rId233" Type="http://schemas.openxmlformats.org/officeDocument/2006/relationships/image" Target="media/image215.png"/><Relationship Id="rId234" Type="http://schemas.openxmlformats.org/officeDocument/2006/relationships/image" Target="media/image216.png"/><Relationship Id="rId235" Type="http://schemas.openxmlformats.org/officeDocument/2006/relationships/image" Target="media/image217.png"/><Relationship Id="rId236" Type="http://schemas.openxmlformats.org/officeDocument/2006/relationships/image" Target="media/image218.png"/><Relationship Id="rId237" Type="http://schemas.openxmlformats.org/officeDocument/2006/relationships/image" Target="media/image219.png"/><Relationship Id="rId238" Type="http://schemas.openxmlformats.org/officeDocument/2006/relationships/image" Target="media/image220.png"/><Relationship Id="rId239" Type="http://schemas.openxmlformats.org/officeDocument/2006/relationships/image" Target="media/image221.png"/><Relationship Id="rId240" Type="http://schemas.openxmlformats.org/officeDocument/2006/relationships/image" Target="media/image222.png"/><Relationship Id="rId241" Type="http://schemas.openxmlformats.org/officeDocument/2006/relationships/image" Target="media/image223.png"/><Relationship Id="rId242" Type="http://schemas.openxmlformats.org/officeDocument/2006/relationships/image" Target="media/image224.png"/><Relationship Id="rId243" Type="http://schemas.openxmlformats.org/officeDocument/2006/relationships/image" Target="media/image225.png"/><Relationship Id="rId244" Type="http://schemas.openxmlformats.org/officeDocument/2006/relationships/image" Target="media/image226.png"/><Relationship Id="rId245" Type="http://schemas.openxmlformats.org/officeDocument/2006/relationships/image" Target="media/image227.png"/><Relationship Id="rId246" Type="http://schemas.openxmlformats.org/officeDocument/2006/relationships/image" Target="media/image228.png"/><Relationship Id="rId247" Type="http://schemas.openxmlformats.org/officeDocument/2006/relationships/image" Target="media/image229.png"/><Relationship Id="rId248" Type="http://schemas.openxmlformats.org/officeDocument/2006/relationships/image" Target="media/image230.png"/><Relationship Id="rId249" Type="http://schemas.openxmlformats.org/officeDocument/2006/relationships/image" Target="media/image231.png"/><Relationship Id="rId250" Type="http://schemas.openxmlformats.org/officeDocument/2006/relationships/image" Target="media/image232.png"/><Relationship Id="rId251" Type="http://schemas.openxmlformats.org/officeDocument/2006/relationships/image" Target="media/image233.png"/><Relationship Id="rId252" Type="http://schemas.openxmlformats.org/officeDocument/2006/relationships/image" Target="media/image234.png"/><Relationship Id="rId253" Type="http://schemas.openxmlformats.org/officeDocument/2006/relationships/image" Target="media/image235.png"/><Relationship Id="rId254" Type="http://schemas.openxmlformats.org/officeDocument/2006/relationships/image" Target="media/image236.png"/><Relationship Id="rId255" Type="http://schemas.openxmlformats.org/officeDocument/2006/relationships/image" Target="media/image237.png"/><Relationship Id="rId256" Type="http://schemas.openxmlformats.org/officeDocument/2006/relationships/image" Target="media/image238.png"/><Relationship Id="rId257" Type="http://schemas.openxmlformats.org/officeDocument/2006/relationships/image" Target="media/image239.png"/><Relationship Id="rId258" Type="http://schemas.openxmlformats.org/officeDocument/2006/relationships/image" Target="media/image240.png"/><Relationship Id="rId259" Type="http://schemas.openxmlformats.org/officeDocument/2006/relationships/image" Target="media/image241.png"/><Relationship Id="rId260" Type="http://schemas.openxmlformats.org/officeDocument/2006/relationships/image" Target="media/image242.png"/><Relationship Id="rId261" Type="http://schemas.openxmlformats.org/officeDocument/2006/relationships/image" Target="media/image243.png"/><Relationship Id="rId262" Type="http://schemas.openxmlformats.org/officeDocument/2006/relationships/image" Target="media/image244.png"/><Relationship Id="rId263" Type="http://schemas.openxmlformats.org/officeDocument/2006/relationships/image" Target="media/image245.png"/><Relationship Id="rId264" Type="http://schemas.openxmlformats.org/officeDocument/2006/relationships/image" Target="media/image246.png"/><Relationship Id="rId265" Type="http://schemas.openxmlformats.org/officeDocument/2006/relationships/image" Target="media/image247.png"/><Relationship Id="rId266" Type="http://schemas.openxmlformats.org/officeDocument/2006/relationships/image" Target="media/image248.png"/><Relationship Id="rId267" Type="http://schemas.openxmlformats.org/officeDocument/2006/relationships/image" Target="media/image249.png"/><Relationship Id="rId268" Type="http://schemas.openxmlformats.org/officeDocument/2006/relationships/image" Target="media/image250.png"/><Relationship Id="rId269" Type="http://schemas.openxmlformats.org/officeDocument/2006/relationships/image" Target="media/image251.png"/><Relationship Id="rId270" Type="http://schemas.openxmlformats.org/officeDocument/2006/relationships/image" Target="media/image252.png"/><Relationship Id="rId271" Type="http://schemas.openxmlformats.org/officeDocument/2006/relationships/image" Target="media/image253.png"/><Relationship Id="rId272" Type="http://schemas.openxmlformats.org/officeDocument/2006/relationships/image" Target="media/image254.png"/><Relationship Id="rId273" Type="http://schemas.openxmlformats.org/officeDocument/2006/relationships/image" Target="media/image255.png"/><Relationship Id="rId274" Type="http://schemas.openxmlformats.org/officeDocument/2006/relationships/image" Target="media/image256.png"/><Relationship Id="rId275" Type="http://schemas.openxmlformats.org/officeDocument/2006/relationships/image" Target="media/image257.png"/><Relationship Id="rId276" Type="http://schemas.openxmlformats.org/officeDocument/2006/relationships/image" Target="media/image258.png"/><Relationship Id="rId277" Type="http://schemas.openxmlformats.org/officeDocument/2006/relationships/image" Target="media/image259.png"/><Relationship Id="rId278" Type="http://schemas.openxmlformats.org/officeDocument/2006/relationships/image" Target="media/image260.png"/><Relationship Id="rId279" Type="http://schemas.openxmlformats.org/officeDocument/2006/relationships/image" Target="media/image261.png"/><Relationship Id="rId280" Type="http://schemas.openxmlformats.org/officeDocument/2006/relationships/image" Target="media/image262.png"/><Relationship Id="rId281" Type="http://schemas.openxmlformats.org/officeDocument/2006/relationships/image" Target="media/image263.png"/><Relationship Id="rId282" Type="http://schemas.openxmlformats.org/officeDocument/2006/relationships/image" Target="media/image264.png"/><Relationship Id="rId283" Type="http://schemas.openxmlformats.org/officeDocument/2006/relationships/image" Target="media/image265.png"/><Relationship Id="rId284" Type="http://schemas.openxmlformats.org/officeDocument/2006/relationships/image" Target="media/image266.png"/><Relationship Id="rId285" Type="http://schemas.openxmlformats.org/officeDocument/2006/relationships/image" Target="media/image267.png"/><Relationship Id="rId286" Type="http://schemas.openxmlformats.org/officeDocument/2006/relationships/image" Target="media/image268.png"/><Relationship Id="rId287" Type="http://schemas.openxmlformats.org/officeDocument/2006/relationships/image" Target="media/image269.png"/><Relationship Id="rId288" Type="http://schemas.openxmlformats.org/officeDocument/2006/relationships/image" Target="media/image270.png"/><Relationship Id="rId289" Type="http://schemas.openxmlformats.org/officeDocument/2006/relationships/image" Target="media/image271.png"/><Relationship Id="rId290" Type="http://schemas.openxmlformats.org/officeDocument/2006/relationships/image" Target="media/image272.png"/><Relationship Id="rId291" Type="http://schemas.openxmlformats.org/officeDocument/2006/relationships/image" Target="media/image273.png"/><Relationship Id="rId292" Type="http://schemas.openxmlformats.org/officeDocument/2006/relationships/image" Target="media/image274.png"/><Relationship Id="rId293" Type="http://schemas.openxmlformats.org/officeDocument/2006/relationships/image" Target="media/image275.png"/><Relationship Id="rId294" Type="http://schemas.openxmlformats.org/officeDocument/2006/relationships/image" Target="media/image276.png"/><Relationship Id="rId295" Type="http://schemas.openxmlformats.org/officeDocument/2006/relationships/image" Target="media/image277.png"/><Relationship Id="rId296" Type="http://schemas.openxmlformats.org/officeDocument/2006/relationships/image" Target="media/image278.png"/><Relationship Id="rId297" Type="http://schemas.openxmlformats.org/officeDocument/2006/relationships/image" Target="media/image279.png"/><Relationship Id="rId298" Type="http://schemas.openxmlformats.org/officeDocument/2006/relationships/image" Target="media/image280.png"/><Relationship Id="rId299" Type="http://schemas.openxmlformats.org/officeDocument/2006/relationships/image" Target="media/image281.png"/><Relationship Id="rId300" Type="http://schemas.openxmlformats.org/officeDocument/2006/relationships/image" Target="media/image282.png"/><Relationship Id="rId301" Type="http://schemas.openxmlformats.org/officeDocument/2006/relationships/image" Target="media/image283.png"/><Relationship Id="rId302" Type="http://schemas.openxmlformats.org/officeDocument/2006/relationships/image" Target="media/image284.png"/><Relationship Id="rId303" Type="http://schemas.openxmlformats.org/officeDocument/2006/relationships/image" Target="media/image285.png"/><Relationship Id="rId304" Type="http://schemas.openxmlformats.org/officeDocument/2006/relationships/image" Target="media/image286.png"/><Relationship Id="rId305" Type="http://schemas.openxmlformats.org/officeDocument/2006/relationships/image" Target="media/image287.png"/><Relationship Id="rId306" Type="http://schemas.openxmlformats.org/officeDocument/2006/relationships/image" Target="media/image288.png"/><Relationship Id="rId307" Type="http://schemas.openxmlformats.org/officeDocument/2006/relationships/image" Target="media/image289.png"/><Relationship Id="rId308" Type="http://schemas.openxmlformats.org/officeDocument/2006/relationships/image" Target="media/image290.png"/><Relationship Id="rId309" Type="http://schemas.openxmlformats.org/officeDocument/2006/relationships/image" Target="media/image291.png"/><Relationship Id="rId310" Type="http://schemas.openxmlformats.org/officeDocument/2006/relationships/image" Target="media/image292.png"/><Relationship Id="rId311" Type="http://schemas.openxmlformats.org/officeDocument/2006/relationships/image" Target="media/image293.png"/><Relationship Id="rId312" Type="http://schemas.openxmlformats.org/officeDocument/2006/relationships/image" Target="media/image294.png"/><Relationship Id="rId313" Type="http://schemas.openxmlformats.org/officeDocument/2006/relationships/image" Target="media/image295.png"/><Relationship Id="rId314" Type="http://schemas.openxmlformats.org/officeDocument/2006/relationships/image" Target="media/image296.png"/><Relationship Id="rId315" Type="http://schemas.openxmlformats.org/officeDocument/2006/relationships/image" Target="media/image297.png"/><Relationship Id="rId316" Type="http://schemas.openxmlformats.org/officeDocument/2006/relationships/image" Target="media/image298.png"/><Relationship Id="rId317" Type="http://schemas.openxmlformats.org/officeDocument/2006/relationships/image" Target="media/image299.png"/><Relationship Id="rId318" Type="http://schemas.openxmlformats.org/officeDocument/2006/relationships/image" Target="media/image300.png"/><Relationship Id="rId319" Type="http://schemas.openxmlformats.org/officeDocument/2006/relationships/image" Target="media/image301.png"/><Relationship Id="rId320" Type="http://schemas.openxmlformats.org/officeDocument/2006/relationships/image" Target="media/image302.jpeg"/><Relationship Id="rId321" Type="http://schemas.openxmlformats.org/officeDocument/2006/relationships/image" Target="media/image303.png"/><Relationship Id="rId322" Type="http://schemas.openxmlformats.org/officeDocument/2006/relationships/image" Target="media/image304.jpeg"/><Relationship Id="rId323" Type="http://schemas.openxmlformats.org/officeDocument/2006/relationships/image" Target="media/image305.png"/><Relationship Id="rId324" Type="http://schemas.openxmlformats.org/officeDocument/2006/relationships/image" Target="media/image306.jpeg"/><Relationship Id="rId325" Type="http://schemas.openxmlformats.org/officeDocument/2006/relationships/image" Target="media/image307.png"/><Relationship Id="rId326" Type="http://schemas.openxmlformats.org/officeDocument/2006/relationships/image" Target="media/image308.jpeg"/><Relationship Id="rId327" Type="http://schemas.openxmlformats.org/officeDocument/2006/relationships/image" Target="media/image309.png"/><Relationship Id="rId328" Type="http://schemas.openxmlformats.org/officeDocument/2006/relationships/image" Target="media/image310.jpeg"/><Relationship Id="rId329" Type="http://schemas.openxmlformats.org/officeDocument/2006/relationships/image" Target="media/image311.png"/><Relationship Id="rId330" Type="http://schemas.openxmlformats.org/officeDocument/2006/relationships/image" Target="media/image312.jpeg"/><Relationship Id="rId331" Type="http://schemas.openxmlformats.org/officeDocument/2006/relationships/image" Target="media/image313.png"/><Relationship Id="rId332" Type="http://schemas.openxmlformats.org/officeDocument/2006/relationships/image" Target="media/image314.jpeg"/><Relationship Id="rId333" Type="http://schemas.openxmlformats.org/officeDocument/2006/relationships/image" Target="media/image315.png"/><Relationship Id="rId334" Type="http://schemas.openxmlformats.org/officeDocument/2006/relationships/image" Target="media/image316.jpeg"/><Relationship Id="rId335" Type="http://schemas.openxmlformats.org/officeDocument/2006/relationships/image" Target="media/image317.jpeg"/><Relationship Id="rId336" Type="http://schemas.openxmlformats.org/officeDocument/2006/relationships/image" Target="media/image318.png"/><Relationship Id="rId103" Type="http://schemas.openxmlformats.org/officeDocument/2006/relationships/hyperlink" Target="http://www.sec.gov/Archives/edgar/data/1847903/000184790322000022/cnta-20211231.htm" TargetMode="External"/><Relationship Id="rId104" Type="http://schemas.openxmlformats.org/officeDocument/2006/relationships/hyperlink" Target="http://www.sec.gov/Archives/edgar/data/1847903/000184790322000026/cnta-20211231.htm" TargetMode="External"/><Relationship Id="rId105" Type="http://schemas.openxmlformats.org/officeDocument/2006/relationships/hyperlink" Target="http://www.sec.gov/Archives/edgar/data/1847903/000184790322000031/cnta-20220331.htm" TargetMode="External"/><Relationship Id="rId106" Type="http://schemas.openxmlformats.org/officeDocument/2006/relationships/hyperlink" Target="http://www.sec.gov/Archives/edgar/data/1847903/000184790322000033/cnta-20220602.htm" TargetMode="External"/><Relationship Id="rId107" Type="http://schemas.openxmlformats.org/officeDocument/2006/relationships/hyperlink" Target="http://www.sec.gov/ix?doc=/Archives/edgar/data/1847903/000184790322000036/cnta-20220630.htm" TargetMode="External"/><Relationship Id="rId108" Type="http://schemas.openxmlformats.org/officeDocument/2006/relationships/hyperlink" Target="http://www.sec.gov/ix?doc=/Archives/edgar/data/1847903/000184790322000040/cnta-20220701.htm" TargetMode="External"/><Relationship Id="rId109" Type="http://schemas.openxmlformats.org/officeDocument/2006/relationships/hyperlink" Target="http://www.sec.gov/Archives/edgar/data/1847903/000119312521172311/d189377d8a12b.htm" TargetMode="External"/><Relationship Id="rId110" Type="http://schemas.openxmlformats.org/officeDocument/2006/relationships/hyperlink" Target="http://www.sec.gov/Archives/edgar/data/1847903/000184790322000022/a20211231ex43descriptionof.htm" TargetMode="External"/><Relationship Id="rId127" Type="http://schemas.openxmlformats.org/officeDocument/2006/relationships/hyperlink" Target="http://www.sec.gov/Archives/edgar/data/1847903/000119312521159305/d123754dex31.htm" TargetMode="External"/><Relationship Id="rId128" Type="http://schemas.openxmlformats.org/officeDocument/2006/relationships/hyperlink" Target="http://www.sec.gov/Archives/edgar/data/0001847903/000119312521170068/d123754dex41.htm" TargetMode="External"/><Relationship Id="rId129" Type="http://schemas.openxmlformats.org/officeDocument/2006/relationships/hyperlink" Target="http://www.sec.gov/Archives/edgar/data/1847903/000119312521159305/d12375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2022-07-01T15:10:29Z</dcterms:created>
  <dcterms:modified xsi:type="dcterms:W3CDTF">2022-07-01T15:10:29Z</dcterms:modified>
</cp:coreProperties>
</file>