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f4c434fe772b446ca7e94b1dd2bc86c4_13">
        <w:r>
          <w:rPr>
            <w:rStyle w:val="InternetLink"/>
            <w:rFonts w:ascii="Times New Roman;sans-serif" w:hAnsi="Times New Roman;sans-serif"/>
            <w:b w:val="false"/>
            <w:color w:val="0000FF"/>
            <w:sz w:val="20"/>
            <w:u w:val="single"/>
            <w:shd w:fill="FFFFFF" w:val="clear"/>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Washington, D.C. 20549</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FORM 10-Q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(Mark One)</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160" w:after="283"/>
              <w:jc w:val="left"/>
              <w:rPr>
                <w:rFonts w:ascii="Wingdings;sans-serif" w:hAnsi="Wingdings;sans-serif"/>
                <w:b/>
                <w:color w:val="000000"/>
                <w:sz w:val="20"/>
              </w:rPr>
            </w:pPr>
            <w:r>
              <w:rPr>
                <w:rFonts w:ascii="Wingdings;sans-serif" w:hAnsi="Wingdings;sans-serif"/>
                <w:b/>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bl>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For the quarterly period ended March 31, 2024</w:t>
      </w:r>
    </w:p>
    <w:p>
      <w:pPr>
        <w:pStyle w:val="TextBody"/>
        <w:bidi w:val="0"/>
        <w:spacing w:lineRule="auto" w:line="288" w:before="160" w:after="283"/>
        <w:jc w:val="center"/>
        <w:rPr>
          <w:rFonts w:ascii="Times New Roman;sans-serif" w:hAnsi="Times New Roman;sans-serif"/>
          <w:b/>
          <w:color w:val="000000"/>
          <w:sz w:val="16"/>
        </w:rPr>
      </w:pPr>
      <w:r>
        <w:rPr>
          <w:rFonts w:ascii="Times New Roman;sans-serif" w:hAnsi="Times New Roman;sans-serif"/>
          <w:b/>
          <w:color w:val="000000"/>
          <w:sz w:val="16"/>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160" w:after="283"/>
              <w:jc w:val="left"/>
              <w:rPr>
                <w:rFonts w:ascii="Wingdings;sans-serif" w:hAnsi="Wingdings;sans-serif"/>
                <w:b/>
                <w:color w:val="000000"/>
                <w:sz w:val="20"/>
              </w:rPr>
            </w:pPr>
            <w:r>
              <w:rPr>
                <w:rFonts w:ascii="Wingdings;sans-serif" w:hAnsi="Wingdings;sans-serif"/>
                <w:b/>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For the transition period from   to</w:t>
      </w:r>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001-40445 </w:t>
      </w:r>
    </w:p>
    <w:p>
      <w:pPr>
        <w:pStyle w:val="TextBody"/>
        <w:bidi w:val="0"/>
        <w:spacing w:lineRule="auto" w:line="256" w:before="0" w:after="0"/>
        <w:jc w:val="center"/>
        <w:rPr>
          <w:rFonts w:ascii="Times New Roman;sans-serif" w:hAnsi="Times New Roman;sans-serif"/>
          <w:b/>
          <w:color w:val="000000"/>
          <w:sz w:val="36"/>
        </w:rPr>
      </w:pPr>
      <w:r>
        <w:rPr>
          <w:rFonts w:ascii="Times New Roman;sans-serif" w:hAnsi="Times New Roman;sans-serif"/>
          <w:b/>
          <w:color w:val="000000"/>
          <w:sz w:val="36"/>
        </w:rPr>
        <w:t>CENTESSA PHARMACEUTICALS PLC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tbl>
      <w:tblPr>
        <w:tblW w:w="6635" w:type="dxa"/>
        <w:jc w:val="center"/>
        <w:tblInd w:w="0" w:type="dxa"/>
        <w:tblLayout w:type="fixed"/>
        <w:tblCellMar>
          <w:top w:w="28" w:type="dxa"/>
          <w:left w:w="28" w:type="dxa"/>
          <w:bottom w:w="28" w:type="dxa"/>
          <w:right w:w="28" w:type="dxa"/>
        </w:tblCellMar>
      </w:tblPr>
      <w:tblGrid>
        <w:gridCol w:w="949"/>
        <w:gridCol w:w="836"/>
        <w:gridCol w:w="839"/>
        <w:gridCol w:w="109"/>
        <w:gridCol w:w="109"/>
        <w:gridCol w:w="109"/>
        <w:gridCol w:w="109"/>
        <w:gridCol w:w="109"/>
        <w:gridCol w:w="109"/>
        <w:gridCol w:w="992"/>
        <w:gridCol w:w="992"/>
        <w:gridCol w:w="1001"/>
        <w:gridCol w:w="109"/>
        <w:gridCol w:w="109"/>
        <w:gridCol w:w="154"/>
      </w:tblGrid>
      <w:tr>
        <w:trPr/>
        <w:tc>
          <w:tcPr>
            <w:tcW w:w="949"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England and Wales</w:t>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98-1612294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w:t>
              <w:br/>
              <w:t> incorporation or organization)</w:t>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3rd Floor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 Ashley Road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Altrincham</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Cheshire WA14 2DT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United Kingdom</w:t>
      </w:r>
    </w:p>
    <w:p>
      <w:pPr>
        <w:pStyle w:val="TextBody"/>
        <w:bidi w:val="0"/>
        <w:spacing w:lineRule="auto" w:line="288" w:before="0" w:after="0"/>
        <w:jc w:val="center"/>
        <w:rPr/>
      </w:pPr>
      <w:r>
        <w:rPr>
          <w:rFonts w:ascii="Times New Roman;sans-serif" w:hAnsi="Times New Roman;sans-serif"/>
          <w:b/>
          <w:color w:val="000000"/>
          <w:sz w:val="20"/>
        </w:rPr>
        <w:t>(</w:t>
      </w:r>
      <w:r>
        <w:rPr>
          <w:rFonts w:ascii="Times New Roman;sans-serif" w:hAnsi="Times New Roman;sans-serif"/>
          <w:b w:val="false"/>
          <w:color w:val="000000"/>
          <w:sz w:val="20"/>
        </w:rPr>
        <w:t>Address of principal executive offices and zip code)</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+1 (617) 468-5770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Securities registered pursuant to Section 12(b) of the Act: </w:t>
      </w:r>
    </w:p>
    <w:tbl>
      <w:tblPr>
        <w:tblW w:w="10205" w:type="dxa"/>
        <w:jc w:val="center"/>
        <w:tblInd w:w="0" w:type="dxa"/>
        <w:tblLayout w:type="fixed"/>
        <w:tblCellMar>
          <w:top w:w="28" w:type="dxa"/>
          <w:left w:w="28" w:type="dxa"/>
          <w:bottom w:w="28" w:type="dxa"/>
          <w:right w:w="28" w:type="dxa"/>
        </w:tblCellMar>
      </w:tblPr>
      <w:tblGrid>
        <w:gridCol w:w="2287"/>
        <w:gridCol w:w="1837"/>
        <w:gridCol w:w="1858"/>
        <w:gridCol w:w="454"/>
        <w:gridCol w:w="454"/>
        <w:gridCol w:w="456"/>
        <w:gridCol w:w="836"/>
        <w:gridCol w:w="836"/>
        <w:gridCol w:w="1187"/>
      </w:tblGrid>
      <w:tr>
        <w:trPr/>
        <w:tc>
          <w:tcPr>
            <w:tcW w:w="2287" w:type="dxa"/>
            <w:tcBorders/>
            <w:vAlign w:val="center"/>
          </w:tcPr>
          <w:p>
            <w:pPr>
              <w:pStyle w:val="TableContents"/>
              <w:bidi w:val="0"/>
              <w:spacing w:before="0" w:after="283"/>
              <w:jc w:val="left"/>
              <w:rPr>
                <w:sz w:val="4"/>
                <w:szCs w:val="4"/>
              </w:rPr>
            </w:pPr>
            <w:r>
              <w:rPr>
                <w:sz w:val="4"/>
                <w:szCs w:val="4"/>
              </w:rPr>
            </w:r>
          </w:p>
        </w:tc>
        <w:tc>
          <w:tcPr>
            <w:tcW w:w="1837"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r>
      <w:tr>
        <w:trPr/>
        <w:tc>
          <w:tcPr>
            <w:tcW w:w="598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3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285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598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Ordinary shares, nominal value £0.002 per share </w:t>
            </w:r>
          </w:p>
        </w:tc>
        <w:tc>
          <w:tcPr>
            <w:tcW w:w="13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CNTA</w:t>
            </w:r>
          </w:p>
        </w:tc>
        <w:tc>
          <w:tcPr>
            <w:tcW w:w="285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Nasdaq Stock Market, LLC*</w:t>
            </w:r>
          </w:p>
        </w:tc>
      </w:tr>
      <w:tr>
        <w:trPr/>
        <w:tc>
          <w:tcPr>
            <w:tcW w:w="5982"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American Depositary Shares, each representing one ordinary share, nominal value £0.002 per share </w:t>
            </w:r>
          </w:p>
        </w:tc>
        <w:tc>
          <w:tcPr>
            <w:tcW w:w="136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CNTA</w:t>
            </w:r>
          </w:p>
        </w:tc>
        <w:tc>
          <w:tcPr>
            <w:tcW w:w="285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Nasdaq Stock Market, LLC</w:t>
            </w:r>
          </w:p>
        </w:tc>
      </w:tr>
    </w:tbl>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*Not for trading, but only in connection with the listing of the American Depositary Shares on The Nasdaq Stock Market, LLC.</w:t>
      </w:r>
    </w:p>
    <w:p>
      <w:pPr>
        <w:pStyle w:val="TextBody"/>
        <w:bidi w:val="0"/>
        <w:spacing w:lineRule="auto" w:line="288" w:before="160" w:after="283"/>
        <w:ind w:left="0" w:right="0" w:firstLine="720"/>
        <w:jc w:val="left"/>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w:t>
      </w:r>
      <w:r>
        <w:rPr>
          <w:rFonts w:ascii="Times New Roman;sans-serif" w:hAnsi="Times New Roman;sans-serif"/>
          <w:b w:val="false"/>
          <w:color w:val="000000"/>
          <w:sz w:val="20"/>
        </w:rPr>
        <w:t>No  </w:t>
      </w:r>
      <w:r>
        <w:rPr>
          <w:rFonts w:ascii="Wingdings;sans-serif" w:hAnsi="Wingdings;sans-serif"/>
          <w:b w:val="false"/>
          <w:color w:val="000000"/>
          <w:sz w:val="20"/>
        </w:rPr>
        <w:t>o</w:t>
      </w:r>
    </w:p>
    <w:p>
      <w:pPr>
        <w:pStyle w:val="TextBody"/>
        <w:bidi w:val="0"/>
        <w:spacing w:lineRule="auto" w:line="288" w:before="160" w:after="283"/>
        <w:ind w:left="0" w:right="0" w:firstLine="720"/>
        <w:jc w:val="left"/>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w:t>
      </w:r>
      <w:r>
        <w:rPr>
          <w:rFonts w:ascii="Times New Roman;sans-serif" w:hAnsi="Times New Roman;sans-serif"/>
          <w:b w:val="false"/>
          <w:color w:val="000000"/>
          <w:sz w:val="20"/>
        </w:rPr>
        <w:t>No  </w:t>
      </w:r>
      <w:r>
        <w:rPr>
          <w:rFonts w:ascii="Wingdings;sans-serif" w:hAnsi="Wingdings;sans-serif"/>
          <w:b w:val="false"/>
          <w:color w:val="000000"/>
          <w:sz w:val="20"/>
        </w:rPr>
        <w:t>o</w:t>
      </w:r>
      <w:r>
        <w:rPr>
          <w:color w:val="000000"/>
        </w:rPr>
        <w:t> </w:t>
      </w:r>
    </w:p>
    <w:p>
      <w:pPr>
        <w:pStyle w:val="TextBody"/>
        <w:bidi w:val="0"/>
        <w:spacing w:lineRule="auto" w:line="288" w:before="16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928" w:type="dxa"/>
        <w:jc w:val="center"/>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160" w:after="283"/>
              <w:jc w:val="center"/>
              <w:rPr>
                <w:rFonts w:ascii="Wingdings;sans-serif" w:hAnsi="Wingdings;sans-serif"/>
                <w:b w:val="false"/>
                <w:color w:val="000000"/>
                <w:sz w:val="20"/>
              </w:rPr>
            </w:pPr>
            <w:r>
              <w:rPr>
                <w:rFonts w:ascii="Wingdings;sans-serif" w:hAnsi="Wingdings;sans-serif"/>
                <w:b w:val="false"/>
                <w:color w:val="000000"/>
                <w:sz w:val="20"/>
              </w:rPr>
              <w:t>o</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160" w:after="283"/>
              <w:jc w:val="center"/>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160" w:after="283"/>
              <w:jc w:val="center"/>
              <w:rPr>
                <w:rFonts w:ascii="Wingdings;sans-serif" w:hAnsi="Wingdings;sans-serif"/>
                <w:b w:val="false"/>
                <w:color w:val="000000"/>
                <w:sz w:val="20"/>
              </w:rPr>
            </w:pPr>
            <w:r>
              <w:rPr>
                <w:rFonts w:ascii="Wingdings;sans-serif" w:hAnsi="Wingdings;sans-serif"/>
                <w:b w:val="false"/>
                <w:color w:val="000000"/>
                <w:sz w:val="20"/>
              </w:rPr>
              <w:t>x</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160" w:after="283"/>
              <w:jc w:val="center"/>
              <w:rPr>
                <w:rFonts w:ascii="Wingdings;sans-serif" w:hAnsi="Wingdings;sans-serif"/>
                <w:b w:val="false"/>
                <w:color w:val="000000"/>
                <w:sz w:val="20"/>
              </w:rPr>
            </w:pPr>
            <w:r>
              <w:rPr>
                <w:rFonts w:ascii="Wingdings;sans-serif" w:hAnsi="Wingdings;sans-serif"/>
                <w:b w:val="false"/>
                <w:color w:val="000000"/>
                <w:sz w:val="20"/>
              </w:rPr>
              <w:t>x</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160" w:after="283"/>
              <w:jc w:val="center"/>
              <w:rPr>
                <w:rFonts w:ascii="Wingdings;sans-serif" w:hAnsi="Wingdings;sans-serif"/>
                <w:b w:val="false"/>
                <w:color w:val="000000"/>
                <w:sz w:val="20"/>
              </w:rPr>
            </w:pPr>
            <w:r>
              <w:rPr>
                <w:rFonts w:ascii="Wingdings;sans-serif" w:hAnsi="Wingdings;sans-serif"/>
                <w:b w:val="false"/>
                <w:color w:val="000000"/>
                <w:sz w:val="20"/>
              </w:rPr>
              <w:t>x</w:t>
            </w:r>
          </w:p>
        </w:tc>
      </w:tr>
    </w:tbl>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p>
      <w:pPr>
        <w:pStyle w:val="TextBody"/>
        <w:bidi w:val="0"/>
        <w:spacing w:lineRule="auto" w:line="288" w:before="160" w:after="283"/>
        <w:jc w:val="right"/>
        <w:rPr>
          <w:rFonts w:ascii="Wingdings;sans-serif" w:hAnsi="Wingdings;sans-serif"/>
          <w:b w:val="false"/>
          <w:color w:val="000000"/>
          <w:sz w:val="20"/>
        </w:rPr>
      </w:pPr>
      <w:r>
        <w:rPr>
          <w:rFonts w:ascii="Wingdings;sans-serif" w:hAnsi="Wingdings;sans-serif"/>
          <w:b w:val="false"/>
          <w:color w:val="000000"/>
          <w:sz w:val="20"/>
        </w:rPr>
        <w:t>o</w:t>
      </w:r>
    </w:p>
    <w:p>
      <w:pPr>
        <w:pStyle w:val="TextBody"/>
        <w:bidi w:val="0"/>
        <w:spacing w:lineRule="auto" w:line="288" w:before="160" w:after="283"/>
        <w:jc w:val="left"/>
        <w:rPr/>
      </w:pPr>
      <w:r>
        <w:rPr>
          <w:rFonts w:ascii="Times New Roman;sans-serif" w:hAnsi="Times New Roman;sans-serif"/>
          <w:b w:val="false"/>
          <w:color w:val="000000"/>
          <w:sz w:val="20"/>
        </w:rPr>
        <w:t>Indicate by check mark whether the registrant is a shell company (as defined in Rule 12b-2 of the Act).     Yes   </w:t>
      </w:r>
      <w:r>
        <w:rPr>
          <w:rFonts w:ascii="Wingdings;sans-serif" w:hAnsi="Wingdings;sans-serif"/>
          <w:b w:val="false"/>
          <w:color w:val="000000"/>
          <w:sz w:val="20"/>
        </w:rPr>
        <w:t>o</w:t>
      </w:r>
      <w:r>
        <w:rPr>
          <w:color w:val="000000"/>
        </w:rPr>
        <w:t>     </w:t>
      </w:r>
      <w:r>
        <w:rPr>
          <w:rFonts w:ascii="Times New Roman;sans-serif" w:hAnsi="Times New Roman;sans-serif"/>
          <w:b w:val="false"/>
          <w:color w:val="000000"/>
          <w:sz w:val="20"/>
        </w:rPr>
        <w:t>No  </w:t>
      </w:r>
      <w:r>
        <w:rPr>
          <w:rFonts w:ascii="Wingdings;sans-serif" w:hAnsi="Wingdings;sans-serif"/>
          <w:b w:val="false"/>
          <w:color w:val="000000"/>
          <w:sz w:val="20"/>
        </w:rPr>
        <w:t>x</w:t>
      </w:r>
    </w:p>
    <w:p>
      <w:pPr>
        <w:pStyle w:val="TextBody"/>
        <w:bidi w:val="0"/>
        <w:spacing w:before="160" w:after="283"/>
        <w:jc w:val="center"/>
        <w:rPr/>
      </w:pPr>
      <w:r>
        <w:rPr/>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registrant had outstanding 113,044,244 ordinary shares as of May 3, 2024.</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Summary of the Material Risks Associated with Our Business</w:t>
      </w:r>
    </w:p>
    <w:p>
      <w:pPr>
        <w:pStyle w:val="TextBody"/>
        <w:bidi w:val="0"/>
        <w:spacing w:lineRule="auto" w:line="288" w:before="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is subject to numerous risks and uncertainties that you should be aware of in evaluating our business. These risks are described more fully in Item 1A - Risk Factors, and include, but are not limited to, the following:</w:t>
      </w:r>
    </w:p>
    <w:p>
      <w:pPr>
        <w:pStyle w:val="TextBody"/>
        <w:bidi w:val="0"/>
        <w:spacing w:lineRule="auto" w:line="288" w:before="60" w:after="283"/>
        <w:ind w:left="0" w:right="0" w:hanging="450"/>
        <w:jc w:val="left"/>
        <w:rPr/>
      </w:pPr>
      <w:r>
        <w:rPr>
          <w:color w:val="000000"/>
        </w:rPr>
        <w:t>•</w:t>
      </w:r>
      <w:r>
        <w:rPr>
          <w:rFonts w:ascii="Times New Roman;sans-serif" w:hAnsi="Times New Roman;sans-serif"/>
          <w:b w:val="false"/>
          <w:color w:val="000000"/>
          <w:sz w:val="20"/>
        </w:rPr>
        <w:t>We may not be successful in our efforts to use our differentiated asset-centric drug discovery and development approach to build a pipeline of product candidates with commercial value.</w:t>
      </w:r>
    </w:p>
    <w:p>
      <w:pPr>
        <w:pStyle w:val="TextBody"/>
        <w:bidi w:val="0"/>
        <w:spacing w:lineRule="auto" w:line="288" w:before="60" w:after="283"/>
        <w:ind w:left="0" w:right="0" w:hanging="450"/>
        <w:jc w:val="left"/>
        <w:rPr/>
      </w:pPr>
      <w:r>
        <w:rPr>
          <w:color w:val="000000"/>
        </w:rPr>
        <w:t>•</w:t>
      </w:r>
      <w:r>
        <w:rPr>
          <w:rFonts w:ascii="Times New Roman;sans-serif" w:hAnsi="Times New Roman;sans-serif"/>
          <w:b w:val="false"/>
          <w:color w:val="000000"/>
          <w:sz w:val="20"/>
        </w:rPr>
        <w:t>A single or limited number of programs or product candidates may comprise a large proportion of our value.</w:t>
      </w:r>
    </w:p>
    <w:p>
      <w:pPr>
        <w:pStyle w:val="TextBody"/>
        <w:bidi w:val="0"/>
        <w:spacing w:lineRule="auto" w:line="288" w:before="60" w:after="283"/>
        <w:ind w:left="0" w:right="0" w:hanging="450"/>
        <w:jc w:val="left"/>
        <w:rPr/>
      </w:pPr>
      <w:r>
        <w:rPr>
          <w:color w:val="000000"/>
        </w:rPr>
        <w:t>•</w:t>
      </w:r>
      <w:r>
        <w:rPr>
          <w:rFonts w:ascii="Times New Roman;sans-serif" w:hAnsi="Times New Roman;sans-serif"/>
          <w:b w:val="false"/>
          <w:color w:val="000000"/>
          <w:sz w:val="20"/>
        </w:rPr>
        <w:t>We face challenges, risks and expenses related to the integration of the operations of our Centessa Subsidiaries, as well as the management of the expected growth in the scale and complexity of our operations.</w:t>
      </w:r>
    </w:p>
    <w:p>
      <w:pPr>
        <w:pStyle w:val="TextBody"/>
        <w:bidi w:val="0"/>
        <w:spacing w:lineRule="auto" w:line="288" w:before="60" w:after="283"/>
        <w:ind w:left="0" w:right="0" w:hanging="450"/>
        <w:jc w:val="left"/>
        <w:rPr/>
      </w:pPr>
      <w:r>
        <w:rPr>
          <w:color w:val="000000"/>
        </w:rPr>
        <w:t>•</w:t>
      </w:r>
      <w:r>
        <w:rPr>
          <w:rFonts w:ascii="Times New Roman;sans-serif" w:hAnsi="Times New Roman;sans-serif"/>
          <w:b w:val="false"/>
          <w:color w:val="000000"/>
          <w:sz w:val="20"/>
        </w:rPr>
        <w:t>We, and our subsidiaries, have incurred net losses since inception, and we expect to continue to incur losses for the foreseeable future and may never achieve or maintain profitability.</w:t>
      </w:r>
    </w:p>
    <w:p>
      <w:pPr>
        <w:pStyle w:val="TextBody"/>
        <w:bidi w:val="0"/>
        <w:spacing w:lineRule="auto" w:line="288" w:before="60" w:after="283"/>
        <w:ind w:left="0" w:right="0" w:hanging="450"/>
        <w:jc w:val="left"/>
        <w:rPr/>
      </w:pPr>
      <w:r>
        <w:rPr>
          <w:color w:val="000000"/>
        </w:rPr>
        <w:t>•</w:t>
      </w:r>
      <w:r>
        <w:rPr>
          <w:rFonts w:ascii="Times New Roman;sans-serif" w:hAnsi="Times New Roman;sans-serif"/>
          <w:b w:val="false"/>
          <w:color w:val="000000"/>
          <w:sz w:val="20"/>
        </w:rPr>
        <w:t>We will need substantial additional funds to advance development of our product candidates, and we cannot guarantee that we will have sufficient funds available in the future to develop and commercialize our current or future product candidates.</w:t>
      </w:r>
    </w:p>
    <w:p>
      <w:pPr>
        <w:pStyle w:val="TextBody"/>
        <w:bidi w:val="0"/>
        <w:spacing w:lineRule="auto" w:line="288" w:before="60" w:after="283"/>
        <w:ind w:left="0" w:right="0" w:hanging="450"/>
        <w:jc w:val="left"/>
        <w:rPr/>
      </w:pPr>
      <w:r>
        <w:rPr>
          <w:color w:val="000000"/>
        </w:rPr>
        <w:t>•</w:t>
      </w:r>
      <w:r>
        <w:rPr>
          <w:rFonts w:ascii="Times New Roman;sans-serif" w:hAnsi="Times New Roman;sans-serif"/>
          <w:b w:val="false"/>
          <w:color w:val="000000"/>
          <w:sz w:val="20"/>
        </w:rPr>
        <w:t>Our credit facility and payment obligations under the Note Purchase Agreement with Oberland Capital contain operating and financial covenants that restrict our business and financing activities, are subject to acceleration in specified circumstances and may adversely affect our financial position or results of operations and our ability to raise additional capital which in turn may increase our vulnerability to adverse clinical or regulatory developments or economic or business downturns or which may result in Oberland Capital taking possession of our assets and disposing of any collateral.</w:t>
      </w:r>
    </w:p>
    <w:p>
      <w:pPr>
        <w:pStyle w:val="TextBody"/>
        <w:bidi w:val="0"/>
        <w:spacing w:lineRule="auto" w:line="288" w:before="60" w:after="283"/>
        <w:ind w:left="0" w:right="0" w:hanging="450"/>
        <w:jc w:val="left"/>
        <w:rPr/>
      </w:pPr>
      <w:r>
        <w:rPr>
          <w:color w:val="000000"/>
        </w:rPr>
        <w:t>•</w:t>
      </w:r>
      <w:r>
        <w:rPr>
          <w:rFonts w:ascii="Times New Roman;sans-serif" w:hAnsi="Times New Roman;sans-serif"/>
          <w:b w:val="false"/>
          <w:color w:val="000000"/>
          <w:sz w:val="20"/>
        </w:rPr>
        <w:t>Our product candidates are in various stages of development, including many in preclinical stages, and may fail in development or suffer delays that materially adversely affect their commercial viability and we may fail to differentiate SerpinPC, LB101, other LockBody candidates, LockBody technology platform, and/or ORX750 and other orexin agonist molecules from other available treatment options including other molecules in development.</w:t>
      </w:r>
    </w:p>
    <w:p>
      <w:pPr>
        <w:pStyle w:val="TextBody"/>
        <w:bidi w:val="0"/>
        <w:spacing w:lineRule="auto" w:line="288" w:before="60" w:after="283"/>
        <w:ind w:left="0" w:right="0" w:hanging="450"/>
        <w:jc w:val="left"/>
        <w:rPr/>
      </w:pPr>
      <w:r>
        <w:rPr>
          <w:color w:val="000000"/>
        </w:rPr>
        <w:t>•</w:t>
      </w:r>
      <w:r>
        <w:rPr>
          <w:rFonts w:ascii="Times New Roman;sans-serif" w:hAnsi="Times New Roman;sans-serif"/>
          <w:b w:val="false"/>
          <w:color w:val="000000"/>
          <w:sz w:val="20"/>
        </w:rPr>
        <w:t>We may not be successful in our efforts to identify, discover, in-license or otherwise acquire additional product candidates and may fail to capitalize on programs or product candidates that may represent a greater commercial opportunity or for which there is a greater likelihood of success.</w:t>
      </w:r>
    </w:p>
    <w:p>
      <w:pPr>
        <w:pStyle w:val="TextBody"/>
        <w:bidi w:val="0"/>
        <w:spacing w:lineRule="auto" w:line="288" w:before="60" w:after="283"/>
        <w:ind w:left="0" w:right="0" w:hanging="450"/>
        <w:jc w:val="left"/>
        <w:rPr/>
      </w:pPr>
      <w:r>
        <w:rPr>
          <w:color w:val="000000"/>
        </w:rPr>
        <w:t>•</w:t>
      </w:r>
      <w:r>
        <w:rPr>
          <w:rFonts w:ascii="Times New Roman;sans-serif" w:hAnsi="Times New Roman;sans-serif"/>
          <w:b w:val="false"/>
          <w:color w:val="000000"/>
          <w:sz w:val="20"/>
        </w:rPr>
        <w:t>Success in preclinical studies or early clinical trials may not be indicative of results obtained in later trials.</w:t>
      </w:r>
    </w:p>
    <w:p>
      <w:pPr>
        <w:pStyle w:val="TextBody"/>
        <w:bidi w:val="0"/>
        <w:spacing w:lineRule="auto" w:line="288" w:before="60" w:after="283"/>
        <w:ind w:left="0" w:right="0" w:hanging="450"/>
        <w:jc w:val="left"/>
        <w:rPr/>
      </w:pPr>
      <w:r>
        <w:rPr>
          <w:color w:val="000000"/>
        </w:rPr>
        <w:t>•</w:t>
      </w:r>
      <w:r>
        <w:rPr>
          <w:rFonts w:ascii="Times New Roman;sans-serif" w:hAnsi="Times New Roman;sans-serif"/>
          <w:b w:val="false"/>
          <w:color w:val="000000"/>
          <w:sz w:val="20"/>
        </w:rPr>
        <w:t>We may encounter substantial delays or challenges in the initiation, conduct or completion of our clinical trials (including as a result of failure to recruit and maintain a sufficient number of, or any, subjects in our existing and anticipated studies or clinical trials including PRESent-5, the observational feeder study, PRESent-2 and PRESent-3 and studies or trials of LB101 and any other LockBody candidates, ORX750 and other orexin agonist molecules and failure to meet expectations on executing our research and clinical development plans and the timing thereof), and the results of clinical development are uncertain.</w:t>
      </w:r>
    </w:p>
    <w:p>
      <w:pPr>
        <w:pStyle w:val="TextBody"/>
        <w:bidi w:val="0"/>
        <w:spacing w:lineRule="auto" w:line="288" w:before="60" w:after="283"/>
        <w:ind w:left="0" w:right="0" w:hanging="450"/>
        <w:jc w:val="left"/>
        <w:rPr/>
      </w:pPr>
      <w:r>
        <w:rPr>
          <w:color w:val="000000"/>
        </w:rPr>
        <w:t>•</w:t>
      </w:r>
      <w:r>
        <w:rPr>
          <w:rFonts w:ascii="Times New Roman;sans-serif" w:hAnsi="Times New Roman;sans-serif"/>
          <w:b w:val="false"/>
          <w:color w:val="000000"/>
          <w:sz w:val="20"/>
        </w:rPr>
        <w:t>Even if we complete the necessary preclinical studies and clinical trials, the marketing approval process is expensive, time-consuming and uncertain and may prevent us from obtaining approvals for the commercialization of our product candidates.</w:t>
      </w:r>
    </w:p>
    <w:p>
      <w:pPr>
        <w:pStyle w:val="TextBody"/>
        <w:bidi w:val="0"/>
        <w:spacing w:lineRule="auto" w:line="288" w:before="60" w:after="283"/>
        <w:ind w:left="0" w:right="0" w:hanging="450"/>
        <w:jc w:val="left"/>
        <w:rPr/>
      </w:pPr>
      <w:r>
        <w:rPr>
          <w:color w:val="000000"/>
        </w:rPr>
        <w:t>•</w:t>
      </w:r>
      <w:r>
        <w:rPr>
          <w:rFonts w:ascii="Times New Roman;sans-serif" w:hAnsi="Times New Roman;sans-serif"/>
          <w:b w:val="false"/>
          <w:color w:val="000000"/>
          <w:sz w:val="20"/>
        </w:rPr>
        <w:t>We may be unable to obtain U.S. or foreign regulatory approval and, as a result, unable to commercialize our product candidates.</w:t>
      </w:r>
    </w:p>
    <w:p>
      <w:pPr>
        <w:pStyle w:val="TextBody"/>
        <w:bidi w:val="0"/>
        <w:spacing w:lineRule="auto" w:line="288" w:before="60" w:after="283"/>
        <w:ind w:left="0" w:right="0" w:hanging="450"/>
        <w:jc w:val="left"/>
        <w:rPr/>
      </w:pPr>
      <w:r>
        <w:rPr>
          <w:color w:val="000000"/>
        </w:rPr>
        <w:t>•</w:t>
      </w:r>
      <w:r>
        <w:rPr>
          <w:rFonts w:ascii="Times New Roman;sans-serif" w:hAnsi="Times New Roman;sans-serif"/>
          <w:b w:val="false"/>
          <w:color w:val="000000"/>
          <w:sz w:val="20"/>
        </w:rPr>
        <w:t>We rely, and expect to continue to rely, on third parties to conduct our preclinical studies, clinical trials, and manufacturing activities and if these third parties perform in an unsatisfactory manner, our business could be substantially harmed.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f4c434fe772b446ca7e94b1dd2bc86c4_13">
        <w:r>
          <w:rPr>
            <w:rStyle w:val="InternetLink"/>
            <w:rFonts w:ascii="Times New Roman;sans-serif" w:hAnsi="Times New Roman;sans-serif"/>
            <w:b w:val="false"/>
            <w:color w:val="0000FF"/>
            <w:sz w:val="20"/>
            <w:u w:val="single"/>
            <w:shd w:fill="FFFFFF" w:val="clear"/>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Summary of the Material Risks Associated with Our Business (continued)</w:t>
      </w:r>
    </w:p>
    <w:p>
      <w:pPr>
        <w:pStyle w:val="TextBody"/>
        <w:bidi w:val="0"/>
        <w:spacing w:lineRule="auto" w:line="288" w:before="60" w:after="283"/>
        <w:ind w:left="0" w:right="0" w:hanging="450"/>
        <w:jc w:val="both"/>
        <w:rPr/>
      </w:pPr>
      <w:r>
        <w:rPr>
          <w:color w:val="000000"/>
        </w:rPr>
        <w:t>•</w:t>
      </w:r>
      <w:r>
        <w:rPr>
          <w:rFonts w:ascii="Times New Roman;sans-serif" w:hAnsi="Times New Roman;sans-serif"/>
          <w:b w:val="false"/>
          <w:color w:val="000000"/>
          <w:sz w:val="20"/>
        </w:rPr>
        <w:t>Preclinical and clinical development is a long, expensive and uncertain process. We have terminated certain of our programs and may further terminate one or more of our current preclinical and/or clinical development programs.</w:t>
      </w:r>
    </w:p>
    <w:p>
      <w:pPr>
        <w:pStyle w:val="TextBody"/>
        <w:bidi w:val="0"/>
        <w:spacing w:lineRule="auto" w:line="288" w:before="60" w:after="283"/>
        <w:ind w:left="0" w:right="0" w:hanging="450"/>
        <w:jc w:val="both"/>
        <w:rPr/>
      </w:pPr>
      <w:r>
        <w:rPr>
          <w:color w:val="000000"/>
        </w:rPr>
        <w:t>•</w:t>
      </w:r>
      <w:r>
        <w:rPr>
          <w:rFonts w:ascii="Times New Roman;sans-serif" w:hAnsi="Times New Roman;sans-serif"/>
          <w:b w:val="false"/>
          <w:color w:val="000000"/>
          <w:sz w:val="20"/>
        </w:rPr>
        <w:t>We could experience manufacturing problems that result in delays or other material disruptions in our development or commercialization of our programs or otherwise harm our business.</w:t>
      </w:r>
    </w:p>
    <w:p>
      <w:pPr>
        <w:pStyle w:val="TextBody"/>
        <w:bidi w:val="0"/>
        <w:spacing w:lineRule="auto" w:line="288" w:before="60" w:after="283"/>
        <w:ind w:left="0" w:right="0" w:hanging="450"/>
        <w:jc w:val="both"/>
        <w:rPr/>
      </w:pPr>
      <w:r>
        <w:rPr>
          <w:color w:val="000000"/>
        </w:rPr>
        <w:t>•</w:t>
      </w:r>
      <w:r>
        <w:rPr>
          <w:rFonts w:ascii="Times New Roman;sans-serif" w:hAnsi="Times New Roman;sans-serif"/>
          <w:b w:val="false"/>
          <w:color w:val="000000"/>
          <w:sz w:val="20"/>
        </w:rPr>
        <w:t>Business interruptions resulting from the Russia-Ukraine war and the Middle East conflict(s) could cause a disruption in the development of our product candidates and adversely impact our business.</w:t>
      </w:r>
    </w:p>
    <w:p>
      <w:pPr>
        <w:pStyle w:val="TextBody"/>
        <w:bidi w:val="0"/>
        <w:spacing w:lineRule="auto" w:line="288" w:before="60" w:after="283"/>
        <w:ind w:left="0" w:right="0" w:hanging="450"/>
        <w:jc w:val="both"/>
        <w:rPr/>
      </w:pPr>
      <w:r>
        <w:rPr>
          <w:color w:val="000000"/>
        </w:rPr>
        <w:t>•</w:t>
      </w:r>
      <w:r>
        <w:rPr>
          <w:rFonts w:ascii="Times New Roman;sans-serif" w:hAnsi="Times New Roman;sans-serif"/>
          <w:b w:val="false"/>
          <w:color w:val="000000"/>
          <w:sz w:val="20"/>
        </w:rPr>
        <w:t xml:space="preserve">If we are unable to obtain and maintain sufficient patent and other intellectual property protection for our product candidates and technology or other product candidates that may be identified, or if the scope of the intellectual property protection obtained is not sufficiently broad, our competitors could develop and commercialize product candidates similar or identical to the product candidates, and our ability to successfully commercialize the product candidates and other product candidates that we may pursue may be impaired. </w:t>
      </w:r>
    </w:p>
    <w:p>
      <w:pPr>
        <w:pStyle w:val="TextBody"/>
        <w:bidi w:val="0"/>
        <w:spacing w:lineRule="auto" w:line="288" w:before="60" w:after="283"/>
        <w:ind w:left="0" w:right="0" w:hanging="450"/>
        <w:jc w:val="both"/>
        <w:rPr/>
      </w:pPr>
      <w:r>
        <w:rPr>
          <w:color w:val="000000"/>
        </w:rPr>
        <w:t>•</w:t>
      </w:r>
      <w:r>
        <w:rPr>
          <w:rFonts w:ascii="Times New Roman;sans-serif" w:hAnsi="Times New Roman;sans-serif"/>
          <w:b w:val="false"/>
          <w:color w:val="000000"/>
          <w:sz w:val="20"/>
        </w:rPr>
        <w:t>The patent protection we obtain for our product candidates and technology may be challenged or not sufficient enough to provide us with any competitive advantage.</w:t>
      </w:r>
    </w:p>
    <w:p>
      <w:pPr>
        <w:pStyle w:val="TextBody"/>
        <w:bidi w:val="0"/>
        <w:spacing w:lineRule="auto" w:line="288" w:before="60" w:after="283"/>
        <w:ind w:left="0" w:right="0" w:hanging="450"/>
        <w:jc w:val="both"/>
        <w:rPr/>
      </w:pPr>
      <w:r>
        <w:rPr>
          <w:color w:val="000000"/>
        </w:rPr>
        <w:t>•</w:t>
      </w:r>
      <w:r>
        <w:rPr>
          <w:rFonts w:ascii="Times New Roman;sans-serif" w:hAnsi="Times New Roman;sans-serif"/>
          <w:b w:val="false"/>
          <w:color w:val="000000"/>
          <w:sz w:val="20"/>
        </w:rPr>
        <w:t>A number of our programs and associated product candidates are heavily dependent on licensed intellectual property. If we were to lose our rights to licensed intellectual property, we may not be able to continue developing or commercializing our product candidates, if approved. If we breach any of the agreements under which we license the use, development and commercialization rights to our product candidates or technology from third parties or, in certain cases, we fail to meet certain development deadlines, we could lose license rights that are important to our business.</w:t>
      </w:r>
    </w:p>
    <w:p>
      <w:pPr>
        <w:pStyle w:val="TextBody"/>
        <w:bidi w:val="0"/>
        <w:spacing w:lineRule="auto" w:line="288" w:before="60" w:after="283"/>
        <w:ind w:left="0" w:right="0" w:hanging="450"/>
        <w:jc w:val="both"/>
        <w:rPr/>
      </w:pPr>
      <w:r>
        <w:rPr>
          <w:color w:val="000000"/>
        </w:rPr>
        <w:t>•</w:t>
      </w:r>
      <w:r>
        <w:rPr>
          <w:rFonts w:ascii="Times New Roman;sans-serif" w:hAnsi="Times New Roman;sans-serif"/>
          <w:b w:val="false"/>
          <w:color w:val="000000"/>
          <w:sz w:val="20"/>
        </w:rPr>
        <w:t>We have never commercialized a product candidate and we may lack the necessary expertise, personnel and resources to successfully commercialize any of our products that receive regulatory approval on our own or together with collaborators.</w:t>
      </w:r>
    </w:p>
    <w:p>
      <w:pPr>
        <w:pStyle w:val="TextBody"/>
        <w:bidi w:val="0"/>
        <w:spacing w:lineRule="auto" w:line="288" w:before="60" w:after="283"/>
        <w:ind w:left="0" w:right="0" w:hanging="450"/>
        <w:jc w:val="both"/>
        <w:rPr/>
      </w:pPr>
      <w:r>
        <w:rPr>
          <w:color w:val="000000"/>
        </w:rPr>
        <w:t>•</w:t>
      </w:r>
      <w:r>
        <w:rPr>
          <w:rFonts w:ascii="Times New Roman;sans-serif" w:hAnsi="Times New Roman;sans-serif"/>
          <w:b w:val="false"/>
          <w:color w:val="000000"/>
          <w:sz w:val="20"/>
        </w:rPr>
        <w:t>Our international operations may expose us to business, regulatory, legal, political, operational, financial, pricing and reimbursement risks associated with doing business across multiple jurisdictions outside of the United States.</w:t>
      </w:r>
    </w:p>
    <w:p>
      <w:pPr>
        <w:pStyle w:val="TextBody"/>
        <w:bidi w:val="0"/>
        <w:spacing w:lineRule="auto" w:line="288" w:before="60" w:after="283"/>
        <w:ind w:left="0" w:right="0" w:hanging="450"/>
        <w:jc w:val="both"/>
        <w:rPr/>
      </w:pPr>
      <w:r>
        <w:rPr>
          <w:color w:val="000000"/>
        </w:rPr>
        <w:t>•</w:t>
      </w:r>
      <w:r>
        <w:rPr>
          <w:rFonts w:ascii="Times New Roman;sans-serif" w:hAnsi="Times New Roman;sans-serif"/>
          <w:b w:val="false"/>
          <w:color w:val="000000"/>
          <w:sz w:val="20"/>
        </w:rPr>
        <w:t>We are an emerging growth company and a smaller reporting company, and we cannot be certain if the reduced reporting requirements applicable to emerging growth companies and smaller reporting companies will make our ADSs less attractive to investors.</w:t>
      </w:r>
    </w:p>
    <w:p>
      <w:pPr>
        <w:pStyle w:val="TextBody"/>
        <w:bidi w:val="0"/>
        <w:spacing w:lineRule="auto" w:line="288" w:before="60" w:after="283"/>
        <w:ind w:left="0" w:right="0" w:hanging="450"/>
        <w:jc w:val="both"/>
        <w:rPr/>
      </w:pPr>
      <w:r>
        <w:rPr>
          <w:color w:val="000000"/>
        </w:rPr>
        <w:t>•</w:t>
      </w:r>
      <w:r>
        <w:rPr>
          <w:rFonts w:ascii="Times New Roman;sans-serif" w:hAnsi="Times New Roman;sans-serif"/>
          <w:b w:val="false"/>
          <w:color w:val="000000"/>
          <w:sz w:val="20"/>
        </w:rPr>
        <w:t>We previously had material weaknesses in our internal control systems over financial reporting, which have been remediated. We may identify new material weaknesses in the future that may cause us to fail to meet our reporting obligations or result in material misstatements in our financial statements. If we fail to remediate any new material weaknesses, we may not be able to report our financial results accurately or to prevent fraud.</w:t>
      </w:r>
    </w:p>
    <w:p>
      <w:pPr>
        <w:pStyle w:val="TextBody"/>
        <w:bidi w:val="0"/>
        <w:spacing w:lineRule="auto" w:line="288" w:before="60" w:after="283"/>
        <w:ind w:left="0" w:right="0" w:hanging="450"/>
        <w:jc w:val="both"/>
        <w:rPr/>
      </w:pPr>
      <w:r>
        <w:rPr>
          <w:color w:val="000000"/>
        </w:rPr>
        <w:t>•</w:t>
      </w:r>
      <w:r>
        <w:rPr>
          <w:rFonts w:ascii="Times New Roman;sans-serif" w:hAnsi="Times New Roman;sans-serif"/>
          <w:b w:val="false"/>
          <w:color w:val="000000"/>
          <w:sz w:val="20"/>
        </w:rPr>
        <w:t>If we fail to develop or maintain an effective system of disclosure controls and internal control over financial reporting, our ability to produce timely and accurate financial statements or comply with applicable regulations could be impaired.</w:t>
      </w:r>
    </w:p>
    <w:p>
      <w:pPr>
        <w:pStyle w:val="TextBody"/>
        <w:bidi w:val="0"/>
        <w:spacing w:lineRule="auto" w:line="288" w:before="60" w:after="283"/>
        <w:ind w:left="0" w:right="0" w:hanging="450"/>
        <w:jc w:val="both"/>
        <w:rPr/>
      </w:pPr>
      <w:r>
        <w:rPr>
          <w:color w:val="000000"/>
        </w:rPr>
        <w:t>•</w:t>
      </w:r>
      <w:r>
        <w:rPr>
          <w:rFonts w:ascii="Times New Roman;sans-serif" w:hAnsi="Times New Roman;sans-serif"/>
          <w:b w:val="false"/>
          <w:color w:val="000000"/>
          <w:sz w:val="20"/>
        </w:rPr>
        <w:t>Holders of ADSs may be subject to limitations on the transfer of their ADSs and the withdrawal of the underlying ordinary shares.</w:t>
      </w:r>
    </w:p>
    <w:p>
      <w:pPr>
        <w:pStyle w:val="TextBody"/>
        <w:bidi w:val="0"/>
        <w:spacing w:lineRule="auto" w:line="288" w:before="60" w:after="283"/>
        <w:ind w:left="0" w:right="0" w:hanging="450"/>
        <w:jc w:val="both"/>
        <w:rPr/>
      </w:pPr>
      <w:r>
        <w:rPr>
          <w:color w:val="000000"/>
        </w:rPr>
        <w:t>•</w:t>
      </w:r>
      <w:r>
        <w:rPr>
          <w:rFonts w:ascii="Times New Roman;sans-serif" w:hAnsi="Times New Roman;sans-serif"/>
          <w:b w:val="false"/>
          <w:color w:val="000000"/>
          <w:sz w:val="20"/>
        </w:rPr>
        <w:t>While we do not believe we were a “passive foreign investment company” (“PFIC”) in 2023, there is uncertainty</w:t>
      </w:r>
      <w:r>
        <w:rPr>
          <w:color w:val="000000"/>
        </w:rPr>
        <w:t xml:space="preserve"> </w:t>
      </w:r>
      <w:r>
        <w:rPr>
          <w:rFonts w:ascii="Times New Roman;sans-serif" w:hAnsi="Times New Roman;sans-serif"/>
          <w:b w:val="false"/>
          <w:color w:val="000000"/>
          <w:sz w:val="20"/>
        </w:rPr>
        <w:t>a</w:t>
      </w:r>
      <w:r>
        <w:rPr>
          <w:rFonts w:ascii="Times New Roman;sans-serif" w:hAnsi="Times New Roman;sans-serif"/>
          <w:b w:val="false"/>
          <w:color w:val="000000"/>
          <w:sz w:val="20"/>
          <w:shd w:fill="FFFFFF" w:val="clear"/>
        </w:rPr>
        <w:t>s to whether we are or will be a PFIC in the past or in the future. If we are a PFIC, there could be material adverse U.S. federal income tax consequences to U.S. 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f4c434fe772b446ca7e94b1dd2bc86c4_13">
        <w:r>
          <w:rPr>
            <w:rStyle w:val="InternetLink"/>
            <w:rFonts w:ascii="Times New Roman;sans-serif" w:hAnsi="Times New Roman;sans-serif"/>
            <w:b w:val="false"/>
            <w:color w:val="0000FF"/>
            <w:sz w:val="20"/>
            <w:u w:val="single"/>
            <w:shd w:fill="FFFFFF" w:val="clear"/>
          </w:rPr>
          <w:t>Table of Contents</w:t>
        </w:r>
      </w:hyperlink>
    </w:p>
    <w:p>
      <w:pPr>
        <w:pStyle w:val="TextBody"/>
        <w:bidi w:val="0"/>
        <w:spacing w:lineRule="auto" w:line="300"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8866" w:type="dxa"/>
        <w:jc w:val="left"/>
        <w:tblInd w:w="0" w:type="dxa"/>
        <w:tblLayout w:type="fixed"/>
        <w:tblCellMar>
          <w:top w:w="28" w:type="dxa"/>
          <w:left w:w="28" w:type="dxa"/>
          <w:bottom w:w="28" w:type="dxa"/>
          <w:right w:w="28" w:type="dxa"/>
        </w:tblCellMar>
      </w:tblPr>
      <w:tblGrid>
        <w:gridCol w:w="337"/>
        <w:gridCol w:w="295"/>
        <w:gridCol w:w="298"/>
        <w:gridCol w:w="2453"/>
        <w:gridCol w:w="2453"/>
        <w:gridCol w:w="2459"/>
        <w:gridCol w:w="167"/>
        <w:gridCol w:w="167"/>
        <w:gridCol w:w="237"/>
      </w:tblGrid>
      <w:tr>
        <w:trPr/>
        <w:tc>
          <w:tcPr>
            <w:tcW w:w="337"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4c434fe772b446ca7e94b1dd2bc86c4_16">
              <w:r>
                <w:rPr>
                  <w:rStyle w:val="InternetLink"/>
                  <w:rFonts w:ascii="Times New Roman;sans-serif" w:hAnsi="Times New Roman;sans-serif"/>
                  <w:b/>
                  <w:color w:val="0000FF"/>
                  <w:sz w:val="20"/>
                  <w:u w:val="single"/>
                </w:rPr>
                <w:t xml:space="preserve">PART I. </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4c434fe772b446ca7e94b1dd2bc86c4_16">
              <w:r>
                <w:rPr>
                  <w:rStyle w:val="InternetLink"/>
                  <w:rFonts w:ascii="Times New Roman;sans-serif" w:hAnsi="Times New Roman;sans-serif"/>
                  <w:b w:val="false"/>
                  <w:color w:val="0000FF"/>
                  <w:sz w:val="20"/>
                  <w:u w:val="single"/>
                </w:rPr>
                <w:t>FINANCIAL INFORMATION</w:t>
              </w:r>
            </w:hyperlink>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w:anchor="if4c434fe772b446ca7e94b1dd2bc86c4_16">
              <w:r>
                <w:rPr>
                  <w:rStyle w:val="InternetLink"/>
                  <w:rFonts w:ascii="Times New Roman;sans-serif" w:hAnsi="Times New Roman;sans-serif"/>
                  <w:b w:val="false"/>
                  <w:strike w:val="false"/>
                  <w:dstrike w:val="false"/>
                  <w:color w:val="000000"/>
                  <w:sz w:val="20"/>
                  <w:u w:val="none"/>
                  <w:effect w:val="none"/>
                </w:rPr>
                <w:t>6</w:t>
              </w:r>
            </w:hyperlink>
          </w:p>
        </w:tc>
      </w:tr>
      <w:tr>
        <w:trPr/>
        <w:tc>
          <w:tcPr>
            <w:tcW w:w="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4c434fe772b446ca7e94b1dd2bc86c4_19">
              <w:r>
                <w:rPr>
                  <w:rStyle w:val="InternetLink"/>
                  <w:rFonts w:ascii="Times New Roman;sans-serif" w:hAnsi="Times New Roman;sans-serif"/>
                  <w:b w:val="false"/>
                  <w:color w:val="0000FF"/>
                  <w:sz w:val="20"/>
                  <w:u w:val="single"/>
                </w:rPr>
                <w:t>Item 1.</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4c434fe772b446ca7e94b1dd2bc86c4_19">
              <w:r>
                <w:rPr>
                  <w:rStyle w:val="InternetLink"/>
                  <w:rFonts w:ascii="Times New Roman;sans-serif" w:hAnsi="Times New Roman;sans-serif"/>
                  <w:b w:val="false"/>
                  <w:color w:val="0000FF"/>
                  <w:sz w:val="20"/>
                  <w:u w:val="single"/>
                </w:rPr>
                <w:t>Financial Statements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4c434fe772b446ca7e94b1dd2bc86c4_19">
              <w:r>
                <w:rPr>
                  <w:rStyle w:val="InternetLink"/>
                  <w:rFonts w:ascii="Times New Roman;sans-serif" w:hAnsi="Times New Roman;sans-serif"/>
                  <w:b w:val="false"/>
                  <w:strike w:val="false"/>
                  <w:dstrike w:val="false"/>
                  <w:color w:val="000000"/>
                  <w:sz w:val="20"/>
                  <w:u w:val="none"/>
                  <w:effect w:val="none"/>
                </w:rPr>
                <w:t>6</w:t>
              </w:r>
            </w:hyperlink>
          </w:p>
        </w:tc>
      </w:tr>
      <w:tr>
        <w:trPr/>
        <w:tc>
          <w:tcPr>
            <w:tcW w:w="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4c434fe772b446ca7e94b1dd2bc86c4_22">
              <w:r>
                <w:rPr>
                  <w:rStyle w:val="InternetLink"/>
                  <w:rFonts w:ascii="Times New Roman;sans-serif" w:hAnsi="Times New Roman;sans-serif"/>
                  <w:b w:val="false"/>
                  <w:color w:val="0000FF"/>
                  <w:sz w:val="20"/>
                  <w:u w:val="single"/>
                </w:rPr>
                <w:t>Consolidated Balance Sheets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4c434fe772b446ca7e94b1dd2bc86c4_22">
              <w:r>
                <w:rPr>
                  <w:rStyle w:val="InternetLink"/>
                  <w:rFonts w:ascii="Times New Roman;sans-serif" w:hAnsi="Times New Roman;sans-serif"/>
                  <w:b w:val="false"/>
                  <w:strike w:val="false"/>
                  <w:dstrike w:val="false"/>
                  <w:color w:val="000000"/>
                  <w:sz w:val="20"/>
                  <w:u w:val="none"/>
                  <w:effect w:val="none"/>
                </w:rPr>
                <w:t>6</w:t>
              </w:r>
            </w:hyperlink>
          </w:p>
        </w:tc>
      </w:tr>
      <w:tr>
        <w:trPr/>
        <w:tc>
          <w:tcPr>
            <w:tcW w:w="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4c434fe772b446ca7e94b1dd2bc86c4_25">
              <w:r>
                <w:rPr>
                  <w:rStyle w:val="InternetLink"/>
                  <w:rFonts w:ascii="Times New Roman;sans-serif" w:hAnsi="Times New Roman;sans-serif"/>
                  <w:b w:val="false"/>
                  <w:color w:val="0000FF"/>
                  <w:sz w:val="20"/>
                  <w:u w:val="single"/>
                </w:rPr>
                <w:t>Consolidated Statements of Operations and Comprehensive Loss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4c434fe772b446ca7e94b1dd2bc86c4_25">
              <w:r>
                <w:rPr>
                  <w:rStyle w:val="InternetLink"/>
                  <w:rFonts w:ascii="Times New Roman;sans-serif" w:hAnsi="Times New Roman;sans-serif"/>
                  <w:b w:val="false"/>
                  <w:strike w:val="false"/>
                  <w:dstrike w:val="false"/>
                  <w:color w:val="000000"/>
                  <w:sz w:val="20"/>
                  <w:u w:val="none"/>
                  <w:effect w:val="none"/>
                </w:rPr>
                <w:t>7</w:t>
              </w:r>
            </w:hyperlink>
          </w:p>
        </w:tc>
      </w:tr>
      <w:tr>
        <w:trPr/>
        <w:tc>
          <w:tcPr>
            <w:tcW w:w="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4c434fe772b446ca7e94b1dd2bc86c4_28">
              <w:r>
                <w:rPr>
                  <w:rStyle w:val="InternetLink"/>
                  <w:rFonts w:ascii="Times New Roman;sans-serif" w:hAnsi="Times New Roman;sans-serif"/>
                  <w:b w:val="false"/>
                  <w:color w:val="0000FF"/>
                  <w:sz w:val="20"/>
                  <w:u w:val="single"/>
                </w:rPr>
                <w:t>Consolidated Statements of Shareholders’ Equity</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4c434fe772b446ca7e94b1dd2bc86c4_28">
              <w:r>
                <w:rPr>
                  <w:rStyle w:val="InternetLink"/>
                  <w:rFonts w:ascii="Times New Roman;sans-serif" w:hAnsi="Times New Roman;sans-serif"/>
                  <w:b w:val="false"/>
                  <w:strike w:val="false"/>
                  <w:dstrike w:val="false"/>
                  <w:color w:val="000000"/>
                  <w:sz w:val="20"/>
                  <w:u w:val="none"/>
                  <w:effect w:val="none"/>
                </w:rPr>
                <w:t>8</w:t>
              </w:r>
            </w:hyperlink>
          </w:p>
        </w:tc>
      </w:tr>
      <w:tr>
        <w:trPr/>
        <w:tc>
          <w:tcPr>
            <w:tcW w:w="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4c434fe772b446ca7e94b1dd2bc86c4_31">
              <w:r>
                <w:rPr>
                  <w:rStyle w:val="InternetLink"/>
                  <w:rFonts w:ascii="Times New Roman;sans-serif" w:hAnsi="Times New Roman;sans-serif"/>
                  <w:b w:val="false"/>
                  <w:color w:val="0000FF"/>
                  <w:sz w:val="20"/>
                  <w:u w:val="single"/>
                </w:rPr>
                <w:t>Consolidated Statements of Cash Flows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4c434fe772b446ca7e94b1dd2bc86c4_31">
              <w:r>
                <w:rPr>
                  <w:rStyle w:val="InternetLink"/>
                  <w:rFonts w:ascii="Times New Roman;sans-serif" w:hAnsi="Times New Roman;sans-serif"/>
                  <w:b w:val="false"/>
                  <w:strike w:val="false"/>
                  <w:dstrike w:val="false"/>
                  <w:color w:val="000000"/>
                  <w:sz w:val="20"/>
                  <w:u w:val="none"/>
                  <w:effect w:val="none"/>
                </w:rPr>
                <w:t>9</w:t>
              </w:r>
            </w:hyperlink>
          </w:p>
        </w:tc>
      </w:tr>
      <w:tr>
        <w:trPr/>
        <w:tc>
          <w:tcPr>
            <w:tcW w:w="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4c434fe772b446ca7e94b1dd2bc86c4_34">
              <w:r>
                <w:rPr>
                  <w:rStyle w:val="InternetLink"/>
                  <w:rFonts w:ascii="Times New Roman;sans-serif" w:hAnsi="Times New Roman;sans-serif"/>
                  <w:b w:val="false"/>
                  <w:color w:val="0000FF"/>
                  <w:sz w:val="20"/>
                  <w:u w:val="single"/>
                </w:rPr>
                <w:t xml:space="preserve">Notes to Unaudited Consolidated Financial Statements </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4c434fe772b446ca7e94b1dd2bc86c4_34">
              <w:r>
                <w:rPr>
                  <w:rStyle w:val="InternetLink"/>
                  <w:rFonts w:ascii="Times New Roman;sans-serif" w:hAnsi="Times New Roman;sans-serif"/>
                  <w:b w:val="false"/>
                  <w:strike w:val="false"/>
                  <w:dstrike w:val="false"/>
                  <w:color w:val="000000"/>
                  <w:sz w:val="20"/>
                  <w:u w:val="none"/>
                  <w:effect w:val="none"/>
                </w:rPr>
                <w:t>10</w:t>
              </w:r>
            </w:hyperlink>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4c434fe772b446ca7e94b1dd2bc86c4_64">
              <w:r>
                <w:rPr>
                  <w:rStyle w:val="InternetLink"/>
                  <w:rFonts w:ascii="Times New Roman;sans-serif" w:hAnsi="Times New Roman;sans-serif"/>
                  <w:b w:val="false"/>
                  <w:color w:val="0000FF"/>
                  <w:sz w:val="20"/>
                  <w:u w:val="single"/>
                </w:rPr>
                <w:t>Item 2.</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4c434fe772b446ca7e94b1dd2bc86c4_64">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4c434fe772b446ca7e94b1dd2bc86c4_64">
              <w:r>
                <w:rPr>
                  <w:rStyle w:val="InternetLink"/>
                  <w:rFonts w:ascii="Times New Roman;sans-serif" w:hAnsi="Times New Roman;sans-serif"/>
                  <w:b w:val="false"/>
                  <w:strike w:val="false"/>
                  <w:dstrike w:val="false"/>
                  <w:color w:val="000000"/>
                  <w:sz w:val="20"/>
                  <w:u w:val="none"/>
                  <w:effect w:val="none"/>
                </w:rPr>
                <w:t>25</w:t>
              </w:r>
            </w:hyperlink>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4c434fe772b446ca7e94b1dd2bc86c4_88">
              <w:r>
                <w:rPr>
                  <w:rStyle w:val="InternetLink"/>
                  <w:rFonts w:ascii="Times New Roman;sans-serif" w:hAnsi="Times New Roman;sans-serif"/>
                  <w:b w:val="false"/>
                  <w:color w:val="0000FF"/>
                  <w:sz w:val="20"/>
                  <w:u w:val="single"/>
                </w:rPr>
                <w:t>Item 3.</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4c434fe772b446ca7e94b1dd2bc86c4_88">
              <w:r>
                <w:rPr>
                  <w:rStyle w:val="InternetLink"/>
                  <w:rFonts w:ascii="Times New Roman;sans-serif" w:hAnsi="Times New Roman;sans-serif"/>
                  <w:b w:val="false"/>
                  <w:color w:val="0000FF"/>
                  <w:sz w:val="20"/>
                  <w:u w:val="single"/>
                </w:rPr>
                <w:t>Quantitative and Qualitative Disclosure About Market Risk</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4c434fe772b446ca7e94b1dd2bc86c4_88">
              <w:r>
                <w:rPr>
                  <w:rStyle w:val="InternetLink"/>
                  <w:rFonts w:ascii="Times New Roman;sans-serif" w:hAnsi="Times New Roman;sans-serif"/>
                  <w:b w:val="false"/>
                  <w:strike w:val="false"/>
                  <w:dstrike w:val="false"/>
                  <w:color w:val="000000"/>
                  <w:sz w:val="20"/>
                  <w:u w:val="none"/>
                  <w:effect w:val="none"/>
                </w:rPr>
                <w:t>35</w:t>
              </w:r>
            </w:hyperlink>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4c434fe772b446ca7e94b1dd2bc86c4_91">
              <w:r>
                <w:rPr>
                  <w:rStyle w:val="InternetLink"/>
                  <w:rFonts w:ascii="Times New Roman;sans-serif" w:hAnsi="Times New Roman;sans-serif"/>
                  <w:b w:val="false"/>
                  <w:color w:val="0000FF"/>
                  <w:sz w:val="20"/>
                  <w:u w:val="single"/>
                </w:rPr>
                <w:t>Item 4.</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4c434fe772b446ca7e94b1dd2bc86c4_91">
              <w:r>
                <w:rPr>
                  <w:rStyle w:val="InternetLink"/>
                  <w:rFonts w:ascii="Times New Roman;sans-serif" w:hAnsi="Times New Roman;sans-serif"/>
                  <w:b w:val="false"/>
                  <w:color w:val="0000FF"/>
                  <w:sz w:val="20"/>
                  <w:u w:val="single"/>
                </w:rPr>
                <w:t>Controls and Procedures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4c434fe772b446ca7e94b1dd2bc86c4_91">
              <w:r>
                <w:rPr>
                  <w:rStyle w:val="InternetLink"/>
                  <w:rFonts w:ascii="Times New Roman;sans-serif" w:hAnsi="Times New Roman;sans-serif"/>
                  <w:b w:val="false"/>
                  <w:strike w:val="false"/>
                  <w:dstrike w:val="false"/>
                  <w:color w:val="000000"/>
                  <w:sz w:val="20"/>
                  <w:u w:val="none"/>
                  <w:effect w:val="none"/>
                </w:rPr>
                <w:t>35</w:t>
              </w:r>
            </w:hyperlink>
          </w:p>
        </w:tc>
      </w:tr>
      <w:tr>
        <w:trPr/>
        <w:tc>
          <w:tcPr>
            <w:tcW w:w="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4c434fe772b446ca7e94b1dd2bc86c4_94">
              <w:r>
                <w:rPr>
                  <w:rStyle w:val="InternetLink"/>
                  <w:rFonts w:ascii="Times New Roman;sans-serif" w:hAnsi="Times New Roman;sans-serif"/>
                  <w:b/>
                  <w:color w:val="0000FF"/>
                  <w:sz w:val="20"/>
                  <w:u w:val="single"/>
                </w:rPr>
                <w:t xml:space="preserve">PART II. </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4c434fe772b446ca7e94b1dd2bc86c4_94">
              <w:r>
                <w:rPr>
                  <w:rStyle w:val="InternetLink"/>
                  <w:rFonts w:ascii="Times New Roman;sans-serif" w:hAnsi="Times New Roman;sans-serif"/>
                  <w:b w:val="false"/>
                  <w:color w:val="0000FF"/>
                  <w:sz w:val="20"/>
                  <w:u w:val="single"/>
                </w:rPr>
                <w:t>OTHER INFORMATION</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4c434fe772b446ca7e94b1dd2bc86c4_94">
              <w:r>
                <w:rPr>
                  <w:rStyle w:val="InternetLink"/>
                  <w:rFonts w:ascii="Times New Roman;sans-serif" w:hAnsi="Times New Roman;sans-serif"/>
                  <w:b w:val="false"/>
                  <w:strike w:val="false"/>
                  <w:dstrike w:val="false"/>
                  <w:color w:val="000000"/>
                  <w:sz w:val="20"/>
                  <w:u w:val="none"/>
                  <w:effect w:val="none"/>
                </w:rPr>
                <w:t>36</w:t>
              </w:r>
            </w:hyperlink>
          </w:p>
        </w:tc>
      </w:tr>
      <w:tr>
        <w:trPr/>
        <w:tc>
          <w:tcPr>
            <w:tcW w:w="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4c434fe772b446ca7e94b1dd2bc86c4_97">
              <w:r>
                <w:rPr>
                  <w:rStyle w:val="InternetLink"/>
                  <w:rFonts w:ascii="Times New Roman;sans-serif" w:hAnsi="Times New Roman;sans-serif"/>
                  <w:b w:val="false"/>
                  <w:color w:val="0000FF"/>
                  <w:sz w:val="20"/>
                  <w:u w:val="single"/>
                </w:rPr>
                <w:t>Item 1.</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4c434fe772b446ca7e94b1dd2bc86c4_97">
              <w:r>
                <w:rPr>
                  <w:rStyle w:val="InternetLink"/>
                  <w:rFonts w:ascii="Times New Roman;sans-serif" w:hAnsi="Times New Roman;sans-serif"/>
                  <w:b w:val="false"/>
                  <w:color w:val="0000FF"/>
                  <w:sz w:val="20"/>
                  <w:u w:val="single"/>
                </w:rPr>
                <w:t>Legal Proceedings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4c434fe772b446ca7e94b1dd2bc86c4_97">
              <w:r>
                <w:rPr>
                  <w:rStyle w:val="InternetLink"/>
                  <w:rFonts w:ascii="Times New Roman;sans-serif" w:hAnsi="Times New Roman;sans-serif"/>
                  <w:b w:val="false"/>
                  <w:strike w:val="false"/>
                  <w:dstrike w:val="false"/>
                  <w:color w:val="000000"/>
                  <w:sz w:val="20"/>
                  <w:u w:val="none"/>
                  <w:effect w:val="none"/>
                </w:rPr>
                <w:t>36</w:t>
              </w:r>
            </w:hyperlink>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4c434fe772b446ca7e94b1dd2bc86c4_100">
              <w:r>
                <w:rPr>
                  <w:rStyle w:val="InternetLink"/>
                  <w:rFonts w:ascii="Times New Roman;sans-serif" w:hAnsi="Times New Roman;sans-serif"/>
                  <w:b w:val="false"/>
                  <w:color w:val="0000FF"/>
                  <w:sz w:val="20"/>
                  <w:u w:val="single"/>
                </w:rPr>
                <w:t>Item 1A.</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4c434fe772b446ca7e94b1dd2bc86c4_100">
              <w:r>
                <w:rPr>
                  <w:rStyle w:val="InternetLink"/>
                  <w:rFonts w:ascii="Times New Roman;sans-serif" w:hAnsi="Times New Roman;sans-serif"/>
                  <w:b w:val="false"/>
                  <w:color w:val="0000FF"/>
                  <w:sz w:val="20"/>
                  <w:u w:val="single"/>
                </w:rPr>
                <w:t>Risk Factors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4c434fe772b446ca7e94b1dd2bc86c4_100">
              <w:r>
                <w:rPr>
                  <w:rStyle w:val="InternetLink"/>
                  <w:rFonts w:ascii="Times New Roman;sans-serif" w:hAnsi="Times New Roman;sans-serif"/>
                  <w:b w:val="false"/>
                  <w:strike w:val="false"/>
                  <w:dstrike w:val="false"/>
                  <w:color w:val="000000"/>
                  <w:sz w:val="20"/>
                  <w:u w:val="none"/>
                  <w:effect w:val="none"/>
                </w:rPr>
                <w:t>36</w:t>
              </w:r>
            </w:hyperlink>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4c434fe772b446ca7e94b1dd2bc86c4_127">
              <w:r>
                <w:rPr>
                  <w:rStyle w:val="InternetLink"/>
                  <w:rFonts w:ascii="Times New Roman;sans-serif" w:hAnsi="Times New Roman;sans-serif"/>
                  <w:b w:val="false"/>
                  <w:color w:val="0000FF"/>
                  <w:sz w:val="20"/>
                  <w:u w:val="single"/>
                </w:rPr>
                <w:t>Item 2.</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4c434fe772b446ca7e94b1dd2bc86c4_127">
              <w:r>
                <w:rPr>
                  <w:rStyle w:val="InternetLink"/>
                  <w:rFonts w:ascii="Times New Roman;sans-serif" w:hAnsi="Times New Roman;sans-serif"/>
                  <w:b w:val="false"/>
                  <w:color w:val="0000FF"/>
                  <w:sz w:val="20"/>
                  <w:u w:val="single"/>
                </w:rPr>
                <w:t>Unregistered Sales of Equity Securities and Use of Proceeds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4c434fe772b446ca7e94b1dd2bc86c4_127">
              <w:r>
                <w:rPr>
                  <w:rStyle w:val="InternetLink"/>
                  <w:rFonts w:ascii="Times New Roman;sans-serif" w:hAnsi="Times New Roman;sans-serif"/>
                  <w:b w:val="false"/>
                  <w:strike w:val="false"/>
                  <w:dstrike w:val="false"/>
                  <w:color w:val="000000"/>
                  <w:sz w:val="20"/>
                  <w:u w:val="none"/>
                  <w:effect w:val="none"/>
                </w:rPr>
                <w:t>103</w:t>
              </w:r>
            </w:hyperlink>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4c434fe772b446ca7e94b1dd2bc86c4_130">
              <w:r>
                <w:rPr>
                  <w:rStyle w:val="InternetLink"/>
                  <w:rFonts w:ascii="Times New Roman;sans-serif" w:hAnsi="Times New Roman;sans-serif"/>
                  <w:b w:val="false"/>
                  <w:color w:val="0000FF"/>
                  <w:sz w:val="20"/>
                  <w:u w:val="single"/>
                </w:rPr>
                <w:t>Item 3.</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4c434fe772b446ca7e94b1dd2bc86c4_130">
              <w:r>
                <w:rPr>
                  <w:rStyle w:val="InternetLink"/>
                  <w:rFonts w:ascii="Times New Roman;sans-serif" w:hAnsi="Times New Roman;sans-serif"/>
                  <w:b w:val="false"/>
                  <w:color w:val="0000FF"/>
                  <w:sz w:val="20"/>
                  <w:u w:val="single"/>
                </w:rPr>
                <w:t>Defaults Upon Senior Securities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4c434fe772b446ca7e94b1dd2bc86c4_130">
              <w:r>
                <w:rPr>
                  <w:rStyle w:val="InternetLink"/>
                  <w:rFonts w:ascii="Times New Roman;sans-serif" w:hAnsi="Times New Roman;sans-serif"/>
                  <w:b w:val="false"/>
                  <w:strike w:val="false"/>
                  <w:dstrike w:val="false"/>
                  <w:color w:val="000000"/>
                  <w:sz w:val="20"/>
                  <w:u w:val="none"/>
                  <w:effect w:val="none"/>
                </w:rPr>
                <w:t>103</w:t>
              </w:r>
            </w:hyperlink>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4c434fe772b446ca7e94b1dd2bc86c4_133">
              <w:r>
                <w:rPr>
                  <w:rStyle w:val="InternetLink"/>
                  <w:rFonts w:ascii="Times New Roman;sans-serif" w:hAnsi="Times New Roman;sans-serif"/>
                  <w:b w:val="false"/>
                  <w:color w:val="0000FF"/>
                  <w:sz w:val="20"/>
                  <w:u w:val="single"/>
                </w:rPr>
                <w:t>Item 4.</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4c434fe772b446ca7e94b1dd2bc86c4_133">
              <w:r>
                <w:rPr>
                  <w:rStyle w:val="InternetLink"/>
                  <w:rFonts w:ascii="Times New Roman;sans-serif" w:hAnsi="Times New Roman;sans-serif"/>
                  <w:b w:val="false"/>
                  <w:color w:val="0000FF"/>
                  <w:sz w:val="20"/>
                  <w:u w:val="single"/>
                </w:rPr>
                <w:t>Mine Safety Disclosures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4c434fe772b446ca7e94b1dd2bc86c4_133">
              <w:r>
                <w:rPr>
                  <w:rStyle w:val="InternetLink"/>
                  <w:rFonts w:ascii="Times New Roman;sans-serif" w:hAnsi="Times New Roman;sans-serif"/>
                  <w:b w:val="false"/>
                  <w:strike w:val="false"/>
                  <w:dstrike w:val="false"/>
                  <w:color w:val="000000"/>
                  <w:sz w:val="20"/>
                  <w:u w:val="none"/>
                  <w:effect w:val="none"/>
                </w:rPr>
                <w:t>103</w:t>
              </w:r>
            </w:hyperlink>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4c434fe772b446ca7e94b1dd2bc86c4_136">
              <w:r>
                <w:rPr>
                  <w:rStyle w:val="InternetLink"/>
                  <w:rFonts w:ascii="Times New Roman;sans-serif" w:hAnsi="Times New Roman;sans-serif"/>
                  <w:b w:val="false"/>
                  <w:color w:val="0000FF"/>
                  <w:sz w:val="20"/>
                  <w:u w:val="single"/>
                </w:rPr>
                <w:t>Item 5.</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4c434fe772b446ca7e94b1dd2bc86c4_136">
              <w:r>
                <w:rPr>
                  <w:rStyle w:val="InternetLink"/>
                  <w:rFonts w:ascii="Times New Roman;sans-serif" w:hAnsi="Times New Roman;sans-serif"/>
                  <w:b w:val="false"/>
                  <w:color w:val="0000FF"/>
                  <w:sz w:val="20"/>
                  <w:u w:val="single"/>
                </w:rPr>
                <w:t>Other Information</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4c434fe772b446ca7e94b1dd2bc86c4_136">
              <w:r>
                <w:rPr>
                  <w:rStyle w:val="InternetLink"/>
                  <w:rFonts w:ascii="Times New Roman;sans-serif" w:hAnsi="Times New Roman;sans-serif"/>
                  <w:b w:val="false"/>
                  <w:strike w:val="false"/>
                  <w:dstrike w:val="false"/>
                  <w:color w:val="000000"/>
                  <w:sz w:val="20"/>
                  <w:u w:val="none"/>
                  <w:effect w:val="none"/>
                </w:rPr>
                <w:t>103</w:t>
              </w:r>
            </w:hyperlink>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Item 6.</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4c434fe772b446ca7e94b1dd2bc86c4_139">
              <w:r>
                <w:rPr>
                  <w:rStyle w:val="InternetLink"/>
                  <w:rFonts w:ascii="Times New Roman;sans-serif" w:hAnsi="Times New Roman;sans-serif"/>
                  <w:b w:val="false"/>
                  <w:color w:val="0000FF"/>
                  <w:sz w:val="20"/>
                  <w:u w:val="single"/>
                </w:rPr>
                <w:t>Exhibits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4c434fe772b446ca7e94b1dd2bc86c4_139">
              <w:r>
                <w:rPr>
                  <w:rStyle w:val="InternetLink"/>
                  <w:rFonts w:ascii="Times New Roman;sans-serif" w:hAnsi="Times New Roman;sans-serif"/>
                  <w:b w:val="false"/>
                  <w:strike w:val="false"/>
                  <w:dstrike w:val="false"/>
                  <w:color w:val="000000"/>
                  <w:sz w:val="20"/>
                  <w:u w:val="none"/>
                  <w:effect w:val="none"/>
                </w:rPr>
                <w:t>104</w:t>
              </w:r>
            </w:hyperlink>
          </w:p>
        </w:tc>
      </w:tr>
      <w:tr>
        <w:trPr/>
        <w:tc>
          <w:tcPr>
            <w:tcW w:w="8295"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f4c434fe772b446ca7e94b1dd2bc86c4_142">
              <w:r>
                <w:rPr>
                  <w:rStyle w:val="InternetLink"/>
                  <w:rFonts w:ascii="Times New Roman;sans-serif" w:hAnsi="Times New Roman;sans-serif"/>
                  <w:b w:val="false"/>
                  <w:color w:val="0000FF"/>
                  <w:sz w:val="20"/>
                  <w:u w:val="single"/>
                </w:rPr>
                <w:t>Signatures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4c434fe772b446ca7e94b1dd2bc86c4_142">
              <w:r>
                <w:rPr>
                  <w:rStyle w:val="InternetLink"/>
                  <w:rFonts w:ascii="Times New Roman;sans-serif" w:hAnsi="Times New Roman;sans-serif"/>
                  <w:b w:val="false"/>
                  <w:strike w:val="false"/>
                  <w:dstrike w:val="false"/>
                  <w:color w:val="000000"/>
                  <w:sz w:val="20"/>
                  <w:u w:val="none"/>
                  <w:effect w:val="none"/>
                </w:rPr>
                <w:t>105</w:t>
              </w:r>
            </w:hyperlink>
          </w:p>
        </w:tc>
      </w:tr>
    </w:tbl>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f4c434fe772b446ca7e94b1dd2bc86c4_13">
        <w:r>
          <w:rPr>
            <w:rStyle w:val="InternetLink"/>
            <w:rFonts w:ascii="Times New Roman;sans-serif" w:hAnsi="Times New Roman;sans-serif"/>
            <w:b w:val="false"/>
            <w:color w:val="0000FF"/>
            <w:sz w:val="20"/>
            <w:u w:val="single"/>
            <w:shd w:fill="FFFFFF" w:val="clear"/>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SPECIAL NOTE REGARDING FORWARD-LOOKING STATEMENTS</w:t>
      </w:r>
    </w:p>
    <w:p>
      <w:pPr>
        <w:pStyle w:val="TextBody"/>
        <w:bidi w:val="0"/>
        <w:spacing w:lineRule="auto" w:line="26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(“10-Q”), contains express or implied forward-looking statements within the meaning of Section 27A of the Securities Act of 1933, as amended, and Section 21E of the Securities Exchange Act of 1934, as amended, that involve substantial risks and uncertainties. In some cases, forward-looking statements may be identified by the words “may,” “might,” “will,” “could,” “would,” “should,” “expect,” “intend,” “plan,” “objective,” “anticipate,” “believe,” “estimate,” “predict,” “potential,” “continue,” “ongoing,” “aim,” “seek,” “strive,” or the negative of these terms, or other comparable terminology intended to identify statements about the future. These statements involve known and unknown risks, uncertainties and other important factors that may cause our actual results, levels of activity, performance or achievements to be materially different from the information expressed or implied by these forward-looking statements. The forward-looking statements and opinions contained in this 10-Q are based upon information available to our management as of the date of this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Forward-looking statements contained in this 10-Q include, but are not limited to, statements about:</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the initiation, timing, progress and results (preliminary, interim or final) of our preclinical studies and clinical trials, and our research and development programs including SerpinPC, LB101, other LockBody candidates, the LockBody technology platform, ORX750 and other orexin agonist molecules;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execute our research and clinical development plans and our expectations on and the timing thereof;</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expectations and ability to advance our pipeline and product candidates into, and successfully complete, clinical trials;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ability to identify screen, recruit and maintain a sufficient number of, or any, subjects in our existing and anticipated studies or clinical trials including PRESent-5, the observational feeder study, PRESent-2 and PRESent-3 and studies or trials of LB101, and any other LockBody candidates, ORX750 and other orexin agonist molecules;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our ability to differentiate SerpinPC, LB101, ORX750, other orexin agonist molecules, and other LockBody candidates from other treatment options;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development and therapeutic potential of SerpinPC, LB101, other LockBody candidates, the LockBody technology platform, ORX750 and other orexin agonist molecules;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expectations relating to the Phase 1 first-in-human, clinical trial of ORX750, including the predicted timing of enrollment, the predicted efficacious doses of ORX750 and our ability to successfully conduct our clinical development of ORX750;</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the safety and tolerability profile of our product candidates;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our reliance on the success of our product candidates and our pipeline programs;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our ability to discover and develop transformational medicines for patients including identifying and advancing additional product candidates into clinical development;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our ability to become the partner of choice to attract founder-subject matter experts with high conviction programs;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the timing or likelihood of regulatory filings and approvals;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impact of inflation on increasing costs of labor, research, manufacturing and clinical trial expenses;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the impact of the Russia-Ukraine war, the Middle East conflict(s) and tensions in U.S.-China relations on our business and operations;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the commercialization of our product candidates, if approved;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our ability to develop sales and marketing capabilities;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the pricing, coverage and reimbursement of our product candidates, if approved;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implementation of our business model, strategic plans for our business, product candidates and technology;</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the scope of protection we are able to establish and maintain for intellectual property rights covering our product candidates and technology;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our ability to operate our business without infringing the intellectual property rights and proprietary technology of third parties;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cost associated with prosecuting and maintaining our intellectual property and with defending intellectual property infringement, product liability and other claims;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legal and regulatory developments in the United States, the European Union, the United Kingdom and other jurisdictions;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estimates of our expenses, future revenues, capital requirements and our needs for additional financing;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the potential benefits of strategic collaboration agreements and our ability to negotiate and enter into strategic arrangements;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f4c434fe772b446ca7e94b1dd2bc86c4_13">
        <w:r>
          <w:rPr>
            <w:rStyle w:val="InternetLink"/>
            <w:rFonts w:ascii="Times New Roman;sans-serif" w:hAnsi="Times New Roman;sans-serif"/>
            <w:b w:val="false"/>
            <w:color w:val="0000FF"/>
            <w:sz w:val="20"/>
            <w:u w:val="single"/>
            <w:shd w:fill="FFFFFF" w:val="clear"/>
          </w:rPr>
          <w:t>Table of Contents</w:t>
        </w:r>
      </w:hyperlink>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identify collaboration opportunities and to establish and maintain collaborations;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judiciously manage and allocate our cash;</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expectations on our anticipated cash runway;</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our ability to obtain additional funding;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fulfill our obligations under the Note Purchase Agreement, as amended, with Three Peaks Capital Solutions Aggregator Fund (the “Purchaser”), and Cocoon SA LLC (the “Purchaser Agent”), an affiliate of Oberland Capital Management LLC (collectively “Oberland Capital”);</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the rate and degree of market acceptance of any approved products;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developments relating to our competitors and our industry, including competing therapies and our ability to respond to such developments;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our ability to effectively manage our anticipated growth;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our ability to attract and retain qualified employees and key personnel;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our expectations regarding the period during which we qualify as a smaller reporting company and as an emerging growth company under the JOBS Act;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statements regarding future revenue, hiring plans, expenses, capital expenditures, capital requirements and share performance;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our expected use of proceeds of </w:t>
      </w:r>
      <w:r>
        <w:rPr>
          <w:rFonts w:ascii="Times New Roman;sans-serif" w:hAnsi="Times New Roman;sans-serif"/>
          <w:b w:val="false"/>
          <w:color w:val="000000"/>
          <w:sz w:val="20"/>
          <w:shd w:fill="FFFFFF" w:val="clear"/>
        </w:rPr>
        <w:t xml:space="preserve">our IPO </w:t>
      </w:r>
      <w:r>
        <w:rPr>
          <w:rFonts w:ascii="Times New Roman;sans-serif" w:hAnsi="Times New Roman;sans-serif"/>
          <w:b w:val="false"/>
          <w:color w:val="000000"/>
          <w:sz w:val="20"/>
        </w:rPr>
        <w:t xml:space="preserve">and any additional capital raise;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the future trading price of the ADSs and impact of securities analysts’ reports on these prices; and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other risks and uncertainties, including those listed under the caption “Risk Factors.”</w:t>
      </w:r>
    </w:p>
    <w:p>
      <w:pPr>
        <w:pStyle w:val="TextBody"/>
        <w:bidi w:val="0"/>
        <w:spacing w:lineRule="auto" w:line="288" w:before="240" w:after="283"/>
        <w:ind w:left="0" w:right="0" w:firstLine="720"/>
        <w:jc w:val="both"/>
        <w:rPr/>
      </w:pPr>
      <w:r>
        <w:rPr>
          <w:rFonts w:ascii="Times New Roman;sans-serif" w:hAnsi="Times New Roman;sans-serif"/>
          <w:b w:val="false"/>
          <w:color w:val="000000"/>
          <w:sz w:val="20"/>
        </w:rPr>
        <w:t>You should refer to the section titled “</w:t>
      </w:r>
      <w:hyperlink w:anchor="if4c434fe772b446ca7e94b1dd2bc86c4_100">
        <w:r>
          <w:rPr>
            <w:rStyle w:val="InternetLink"/>
            <w:rFonts w:ascii="Times New Roman;sans-serif" w:hAnsi="Times New Roman;sans-serif"/>
            <w:b w:val="false"/>
            <w:color w:val="0000FF"/>
            <w:sz w:val="20"/>
            <w:u w:val="single"/>
          </w:rPr>
          <w:t>Item 1A. Risk Factors</w:t>
        </w:r>
      </w:hyperlink>
      <w:r>
        <w:rPr>
          <w:color w:val="000000"/>
        </w:rPr>
        <w:t xml:space="preserve">” </w:t>
      </w:r>
      <w:r>
        <w:rPr>
          <w:rFonts w:ascii="Times New Roman;sans-serif" w:hAnsi="Times New Roman;sans-serif"/>
          <w:b w:val="false"/>
          <w:color w:val="000000"/>
          <w:sz w:val="20"/>
        </w:rPr>
        <w:t>in this 10-Q for a discussion of important factors that may cause our actual results to differ materially from those expressed or implied by our forward-looking statements. As a result of these factors, we cannot be assured that the forward-looking statements in this 10-Q will prove to be accurate. Furthermore, if our forward-looking statements prove to be inaccurate, the inaccuracy may be material. In light of the significant uncertainties in these forward-looking statements, these statements should not be regarded as a representation or warranty by us or any other person that we will achieve our objectives and plans in any specified time frame, or at all. We undertake no obligation to publicly update any forward-looking statements, whether as a result of new information, future events or otherwise, except as required by law.</w:t>
      </w:r>
    </w:p>
    <w:p>
      <w:pPr>
        <w:pStyle w:val="TextBody"/>
        <w:bidi w:val="0"/>
        <w:spacing w:lineRule="auto" w:line="276"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You should read this 10-Q and the documents that we reference in this 10-Q and have filed as exhibits to this 10-Q completely and with the understanding that our actual future results may be materially different from what we expect. We qualify all of our forward-looking statements by these cautionary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f4c434fe772b446ca7e94b1dd2bc86c4_13">
        <w:r>
          <w:rPr>
            <w:rStyle w:val="InternetLink"/>
            <w:rFonts w:ascii="Times New Roman;sans-serif" w:hAnsi="Times New Roman;sans-serif"/>
            <w:b w:val="false"/>
            <w:color w:val="0000FF"/>
            <w:sz w:val="20"/>
            <w:u w:val="single"/>
            <w:shd w:fill="FFFFFF" w:val="clear"/>
          </w:rPr>
          <w:t>Table of Contents</w:t>
        </w:r>
      </w:hyperlink>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Centessa Pharmaceuticals plc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(amounts in thousands except share and per share data)</w:t>
      </w:r>
    </w:p>
    <w:tbl>
      <w:tblPr>
        <w:tblW w:w="10205" w:type="dxa"/>
        <w:jc w:val="center"/>
        <w:tblInd w:w="0" w:type="dxa"/>
        <w:tblLayout w:type="fixed"/>
        <w:tblCellMar>
          <w:top w:w="28" w:type="dxa"/>
          <w:left w:w="28" w:type="dxa"/>
          <w:bottom w:w="28" w:type="dxa"/>
          <w:right w:w="28" w:type="dxa"/>
        </w:tblCellMar>
      </w:tblPr>
      <w:tblGrid>
        <w:gridCol w:w="3041"/>
        <w:gridCol w:w="2295"/>
        <w:gridCol w:w="2049"/>
        <w:gridCol w:w="217"/>
        <w:gridCol w:w="853"/>
        <w:gridCol w:w="112"/>
        <w:gridCol w:w="109"/>
        <w:gridCol w:w="109"/>
        <w:gridCol w:w="109"/>
        <w:gridCol w:w="231"/>
        <w:gridCol w:w="907"/>
        <w:gridCol w:w="173"/>
      </w:tblGrid>
      <w:tr>
        <w:trPr/>
        <w:tc>
          <w:tcPr>
            <w:tcW w:w="3041" w:type="dxa"/>
            <w:tcBorders/>
            <w:vAlign w:val="center"/>
          </w:tcPr>
          <w:p>
            <w:pPr>
              <w:pStyle w:val="TableContents"/>
              <w:bidi w:val="0"/>
              <w:spacing w:before="0" w:after="283"/>
              <w:jc w:val="left"/>
              <w:rPr>
                <w:sz w:val="4"/>
                <w:szCs w:val="4"/>
              </w:rPr>
            </w:pPr>
            <w:r>
              <w:rPr>
                <w:sz w:val="4"/>
                <w:szCs w:val="4"/>
              </w:rPr>
            </w:r>
          </w:p>
        </w:tc>
        <w:tc>
          <w:tcPr>
            <w:tcW w:w="2295" w:type="dxa"/>
            <w:tcBorders/>
            <w:vAlign w:val="center"/>
          </w:tcPr>
          <w:p>
            <w:pPr>
              <w:pStyle w:val="TableContents"/>
              <w:bidi w:val="0"/>
              <w:spacing w:before="0" w:after="283"/>
              <w:jc w:val="left"/>
              <w:rPr>
                <w:sz w:val="4"/>
                <w:szCs w:val="4"/>
              </w:rPr>
            </w:pPr>
            <w:r>
              <w:rPr>
                <w:sz w:val="4"/>
                <w:szCs w:val="4"/>
              </w:rPr>
            </w:r>
          </w:p>
        </w:tc>
        <w:tc>
          <w:tcPr>
            <w:tcW w:w="204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7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7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1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118,218 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128,030 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111,959 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128,519 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incentive receivable</w:t>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36,292 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37,818 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20,725 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0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284,476 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315,092 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11,694 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11,914 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w:t>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29,166 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29,647 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2,554 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328,171 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360,246 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shareholders’ equity</w:t>
            </w:r>
          </w:p>
        </w:tc>
        <w:tc>
          <w:tcPr>
            <w:tcW w:w="11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1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11,815 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w:t>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19,936 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27,570 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0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27,435 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39,385 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 term debt</w:t>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75,700 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8,888 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0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113,008 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124,002 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6)</w:t>
            </w:r>
          </w:p>
        </w:tc>
        <w:tc>
          <w:tcPr>
            <w:tcW w:w="11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Shareholders’ equity:</w:t>
            </w:r>
          </w:p>
        </w:tc>
        <w:tc>
          <w:tcPr>
            <w:tcW w:w="11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Ordinary shares: £0.002 nominal value: 152,500,000 shares authorized, 100,481,993 issued and outstanding at March 31, 2024: 152,500,000 shares authorized, 98,774,827 issued and outstanding at December 31, 2023</w:t>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1,004,254 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987,423 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(790,991)</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(752,945)</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shareholders’ equity</w:t>
            </w:r>
          </w:p>
        </w:tc>
        <w:tc>
          <w:tcPr>
            <w:tcW w:w="10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215,163 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236,244 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shareholders' equity</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328,171 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360,246 </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lineRule="auto" w:line="288" w:before="240" w:after="283"/>
        <w:jc w:val="center"/>
        <w:rPr>
          <w:rFonts w:ascii="Times New Roman;sans-serif" w:hAnsi="Times New Roman;sans-serif"/>
          <w:b/>
          <w:i/>
          <w:color w:val="000000"/>
          <w:sz w:val="18"/>
        </w:rPr>
      </w:pPr>
      <w:r>
        <w:rPr>
          <w:rFonts w:ascii="Times New Roman;sans-serif" w:hAnsi="Times New Roman;sans-serif"/>
          <w:b/>
          <w:i/>
          <w:color w:val="000000"/>
          <w:sz w:val="18"/>
        </w:rPr>
        <w:t>The accompanying notes are an integral part of these unaudited interim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f4c434fe772b446ca7e94b1dd2bc86c4_13">
        <w:r>
          <w:rPr>
            <w:rStyle w:val="InternetLink"/>
            <w:rFonts w:ascii="Times New Roman;sans-serif" w:hAnsi="Times New Roman;sans-serif"/>
            <w:b w:val="false"/>
            <w:color w:val="0000FF"/>
            <w:sz w:val="20"/>
            <w:u w:val="single"/>
            <w:shd w:fill="FFFFFF" w:val="clear"/>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Centessa Pharmaceuticals plc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 and Comprehensive Loss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(amounts in thousands except share and per share data)</w:t>
      </w:r>
    </w:p>
    <w:tbl>
      <w:tblPr>
        <w:tblW w:w="10205" w:type="dxa"/>
        <w:jc w:val="left"/>
        <w:tblInd w:w="0" w:type="dxa"/>
        <w:tblLayout w:type="fixed"/>
        <w:tblCellMar>
          <w:top w:w="28" w:type="dxa"/>
          <w:left w:w="28" w:type="dxa"/>
          <w:bottom w:w="28" w:type="dxa"/>
          <w:right w:w="28" w:type="dxa"/>
        </w:tblCellMar>
      </w:tblPr>
      <w:tblGrid>
        <w:gridCol w:w="1911"/>
        <w:gridCol w:w="1663"/>
        <w:gridCol w:w="1670"/>
        <w:gridCol w:w="109"/>
        <w:gridCol w:w="109"/>
        <w:gridCol w:w="109"/>
        <w:gridCol w:w="109"/>
        <w:gridCol w:w="109"/>
        <w:gridCol w:w="109"/>
        <w:gridCol w:w="109"/>
        <w:gridCol w:w="109"/>
        <w:gridCol w:w="109"/>
        <w:gridCol w:w="303"/>
        <w:gridCol w:w="1128"/>
        <w:gridCol w:w="153"/>
        <w:gridCol w:w="109"/>
        <w:gridCol w:w="109"/>
        <w:gridCol w:w="109"/>
        <w:gridCol w:w="303"/>
        <w:gridCol w:w="1128"/>
        <w:gridCol w:w="153"/>
        <w:gridCol w:w="109"/>
        <w:gridCol w:w="109"/>
        <w:gridCol w:w="109"/>
        <w:gridCol w:w="158"/>
      </w:tblGrid>
      <w:tr>
        <w:trPr/>
        <w:tc>
          <w:tcPr>
            <w:tcW w:w="1911"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22,652 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32,826 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13,438 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16,051 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(36,090)</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(48,877)</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2,591 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2,531 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(2,529)</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(2,345)</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(1,537)</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(1,346)</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(37,565)</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(50,037)</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2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(38,046)</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(50,714)</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2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5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5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on available for sale securities,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2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(37,916)</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(49,816)</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5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ordinary share - 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(0.38)</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(0.53)</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5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ordinary shares outstanding - 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99,887,720 </w:t>
            </w:r>
          </w:p>
        </w:tc>
        <w:tc>
          <w:tcPr>
            <w:tcW w:w="15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94,937,904 </w:t>
            </w:r>
          </w:p>
        </w:tc>
        <w:tc>
          <w:tcPr>
            <w:tcW w:w="15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lineRule="auto" w:line="288" w:before="240" w:after="283"/>
        <w:jc w:val="center"/>
        <w:rPr>
          <w:rFonts w:ascii="Times New Roman;sans-serif" w:hAnsi="Times New Roman;sans-serif"/>
          <w:b/>
          <w:i/>
          <w:color w:val="000000"/>
          <w:sz w:val="18"/>
        </w:rPr>
      </w:pPr>
      <w:r>
        <w:rPr>
          <w:rFonts w:ascii="Times New Roman;sans-serif" w:hAnsi="Times New Roman;sans-serif"/>
          <w:b/>
          <w:i/>
          <w:color w:val="000000"/>
          <w:sz w:val="18"/>
        </w:rPr>
        <w:t>The accompanying notes are an integral part of these unaudited interim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f4c434fe772b446ca7e94b1dd2bc86c4_13">
        <w:r>
          <w:rPr>
            <w:rStyle w:val="InternetLink"/>
            <w:rFonts w:ascii="Times New Roman;sans-serif" w:hAnsi="Times New Roman;sans-serif"/>
            <w:b w:val="false"/>
            <w:color w:val="0000FF"/>
            <w:sz w:val="20"/>
            <w:u w:val="single"/>
            <w:shd w:fill="FFFFFF" w:val="clear"/>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Centessa Pharmaceuticals plc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Shareholders’ Equity</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(amounts in thousands except share data)</w:t>
      </w:r>
    </w:p>
    <w:tbl>
      <w:tblPr>
        <w:tblW w:w="10205" w:type="dxa"/>
        <w:jc w:val="left"/>
        <w:tblInd w:w="0" w:type="dxa"/>
        <w:tblLayout w:type="fixed"/>
        <w:tblCellMar>
          <w:top w:w="28" w:type="dxa"/>
          <w:left w:w="28" w:type="dxa"/>
          <w:bottom w:w="28" w:type="dxa"/>
          <w:right w:w="28" w:type="dxa"/>
        </w:tblCellMar>
      </w:tblPr>
      <w:tblGrid>
        <w:gridCol w:w="951"/>
        <w:gridCol w:w="463"/>
        <w:gridCol w:w="468"/>
        <w:gridCol w:w="109"/>
        <w:gridCol w:w="533"/>
        <w:gridCol w:w="533"/>
        <w:gridCol w:w="196"/>
        <w:gridCol w:w="109"/>
        <w:gridCol w:w="109"/>
        <w:gridCol w:w="109"/>
        <w:gridCol w:w="196"/>
        <w:gridCol w:w="436"/>
        <w:gridCol w:w="109"/>
        <w:gridCol w:w="109"/>
        <w:gridCol w:w="109"/>
        <w:gridCol w:w="109"/>
        <w:gridCol w:w="196"/>
        <w:gridCol w:w="886"/>
        <w:gridCol w:w="109"/>
        <w:gridCol w:w="109"/>
        <w:gridCol w:w="109"/>
        <w:gridCol w:w="109"/>
        <w:gridCol w:w="272"/>
        <w:gridCol w:w="792"/>
        <w:gridCol w:w="152"/>
        <w:gridCol w:w="109"/>
        <w:gridCol w:w="109"/>
        <w:gridCol w:w="109"/>
        <w:gridCol w:w="196"/>
        <w:gridCol w:w="761"/>
        <w:gridCol w:w="109"/>
        <w:gridCol w:w="109"/>
        <w:gridCol w:w="109"/>
        <w:gridCol w:w="109"/>
        <w:gridCol w:w="196"/>
        <w:gridCol w:w="751"/>
        <w:gridCol w:w="156"/>
      </w:tblGrid>
      <w:tr>
        <w:trPr/>
        <w:tc>
          <w:tcPr>
            <w:tcW w:w="951"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Ordinary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8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18"/>
              </w:rPr>
            </w:pPr>
            <w:r>
              <w:rPr>
                <w:rFonts w:ascii="Times New Roman;sans-serif" w:hAnsi="Times New Roman;sans-serif"/>
                <w:b/>
                <w:color w:val="000000"/>
                <w:sz w:val="18"/>
              </w:rPr>
              <w:t>Balance at January 1, 2024</w:t>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98,774,827</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273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987,423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1,493</w:t>
            </w:r>
            <w:r>
              <w:rPr>
                <w:color w:val="000000"/>
              </w:rPr>
              <w:t>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(752,945)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236,244</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ordinary shares under ATM program, net of issuance costs</w:t>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1,250,000 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9,655 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option exercises</w:t>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176,460 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955 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8,154 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Vesting of ordinary shares</w:t>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480,926 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withheld to pay employee withholding tax on share-based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(200,220)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(1,929)</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adjustments</w:t>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Unrealized gain on available for sale securities, net of tax</w:t>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(38,046)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18"/>
              </w:rPr>
            </w:pPr>
            <w:r>
              <w:rPr>
                <w:rFonts w:ascii="Times New Roman;sans-serif" w:hAnsi="Times New Roman;sans-serif"/>
                <w:b/>
                <w:color w:val="000000"/>
                <w:sz w:val="18"/>
              </w:rPr>
              <w:t>Balance at March 31, 2024</w:t>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100,481,993</w:t>
            </w: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277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1,004,254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1,623</w:t>
            </w:r>
            <w:r>
              <w:rPr>
                <w:color w:val="000000"/>
              </w:rPr>
              <w:t>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(790,991)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215,163</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18"/>
              </w:rPr>
            </w:pPr>
            <w:r>
              <w:rPr>
                <w:rFonts w:ascii="Times New Roman;sans-serif" w:hAnsi="Times New Roman;sans-serif"/>
                <w:b/>
                <w:color w:val="000000"/>
                <w:sz w:val="18"/>
              </w:rPr>
              <w:t>Balance at January 1, 2023</w:t>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94,843,391</w:t>
            </w: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265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939,261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(1,497)</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(601,860)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336,169</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7,190 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Vesting of ordinary shares</w:t>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332,292 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withheld to pay employee withholding tax on share-based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(72,436)</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adjustments</w:t>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898 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898 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(50,714)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(50,714)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18"/>
              </w:rPr>
            </w:pPr>
            <w:r>
              <w:rPr>
                <w:rFonts w:ascii="Times New Roman;sans-serif" w:hAnsi="Times New Roman;sans-serif"/>
                <w:b/>
                <w:color w:val="000000"/>
                <w:sz w:val="18"/>
              </w:rPr>
              <w:t>Balance at March 31, 2023</w:t>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95,103,247</w:t>
            </w:r>
            <w:r>
              <w:rPr>
                <w:color w:val="000000"/>
              </w:rPr>
              <w:t>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266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946,168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(599)</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(652,574)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293,261</w:t>
            </w:r>
            <w:r>
              <w:rPr>
                <w:color w:val="000000"/>
              </w:rPr>
              <w:t>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lineRule="auto" w:line="288" w:before="120" w:after="283"/>
        <w:jc w:val="center"/>
        <w:rPr>
          <w:rFonts w:ascii="Times New Roman;sans-serif" w:hAnsi="Times New Roman;sans-serif"/>
          <w:b/>
          <w:i/>
          <w:color w:val="000000"/>
          <w:sz w:val="18"/>
        </w:rPr>
      </w:pPr>
      <w:r>
        <w:rPr>
          <w:rFonts w:ascii="Times New Roman;sans-serif" w:hAnsi="Times New Roman;sans-serif"/>
          <w:b/>
          <w:i/>
          <w:color w:val="000000"/>
          <w:sz w:val="18"/>
        </w:rPr>
        <w:t>The accompanying notes are an integral part of these unaudited interim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f4c434fe772b446ca7e94b1dd2bc86c4_13">
        <w:r>
          <w:rPr>
            <w:rStyle w:val="InternetLink"/>
            <w:rFonts w:ascii="Times New Roman;sans-serif" w:hAnsi="Times New Roman;sans-serif"/>
            <w:b w:val="false"/>
            <w:color w:val="0000FF"/>
            <w:sz w:val="20"/>
            <w:u w:val="single"/>
            <w:shd w:fill="FFFFFF" w:val="clear"/>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Centessa Pharmaceuticals plc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(amounts in thousands)</w:t>
      </w:r>
    </w:p>
    <w:tbl>
      <w:tblPr>
        <w:tblW w:w="9160" w:type="dxa"/>
        <w:jc w:val="center"/>
        <w:tblInd w:w="0" w:type="dxa"/>
        <w:tblLayout w:type="fixed"/>
        <w:tblCellMar>
          <w:top w:w="28" w:type="dxa"/>
          <w:left w:w="28" w:type="dxa"/>
          <w:bottom w:w="28" w:type="dxa"/>
          <w:right w:w="28" w:type="dxa"/>
        </w:tblCellMar>
      </w:tblPr>
      <w:tblGrid>
        <w:gridCol w:w="2021"/>
        <w:gridCol w:w="1772"/>
        <w:gridCol w:w="1786"/>
        <w:gridCol w:w="758"/>
        <w:gridCol w:w="422"/>
        <w:gridCol w:w="425"/>
        <w:gridCol w:w="109"/>
        <w:gridCol w:w="109"/>
        <w:gridCol w:w="109"/>
        <w:gridCol w:w="704"/>
        <w:gridCol w:w="391"/>
        <w:gridCol w:w="554"/>
      </w:tblGrid>
      <w:tr>
        <w:trPr/>
        <w:tc>
          <w:tcPr>
            <w:tcW w:w="2021"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 2023</w:t>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16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7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(50,714)</w:t>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loss to net cash used in operating activities:</w:t>
            </w:r>
          </w:p>
        </w:tc>
        <w:tc>
          <w:tcPr>
            <w:tcW w:w="1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 expense</w:t>
            </w:r>
          </w:p>
        </w:tc>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7,190</w:t>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w:t>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financial instruments</w:t>
            </w:r>
          </w:p>
        </w:tc>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1,800</w:t>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deferred taxes</w:t>
            </w:r>
          </w:p>
        </w:tc>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1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incentive receivable</w:t>
            </w:r>
          </w:p>
        </w:tc>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4,306</w:t>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assets</w:t>
            </w:r>
          </w:p>
        </w:tc>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1,074</w:t>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leases, net</w:t>
            </w:r>
          </w:p>
        </w:tc>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(1,815)</w:t>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 and other liabilities</w:t>
            </w:r>
          </w:p>
        </w:tc>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(9,768)</w:t>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operating activities</w:t>
            </w:r>
          </w:p>
        </w:tc>
        <w:tc>
          <w:tcPr>
            <w:tcW w:w="16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(37,286)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(47,838)</w:t>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1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investments in marketable securities</w:t>
            </w:r>
          </w:p>
        </w:tc>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(86,248)</w:t>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redemption of investments in marketable securities</w:t>
            </w:r>
          </w:p>
        </w:tc>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property and equipment</w:t>
            </w:r>
          </w:p>
        </w:tc>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w:t>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investing activities</w:t>
            </w:r>
          </w:p>
        </w:tc>
        <w:tc>
          <w:tcPr>
            <w:tcW w:w="16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(86,336)</w:t>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1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issuance of shares under ATM program, net of issuance costs</w:t>
            </w:r>
          </w:p>
        </w:tc>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option exercises</w:t>
            </w:r>
          </w:p>
        </w:tc>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financing activities</w:t>
            </w:r>
          </w:p>
        </w:tc>
        <w:tc>
          <w:tcPr>
            <w:tcW w:w="16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exchange rate on cash and cash equivalents</w:t>
            </w:r>
          </w:p>
        </w:tc>
        <w:tc>
          <w:tcPr>
            <w:tcW w:w="16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w:t>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decrease in cash and cash equivalents</w:t>
            </w:r>
          </w:p>
        </w:tc>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(133,656)</w:t>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at beginning of period</w:t>
            </w:r>
          </w:p>
        </w:tc>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393,644</w:t>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at end of period</w:t>
            </w:r>
          </w:p>
        </w:tc>
        <w:tc>
          <w:tcPr>
            <w:tcW w:w="7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118,218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259,988</w:t>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w:t>
            </w:r>
          </w:p>
        </w:tc>
        <w:tc>
          <w:tcPr>
            <w:tcW w:w="16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paid</w:t>
            </w:r>
          </w:p>
        </w:tc>
        <w:tc>
          <w:tcPr>
            <w:tcW w:w="7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18"/>
              </w:rPr>
            </w:pPr>
            <w:r>
              <w:rPr>
                <w:rFonts w:ascii="Times New Roman;sans-serif" w:hAnsi="Times New Roman;sans-serif"/>
                <w:b w:val="false"/>
                <w:color w:val="000000"/>
                <w:sz w:val="18"/>
              </w:rPr>
              <w:t>2,344</w:t>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 paid</w:t>
            </w:r>
          </w:p>
        </w:tc>
        <w:tc>
          <w:tcPr>
            <w:tcW w:w="7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18"/>
              </w:rPr>
            </w:pPr>
            <w:r>
              <w:rPr>
                <w:rFonts w:ascii="Times New Roman;sans-serif" w:hAnsi="Times New Roman;sans-serif"/>
                <w:b w:val="false"/>
                <w:color w:val="000000"/>
                <w:sz w:val="18"/>
              </w:rPr>
              <w:t>135</w:t>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payments reducing operating lease liabilities</w:t>
            </w:r>
          </w:p>
        </w:tc>
        <w:tc>
          <w:tcPr>
            <w:tcW w:w="7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color w:val="000000"/>
              </w:rPr>
            </w:pPr>
            <w:r>
              <w:rPr>
                <w:color w:val="000000"/>
              </w:rPr>
              <w:t>—</w:t>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ROU assets obtained in exchange for operating lease liabilities</w:t>
            </w:r>
          </w:p>
        </w:tc>
        <w:tc>
          <w:tcPr>
            <w:tcW w:w="7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9,711</w:t>
            </w:r>
          </w:p>
        </w:tc>
      </w:tr>
    </w:tbl>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lineRule="auto" w:line="288" w:before="180" w:after="283"/>
        <w:jc w:val="center"/>
        <w:rPr>
          <w:rFonts w:ascii="Times New Roman;sans-serif" w:hAnsi="Times New Roman;sans-serif"/>
          <w:b/>
          <w:i/>
          <w:color w:val="000000"/>
          <w:sz w:val="18"/>
        </w:rPr>
      </w:pPr>
      <w:r>
        <w:rPr>
          <w:rFonts w:ascii="Times New Roman;sans-serif" w:hAnsi="Times New Roman;sans-serif"/>
          <w:b/>
          <w:i/>
          <w:color w:val="000000"/>
          <w:sz w:val="18"/>
        </w:rPr>
        <w:t>The accompanying notes are an integral part of these unaudited interim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f4c434fe772b446ca7e94b1dd2bc86c4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Centessa Pharmaceuticals plc </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Notes to the Unaudited Interim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1. Organization and Description of Business</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Centessa Pharmaceuticals plc (“Centessa” or “the Company”) is a clinical-stage pharmaceutical company that aims to discover, develop and ultimately deliver medicines that are transformational for patients. Centessa was incorporated on October 26, 2020 as a limited liability company under the laws of England and Wales. In connection with the Company’s initial public offering, or IPO, the Company re-registered Centessa Pharmaceuticals Limited as an English public limited company and renamed it as Centessa Pharmaceuticals plc. </w:t>
      </w:r>
    </w:p>
    <w:p>
      <w:pPr>
        <w:pStyle w:val="TextBody"/>
        <w:bidi w:val="0"/>
        <w:spacing w:lineRule="auto" w:line="288" w:before="3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Risks and Liquidity</w:t>
      </w:r>
    </w:p>
    <w:p>
      <w:pPr>
        <w:pStyle w:val="TextBody"/>
        <w:bidi w:val="0"/>
        <w:spacing w:lineRule="auto" w:line="288" w:before="120" w:after="283"/>
        <w:ind w:left="0" w:right="0" w:firstLine="720"/>
        <w:jc w:val="both"/>
        <w:rPr/>
      </w:pPr>
      <w:r>
        <w:rPr>
          <w:rFonts w:ascii="Times New Roman;sans-serif" w:hAnsi="Times New Roman;sans-serif"/>
          <w:b w:val="false"/>
          <w:color w:val="000000"/>
          <w:sz w:val="20"/>
        </w:rPr>
        <w:t>The Company is subject to risks common to other life science companies in various stages of development including, but not limited to, uncertainty of product development and commercialization, lack of marketing and sales history, development by its competitors of new technological innovations, dependence on key personnel, market acceptance of products, product liability, protection of proprietary technology, ability to raise additional financing and compliance with government regulations in the markets in which the Company is seeking approvals, including U.S. Food and Drug Administration (“FDA”) regulations. If the Company does not successfully advance its prog</w:t>
      </w:r>
      <w:r>
        <w:rPr>
          <w:rFonts w:ascii="Times New Roman;sans-serif" w:hAnsi="Times New Roman;sans-serif"/>
          <w:b w:val="false"/>
          <w:color w:val="000000"/>
          <w:sz w:val="20"/>
          <w:shd w:fill="FFFFFF" w:val="clear"/>
        </w:rPr>
        <w:t>rams, into an</w:t>
      </w:r>
      <w:r>
        <w:rPr>
          <w:rFonts w:ascii="Times New Roman;sans-serif" w:hAnsi="Times New Roman;sans-serif"/>
          <w:b w:val="false"/>
          <w:color w:val="000000"/>
          <w:sz w:val="20"/>
        </w:rPr>
        <w:t xml:space="preserve">d through human clinical trials and/or enter into collaborations for its programs and commercialize any of its product candidates, it may be unable to produce product revenue or achieve profitability.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incurred losses and negative cash flows from operations since inception and the Company had an accumulated deficit of $791.0 million as of March 31, 2024. The Company anticipates incurring additional losses until such time, if ever, that it can generate significant sales of the product candidates currently in development. Substantial additional capital will be needed by the Company to fund its operations and to develop its product candidates. </w:t>
      </w:r>
    </w:p>
    <w:p>
      <w:pPr>
        <w:pStyle w:val="TextBody"/>
        <w:bidi w:val="0"/>
        <w:spacing w:lineRule="auto" w:line="288" w:before="240" w:after="283"/>
        <w:ind w:left="0" w:right="0" w:firstLine="720"/>
        <w:jc w:val="both"/>
        <w:rPr/>
      </w:pPr>
      <w:r>
        <w:rPr>
          <w:rFonts w:ascii="Times New Roman;sans-serif" w:hAnsi="Times New Roman;sans-serif"/>
          <w:b w:val="false"/>
          <w:color w:val="000000"/>
          <w:sz w:val="20"/>
          <w:shd w:fill="FFFFFF" w:val="clear"/>
        </w:rPr>
        <w:t xml:space="preserve">The Company expects its existing cash, cash equivalents and short-term investments </w:t>
      </w:r>
      <w:r>
        <w:rPr>
          <w:rFonts w:ascii="Times New Roman;sans-serif" w:hAnsi="Times New Roman;sans-serif"/>
          <w:b w:val="false"/>
          <w:color w:val="000000"/>
          <w:sz w:val="20"/>
        </w:rPr>
        <w:t xml:space="preserve">as of March 31, 2024 of $230.2 million </w:t>
      </w:r>
      <w:r>
        <w:rPr>
          <w:rFonts w:ascii="Times New Roman;sans-serif" w:hAnsi="Times New Roman;sans-serif"/>
          <w:b w:val="false"/>
          <w:color w:val="000000"/>
          <w:sz w:val="20"/>
          <w:shd w:fill="FFFFFF" w:val="clear"/>
        </w:rPr>
        <w:t xml:space="preserve">will be sufficient to fund its expected operating expenses and capital expenditure requirements for at least the next twelve months from the date of issuance of these </w:t>
      </w:r>
      <w:r>
        <w:rPr>
          <w:rFonts w:ascii="Times New Roman;sans-serif" w:hAnsi="Times New Roman;sans-serif"/>
          <w:b w:val="false"/>
          <w:color w:val="000000"/>
          <w:sz w:val="20"/>
        </w:rPr>
        <w:t>unaudited interim consolidated financial statements.</w:t>
      </w:r>
    </w:p>
    <w:p>
      <w:pPr>
        <w:pStyle w:val="TextBody"/>
        <w:bidi w:val="0"/>
        <w:spacing w:lineRule="auto" w:line="288" w:before="3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Shelf Registration Statement</w:t>
      </w:r>
    </w:p>
    <w:p>
      <w:pPr>
        <w:pStyle w:val="TextBody"/>
        <w:bidi w:val="0"/>
        <w:spacing w:lineRule="auto" w:line="288" w:before="120" w:after="283"/>
        <w:ind w:left="0" w:right="0" w:firstLine="720"/>
        <w:jc w:val="both"/>
        <w:rPr/>
      </w:pPr>
      <w:r>
        <w:rPr>
          <w:rFonts w:ascii="Times New Roman;sans-serif" w:hAnsi="Times New Roman;sans-serif"/>
          <w:b w:val="false"/>
          <w:color w:val="000000"/>
          <w:sz w:val="20"/>
        </w:rPr>
        <w:t>On July 12, 2022, the Securities and Exchange Commission (“SEC”) declared effective the Company’s filed shelf registration statement on Form S-3 (“Shelf”), which covers the offering, issuance and sale of an amount up to $350.0 million in the aggregate of the Company’s ordinary shares, American Depository Shares representing ordinary shares, debt securities, warrants, and/or units or any combination thereof. The Company entered into a Sales Agreement, dated January 27, 2023, by and between Centessa Pharmaceuticals plc and Leerink Partners LLC (formerly SVB Securities LLC). As sales agent, Leerink Partners LLC will provide for the issuance and sale by the Company of up to $125.0 million of its ordinary shares represented by American Depository Shares (“ADSs”) from time to time in “at-the-market” offerings under the Shelf (“ATM Program”). In January 2024, the Company sold 1,250,000 ordinary shares under the ATM Program, resulting in net proceeds of $9.7 million. As of March 31, 2024, the Company has sold 4,290,816</w:t>
      </w:r>
      <w:r>
        <w:rPr>
          <w:color w:val="000000"/>
          <w:shd w:fill="FFFFFF" w:val="clear"/>
        </w:rPr>
        <w:t xml:space="preserve"> </w:t>
      </w:r>
      <w:r>
        <w:rPr>
          <w:rFonts w:ascii="Times New Roman;sans-serif" w:hAnsi="Times New Roman;sans-serif"/>
          <w:b w:val="false"/>
          <w:color w:val="000000"/>
          <w:sz w:val="20"/>
          <w:shd w:fill="FFFFFF" w:val="clear"/>
        </w:rPr>
        <w:t>ordinary shares under the ATM Program, resulting in net proceeds to us of approximately $30.5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2. Summary of Significant Accounting Policies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interim consolidated financial statements should be read in conjunction with the annual audited consolidated financial statements of Centessa Pharmaceuticals plc and related notes which can be found in our Annual Report on Form 10-K for the year ended December 31, 2023 (the “2023 Annual Report”). The Summary of Significant Accounting Policies included in the Company’s annual financial statements have not materially changed, except as set forth below.</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Basis of Presentation and Consolidation</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unaudited interim consolidated financial statements have been prepared in conformity with accounting principles generally accepted in the United States of America (“GAAP”). Any reference in these notes to applicable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f4c434fe772b446ca7e94b1dd2bc86c4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Centessa Pharmaceuticals plc </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Notes to the Unaudited Interim Consolidated Financial Statements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guidance is meant to refer to GAAP as found in the Accounting Standards Codification (“ASC”) and Accounting Standards Updates (“ASUs”) promulgated by the Financial Accounting Standards Board (“FASB”).</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the opinion of management, the accompanying unaudited interim consolidated financial statements include all normal and recurring adjustments (which consist primarily of accruals, estimates and assumptions that impact the financial statements) considered necessary to present fairly:</w:t>
      </w:r>
    </w:p>
    <w:p>
      <w:pPr>
        <w:pStyle w:val="TextBody"/>
        <w:bidi w:val="0"/>
        <w:spacing w:before="0" w:after="0"/>
        <w:jc w:val="left"/>
        <w:rPr/>
      </w:pPr>
      <w:r>
        <w:rPr/>
      </w:r>
    </w:p>
    <w:p>
      <w:pPr>
        <w:pStyle w:val="TextBody"/>
        <w:bidi w:val="0"/>
        <w:spacing w:lineRule="auto" w:line="288" w:before="0" w:after="0"/>
        <w:ind w:left="0" w:right="0" w:hanging="450"/>
        <w:jc w:val="both"/>
        <w:rPr/>
      </w:pPr>
      <w:r>
        <w:rPr>
          <w:color w:val="000000"/>
        </w:rPr>
        <w:t>•</w:t>
      </w:r>
      <w:r>
        <w:rPr>
          <w:rFonts w:ascii="Times New Roman;sans-serif" w:hAnsi="Times New Roman;sans-serif"/>
          <w:b w:val="false"/>
          <w:color w:val="000000"/>
          <w:sz w:val="20"/>
        </w:rPr>
        <w:t>the Company’s financial position as of March 31, 2024 and as of December 31, 2023;</w:t>
      </w:r>
    </w:p>
    <w:p>
      <w:pPr>
        <w:pStyle w:val="TextBody"/>
        <w:bidi w:val="0"/>
        <w:spacing w:lineRule="auto" w:line="288" w:before="120" w:after="283"/>
        <w:ind w:left="0" w:right="0" w:hanging="450"/>
        <w:jc w:val="both"/>
        <w:rPr/>
      </w:pPr>
      <w:r>
        <w:rPr>
          <w:color w:val="000000"/>
        </w:rPr>
        <w:t>•</w:t>
      </w:r>
      <w:r>
        <w:rPr>
          <w:rFonts w:ascii="Times New Roman;sans-serif" w:hAnsi="Times New Roman;sans-serif"/>
          <w:b w:val="false"/>
          <w:color w:val="000000"/>
          <w:sz w:val="20"/>
        </w:rPr>
        <w:t>the Company’s results of operations for the three months ended March 31, 2024 and March 31, 2023; and</w:t>
      </w:r>
    </w:p>
    <w:p>
      <w:pPr>
        <w:pStyle w:val="TextBody"/>
        <w:bidi w:val="0"/>
        <w:spacing w:lineRule="auto" w:line="288" w:before="120" w:after="283"/>
        <w:ind w:left="0" w:right="0" w:hanging="450"/>
        <w:jc w:val="both"/>
        <w:rPr/>
      </w:pPr>
      <w:r>
        <w:rPr>
          <w:color w:val="000000"/>
        </w:rPr>
        <w:t>•</w:t>
      </w:r>
      <w:r>
        <w:rPr>
          <w:rFonts w:ascii="Times New Roman;sans-serif" w:hAnsi="Times New Roman;sans-serif"/>
          <w:b w:val="false"/>
          <w:color w:val="000000"/>
          <w:sz w:val="20"/>
        </w:rPr>
        <w:t>the Company’s cash flows for the three months ended March 31, 2024 and March 31, 2023.</w:t>
      </w:r>
    </w:p>
    <w:p>
      <w:pPr>
        <w:pStyle w:val="TextBody"/>
        <w:bidi w:val="0"/>
        <w:spacing w:lineRule="auto" w:line="288" w:before="240" w:after="283"/>
        <w:ind w:left="0" w:right="0" w:firstLine="720"/>
        <w:jc w:val="both"/>
        <w:rPr/>
      </w:pPr>
      <w:r>
        <w:rPr>
          <w:rFonts w:ascii="Times New Roman;sans-serif" w:hAnsi="Times New Roman;sans-serif"/>
          <w:b w:val="false"/>
          <w:color w:val="000000"/>
          <w:sz w:val="20"/>
        </w:rPr>
        <w:t>Operating results for the Company for the three months ended March 31, 2024 are not necessarily indicative of the results that may be expected for the full year. The unaudited interim consolidated financial</w:t>
      </w:r>
      <w:r>
        <w:rPr>
          <w:color w:val="000000"/>
          <w:shd w:fill="FFFFFF" w:val="clear"/>
        </w:rPr>
        <w:t xml:space="preserve"> </w:t>
      </w:r>
      <w:r>
        <w:rPr>
          <w:rFonts w:ascii="Times New Roman;sans-serif" w:hAnsi="Times New Roman;sans-serif"/>
          <w:b w:val="false"/>
          <w:color w:val="000000"/>
          <w:sz w:val="20"/>
          <w:shd w:fill="FFFFFF" w:val="clear"/>
        </w:rPr>
        <w:t xml:space="preserve">statements presented herein do not contain all of the required disclosures under U.S. GAAP for annual financial statements. Notes to the financial statements which would substantially duplicate the disclosure contained in the audited financial statements for fiscal </w:t>
      </w:r>
      <w:r>
        <w:rPr>
          <w:rFonts w:ascii="Times New Roman;sans-serif" w:hAnsi="Times New Roman;sans-serif"/>
          <w:b w:val="false"/>
          <w:color w:val="000000"/>
          <w:sz w:val="20"/>
        </w:rPr>
        <w:t>2023</w:t>
      </w:r>
      <w:r>
        <w:rPr>
          <w:color w:val="000000"/>
          <w:shd w:fill="FFFFFF" w:val="clear"/>
        </w:rPr>
        <w:t xml:space="preserve"> </w:t>
      </w:r>
      <w:r>
        <w:rPr>
          <w:rFonts w:ascii="Times New Roman;sans-serif" w:hAnsi="Times New Roman;sans-serif"/>
          <w:b w:val="false"/>
          <w:color w:val="000000"/>
          <w:sz w:val="20"/>
          <w:shd w:fill="FFFFFF" w:val="clear"/>
        </w:rPr>
        <w:t xml:space="preserve">as reported in the </w:t>
      </w:r>
      <w:r>
        <w:rPr>
          <w:rFonts w:ascii="Times New Roman;sans-serif" w:hAnsi="Times New Roman;sans-serif"/>
          <w:b w:val="false"/>
          <w:color w:val="000000"/>
          <w:sz w:val="20"/>
        </w:rPr>
        <w:t>2023</w:t>
      </w:r>
      <w:r>
        <w:rPr>
          <w:color w:val="000000"/>
          <w:shd w:fill="FFFFFF" w:val="clear"/>
        </w:rPr>
        <w:t xml:space="preserve"> </w:t>
      </w:r>
      <w:r>
        <w:rPr>
          <w:rFonts w:ascii="Times New Roman;sans-serif" w:hAnsi="Times New Roman;sans-serif"/>
          <w:b w:val="false"/>
          <w:color w:val="000000"/>
          <w:sz w:val="20"/>
          <w:shd w:fill="FFFFFF" w:val="clear"/>
        </w:rPr>
        <w:t>Annual Report have been omitted. Therefore, these unaudited interim consolidated financial statements should be read in conjunction with the annual audited consolidated financial state</w:t>
      </w:r>
      <w:r>
        <w:rPr>
          <w:rFonts w:ascii="Times New Roman;sans-serif" w:hAnsi="Times New Roman;sans-serif"/>
          <w:b w:val="false"/>
          <w:color w:val="000000"/>
          <w:sz w:val="20"/>
        </w:rPr>
        <w:t xml:space="preserve">ments and related notes for Centessa Pharmaceuticals plc found in the Form 10-K for the year ended December 31, 2023 filed with the SEC.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unaudited interim consolidated financial statements include the accounts of Centessa Pharmaceuticals plc, and its wholly owned subsidiaries. All intercompany accounts and transactions have been eliminated in consolidation.</w:t>
      </w:r>
    </w:p>
    <w:p>
      <w:pPr>
        <w:pStyle w:val="TextBody"/>
        <w:bidi w:val="0"/>
        <w:spacing w:lineRule="auto" w:line="288" w:before="36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Emerging Growth Company and Smaller Reporting Company</w:t>
      </w:r>
    </w:p>
    <w:p>
      <w:pPr>
        <w:pStyle w:val="TextBody"/>
        <w:bidi w:val="0"/>
        <w:spacing w:lineRule="auto" w:line="288" w:before="120" w:after="283"/>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We are an “emerging growth company,” as defined in the Jumpstart Our Business Startups Act (“JOBS Act”) enacted in April 2012. For so long as we remain an emerging growth company, we are permitted and intend to rely on certain exemptions from various public company reporting requirements, including not being required to have our internal control over financial reporting audited by our independent registered public accounting firm pursuant to Section 404(b) of the Sarbanes-Oxley Act of 2002, reduced disclosure obligations regarding executive compensation in our periodic reports and proxy statements, exemptions from the requirements of holding a nonbinding advisory vote on executive compensation and any golden parachute payments not previously approved.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will remain an emerging growth company until the earlier to occur of (1) the last day of the fiscal year that is five years following the closing of our initial public offering, (2) the last day of the fiscal year in which we have total annual gross revenues of at least $1.235 billion, (3) the last day of the fiscal year in which we are deemed to be a “large accelerated filer,” under the rules of the SEC, which means the market value of our equity securities that is held by non-affiliates exceeds $700 million as of the prior June 30th after we have been subject to the SEC’s periodic reporting requirements for at least twelve calendar months and have filed at least one annual report, and (4) the date on which we have issued more than $1.0 billion in non-convertible debt during the prior three-year period.</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addition,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are electing to utilize the extended transition period and, as a result, will comply with new or revised accounting standards on the relevant dates on which adoption of such standards is required for emerging growth companies.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We are also a “smaller reporting company” as defined in the Securities Exchange Act of 1934 (“Exchange Act”). Even after we no longer qualify as an emerging growth company, we may still qualify as a “smaller reporting company” if the market value of our ordinary shares held by non-affiliates is below $250 million (or $700 million if our annual revenue is less than $100 million) as of June 30 in any given year. As a smaller reporting company, we are eligible for scaled disclosure relief from certain Regulation S-X and Regulation S-K requirements.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f4c434fe772b446ca7e94b1dd2bc86c4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Centessa Pharmaceuticals plc </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Notes to the Unaudited Interim Consolidated Financial Statements</w:t>
      </w:r>
    </w:p>
    <w:p>
      <w:pPr>
        <w:pStyle w:val="TextBody"/>
        <w:bidi w:val="0"/>
        <w:spacing w:lineRule="auto" w:line="288" w:before="3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Cash and Cash Equivalents</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considers all highly liquid investments with original maturities of three months or less when purchased to be cash equivalents. Cash and cash equivalents include cash in readily available checking accounts, certificate of deposits, money market funds and U.S. Treasury securities.</w:t>
      </w:r>
    </w:p>
    <w:p>
      <w:pPr>
        <w:pStyle w:val="TextBody"/>
        <w:bidi w:val="0"/>
        <w:spacing w:lineRule="auto" w:line="288" w:before="36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Short Term Investments</w:t>
      </w:r>
    </w:p>
    <w:p>
      <w:pPr>
        <w:pStyle w:val="TextBody"/>
        <w:bidi w:val="0"/>
        <w:spacing w:lineRule="auto" w:line="26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invests its excess cash in cash deposits, U.S. Treasury securities and SEC-registered money market funds. Securities with original maturities of three months or less when purchased are included in Cash and cash equivalents. The Company considers investments with original maturities greater than three months and remaining maturities less than one year to be short-term investments.</w:t>
      </w:r>
      <w:bookmarkStart w:id="0" w:name="iba4db72e7bda4ec7a63bcb5e7eade913_15920"/>
      <w:bookmarkEnd w:id="0"/>
      <w:r>
        <w:rPr>
          <w:rFonts w:ascii="Times New Roman;sans-serif" w:hAnsi="Times New Roman;sans-serif"/>
          <w:b w:val="false"/>
          <w:color w:val="000000"/>
          <w:sz w:val="20"/>
        </w:rPr>
        <w:t xml:space="preserve">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2024, all investments in U.S. Treasury securities were classified as available-for-sale securities, which are recorded at fair value. Unrealized holding gains and losses on available-for-sale securities are reported net of related income taxes in accumulated other comprehensive income until realized. Purchase premiums and discounts are amortized to interest income over the terms of the related securities. </w:t>
      </w:r>
    </w:p>
    <w:p>
      <w:pPr>
        <w:pStyle w:val="TextBody"/>
        <w:bidi w:val="0"/>
        <w:spacing w:lineRule="auto" w:line="288" w:before="36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Concentrations of Credit Risk</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Financial instruments that potentially subject the Company to a concentration of credit risk consist of cash, cash equivalents and short-term investments. The Company’s cash, cash equivalents and short-term investments are held by financial institutions primarily in the United States and the United Kingdom. Amounts on deposit may at times exceed federally insured limits. Management believes that the financial institutions are financially sound, and accordingly, the Company does not believe that it is subject to unusual credit risk beyond the normal credit risk associated with commercial banking relationships.</w:t>
      </w:r>
    </w:p>
    <w:p>
      <w:pPr>
        <w:pStyle w:val="TextBody"/>
        <w:bidi w:val="0"/>
        <w:spacing w:lineRule="auto" w:line="288" w:before="36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Reclassifications</w:t>
      </w:r>
    </w:p>
    <w:p>
      <w:pPr>
        <w:pStyle w:val="TextBody"/>
        <w:bidi w:val="0"/>
        <w:spacing w:lineRule="auto" w:line="288" w:before="120" w:after="283"/>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Certain amounts in the prior period financial statements have been reclassified to conform to the presentation of the current period financial statements. These reclassifications had no effect on previously reported net loss or comprehensive loss.</w:t>
      </w:r>
    </w:p>
    <w:p>
      <w:pPr>
        <w:pStyle w:val="TextBody"/>
        <w:bidi w:val="0"/>
        <w:spacing w:lineRule="auto" w:line="288" w:before="36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Use of Estimates</w:t>
      </w:r>
    </w:p>
    <w:p>
      <w:pPr>
        <w:pStyle w:val="TextBody"/>
        <w:bidi w:val="0"/>
        <w:spacing w:lineRule="auto" w:line="288" w:before="120" w:after="283"/>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preparation of unaudited interim consolidated financial statements in conformity with U.S. GAAP requires management to make estimates and assumptions that affect the reported amounts of assets and liabilities and disclosure of contingent assets and liabilities as of the date of the unaudited interim consolidated financial statements and the reported amounts of expenses during the reporting period. Actual results could differ from those estimates.</w:t>
      </w:r>
    </w:p>
    <w:p>
      <w:pPr>
        <w:pStyle w:val="TextBody"/>
        <w:bidi w:val="0"/>
        <w:spacing w:lineRule="auto" w:line="288" w:before="240" w:after="283"/>
        <w:ind w:left="0" w:right="0" w:firstLine="720"/>
        <w:jc w:val="both"/>
        <w:rPr/>
      </w:pPr>
      <w:r>
        <w:rPr>
          <w:rFonts w:ascii="Times New Roman;sans-serif" w:hAnsi="Times New Roman;sans-serif"/>
          <w:b w:val="false"/>
          <w:color w:val="000000"/>
          <w:sz w:val="20"/>
          <w:shd w:fill="FFFFFF" w:val="clear"/>
        </w:rPr>
        <w:t xml:space="preserve">Estimates and assumptions are periodically reviewed and the effects of revisions are reflected in the unaudited interim consolidated financial statements in the period they are determined to be necessary. </w:t>
      </w:r>
      <w:r>
        <w:rPr>
          <w:rFonts w:ascii="Times New Roman;sans-serif" w:hAnsi="Times New Roman;sans-serif"/>
          <w:b w:val="false"/>
          <w:color w:val="000000"/>
          <w:sz w:val="20"/>
        </w:rPr>
        <w:t>On an ongoing basis, an evaluation of estimates and judgments are required, including those related to accrued research and development expenses, the Note Purchase Agreement, share-based compensation and tax related matters. Estimates are based on historical experience, known trends and events, and various other factors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pStyle w:val="TextBody"/>
        <w:bidi w:val="0"/>
        <w:spacing w:lineRule="auto" w:line="288" w:before="36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Property and Equipment, net and Capitalized Software under Cloud Computing Arrangements</w:t>
      </w:r>
    </w:p>
    <w:p>
      <w:pPr>
        <w:pStyle w:val="TextBody"/>
        <w:bidi w:val="0"/>
        <w:spacing w:lineRule="auto" w:line="288" w:before="120" w:after="283"/>
        <w:ind w:left="0" w:right="0" w:firstLine="720"/>
        <w:jc w:val="both"/>
        <w:rPr/>
      </w:pPr>
      <w:r>
        <w:rPr>
          <w:rFonts w:ascii="Times New Roman;sans-serif" w:hAnsi="Times New Roman;sans-serif"/>
          <w:b w:val="false"/>
          <w:color w:val="000000"/>
          <w:sz w:val="20"/>
          <w:shd w:fill="FFFFFF" w:val="clear"/>
        </w:rPr>
        <w:t xml:space="preserve">Property and equipment are recorded at cost and are depreciated using the straight-line method over the estimated useful lives of the respective assets. Property and equipment includes computer equipment, furniture and office equipment. The costs of maintenance and repairs are expensed as incurred. Improvements and betterment that add new functionality or extend the useful life of the asset are capitalized. Depreciation expense for the three-month periods ended March 31, 2024 and March 31, 2023 were </w:t>
      </w:r>
      <w:r>
        <w:rPr>
          <w:rFonts w:ascii="Times New Roman;sans-serif" w:hAnsi="Times New Roman;sans-serif"/>
          <w:b w:val="false"/>
          <w:color w:val="000000"/>
          <w:sz w:val="20"/>
        </w:rPr>
        <w:t>$86 thousand</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$37 thousand</w:t>
      </w:r>
      <w:r>
        <w:rPr>
          <w:rFonts w:ascii="Times New Roman;sans-serif" w:hAnsi="Times New Roman;sans-serif"/>
          <w:b w:val="false"/>
          <w:color w:val="000000"/>
          <w:sz w:val="20"/>
          <w:shd w:fill="FFFFFF" w:val="clear"/>
        </w:rPr>
        <w:t>, respectively.</w:t>
      </w:r>
    </w:p>
    <w:p>
      <w:pPr>
        <w:pStyle w:val="TextBody"/>
        <w:bidi w:val="0"/>
        <w:spacing w:lineRule="auto" w:line="288" w:before="240" w:after="283"/>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Costs related to the implementation of cloud computing arrangements that are service contracts incurred during the application development stage are capitalized and included in the same line item as a prepayment for corresponding hosting service fees. Capitalized costs are amortized over the shorter of its estimated useful life and the term of the hosting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f4c434fe772b446ca7e94b1dd2bc86c4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Centessa Pharmaceuticals plc </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Notes to the Unaudited Interim Consolidated Financial Statements</w:t>
      </w:r>
    </w:p>
    <w:p>
      <w:pPr>
        <w:pStyle w:val="TextBody"/>
        <w:bidi w:val="0"/>
        <w:spacing w:lineRule="auto" w:line="288" w:before="240" w:after="283"/>
        <w:jc w:val="both"/>
        <w:rPr/>
      </w:pPr>
      <w:r>
        <w:rPr>
          <w:rFonts w:ascii="Times New Roman;sans-serif" w:hAnsi="Times New Roman;sans-serif"/>
          <w:b w:val="false"/>
          <w:color w:val="000000"/>
          <w:sz w:val="20"/>
          <w:shd w:fill="FFFFFF" w:val="clear"/>
        </w:rPr>
        <w:t>arrangement, including anticipated extensions. Costs incurred during the preliminary project stage and the post-implementation-operation stage are expensed as incurred.</w:t>
      </w:r>
      <w:r>
        <w:rPr>
          <w:color w:val="000000"/>
        </w:rPr>
        <w:t xml:space="preserve"> </w:t>
      </w:r>
      <w:r>
        <w:rPr>
          <w:rFonts w:ascii="Times New Roman;sans-serif" w:hAnsi="Times New Roman;sans-serif"/>
          <w:b w:val="false"/>
          <w:color w:val="000000"/>
          <w:sz w:val="20"/>
        </w:rPr>
        <w:t>Hosting fees associated with hosting as a service arrangement are expensed on a straight-line basis over the term of the hosting arrangement.</w:t>
      </w:r>
      <w:r>
        <w:rPr>
          <w:color w:val="000000"/>
          <w:shd w:fill="FFFFFF" w:val="clear"/>
        </w:rPr>
        <w:t xml:space="preserve"> </w:t>
      </w:r>
      <w:r>
        <w:rPr>
          <w:rFonts w:ascii="Times New Roman;sans-serif" w:hAnsi="Times New Roman;sans-serif"/>
          <w:b w:val="false"/>
          <w:color w:val="000000"/>
          <w:sz w:val="20"/>
          <w:shd w:fill="FFFFFF" w:val="clear"/>
        </w:rPr>
        <w:t xml:space="preserve">Amortization expense for the three months periods ended March 31, 2024 and March 31, 2023 were </w:t>
      </w:r>
      <w:r>
        <w:rPr>
          <w:rFonts w:ascii="Times New Roman;sans-serif" w:hAnsi="Times New Roman;sans-serif"/>
          <w:b w:val="false"/>
          <w:color w:val="000000"/>
          <w:sz w:val="20"/>
        </w:rPr>
        <w:t>$154 thousand</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$52 thousand</w:t>
      </w:r>
      <w:r>
        <w:rPr>
          <w:rFonts w:ascii="Times New Roman;sans-serif" w:hAnsi="Times New Roman;sans-serif"/>
          <w:b w:val="false"/>
          <w:color w:val="000000"/>
          <w:sz w:val="20"/>
          <w:shd w:fill="FFFFFF" w:val="clear"/>
        </w:rPr>
        <w:t>, respectively.</w:t>
      </w:r>
    </w:p>
    <w:p>
      <w:pPr>
        <w:pStyle w:val="TextBody"/>
        <w:bidi w:val="0"/>
        <w:spacing w:lineRule="auto" w:line="288" w:before="36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Leases</w:t>
      </w:r>
    </w:p>
    <w:p>
      <w:pPr>
        <w:pStyle w:val="TextBody"/>
        <w:bidi w:val="0"/>
        <w:spacing w:lineRule="auto" w:line="288" w:before="120" w:after="283"/>
        <w:ind w:left="0" w:right="0" w:firstLine="720"/>
        <w:jc w:val="both"/>
        <w:rPr/>
      </w:pPr>
      <w:r>
        <w:rPr>
          <w:rFonts w:ascii="Times New Roman;sans-serif" w:hAnsi="Times New Roman;sans-serif"/>
          <w:b w:val="false"/>
          <w:color w:val="000000"/>
          <w:sz w:val="20"/>
          <w:shd w:fill="FFFFFF" w:val="clear"/>
        </w:rPr>
        <w:t xml:space="preserve">In accordance with </w:t>
      </w:r>
      <w:r>
        <w:rPr>
          <w:rFonts w:ascii="Times New Roman;sans-serif" w:hAnsi="Times New Roman;sans-serif"/>
          <w:b w:val="false"/>
          <w:color w:val="000000"/>
          <w:sz w:val="20"/>
        </w:rPr>
        <w:t xml:space="preserve">ASU No. 2016-02, </w:t>
      </w:r>
      <w:r>
        <w:rPr>
          <w:rFonts w:ascii="Times New Roman;sans-serif" w:hAnsi="Times New Roman;sans-serif"/>
          <w:b w:val="false"/>
          <w:i/>
          <w:color w:val="000000"/>
          <w:sz w:val="20"/>
        </w:rPr>
        <w:t>Leases (“ASC 842”)</w:t>
      </w:r>
      <w:r>
        <w:rPr>
          <w:rFonts w:ascii="Times New Roman;sans-serif" w:hAnsi="Times New Roman;sans-serif"/>
          <w:b w:val="false"/>
          <w:color w:val="000000"/>
          <w:sz w:val="20"/>
          <w:shd w:fill="FFFFFF" w:val="clear"/>
        </w:rPr>
        <w:t>, the Company assesses whether an arrangement is a lease, or contains a lease at the inception of the arrangement. When an arrangement contains a lease, the Company categorizes leases with contractual terms longer than twelve months as either operating or finance. Finance leases are generally those leases that allow us to substantially utilize or pay for the entire asset over its estimated life. Assets acquired under finance leases are recorded in “Property and equipment, net.” All other leases are categorized as operating leases.</w:t>
      </w:r>
    </w:p>
    <w:p>
      <w:pPr>
        <w:pStyle w:val="TextBody"/>
        <w:bidi w:val="0"/>
        <w:spacing w:lineRule="auto" w:line="288" w:before="240" w:after="283"/>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records right-of use ("ROU") assets and lease obligations for its finance and operating leases, which are initially recognized based on the discounted future lease payments over the term of the lease. As the rate implicit in the Company's leases may not be easily determinable, the Company uses its incremental borrowing rate to calculate the present value of the sum of the lease payments. Lease terms may include options to extend or terminate the lease. The Company will include such options in determining the lease term when it is reasonably certain that the Company will exercise such options. Operating and finance lease ROU assets are recognized net of any lease prepayments and incentives. The Company elected the practical expedient to not separate lease and non-lease components and, accordingly, accounts for them as a single lease component. Operating lease expense is recognized on a straight-line basis over the lease term. Finance lease expense is recognized based on the effective-interest method over the lease term. The Company elected not to recognize ROU assets and lease obligations for any short-term leases, which are defined as leases with an initial term of 12 months or less.</w:t>
      </w:r>
    </w:p>
    <w:p>
      <w:pPr>
        <w:pStyle w:val="TextBody"/>
        <w:bidi w:val="0"/>
        <w:spacing w:lineRule="auto" w:line="288" w:before="36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Long-Lived Assets</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Long-lived assets, comprised of property and equipment and operating lease right-of-use assets, are reviewed for impairment whenever events or changes in circumstances indicate that the carrying amount of an asset may not be recoverable. Recoverability of assets to be held and used is measured by a comparison of the carrying amount of an asset to estimated undiscounted future cash flows expected to be generated by the asset. If the carrying amount of an asset exceeds its estimated undiscounted future cash flows, then an impairment charge is recognized for the amount by which the carrying value of the asset exceeds the estimated fair value of the asset. No impairments of long-lived assets for the three-month periods ended March 31, 2024 and 2023 were recognized by the Company.</w:t>
      </w:r>
    </w:p>
    <w:p>
      <w:pPr>
        <w:pStyle w:val="TextBody"/>
        <w:bidi w:val="0"/>
        <w:spacing w:lineRule="auto" w:line="276" w:before="36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Note Purchase Agreement</w:t>
      </w:r>
    </w:p>
    <w:p>
      <w:pPr>
        <w:pStyle w:val="TextBody"/>
        <w:bidi w:val="0"/>
        <w:spacing w:lineRule="auto" w:line="288" w:before="120" w:after="283"/>
        <w:ind w:left="0" w:right="0" w:firstLine="720"/>
        <w:jc w:val="both"/>
        <w:rPr/>
      </w:pPr>
      <w:r>
        <w:rPr>
          <w:rFonts w:ascii="Times New Roman;sans-serif" w:hAnsi="Times New Roman;sans-serif"/>
          <w:b w:val="false"/>
          <w:color w:val="000000"/>
          <w:sz w:val="20"/>
          <w:shd w:fill="FFFFFF" w:val="clear"/>
        </w:rPr>
        <w:t xml:space="preserve">In October 2021, the Company entered into a Note Purchase Agreement (the “NPA”) with Oberland Capital. </w:t>
      </w:r>
      <w:r>
        <w:rPr>
          <w:rFonts w:ascii="Times New Roman;sans-serif" w:hAnsi="Times New Roman;sans-serif"/>
          <w:b w:val="false"/>
          <w:color w:val="000000"/>
          <w:sz w:val="20"/>
        </w:rPr>
        <w:t xml:space="preserve">As described in further detail in Note 5 - </w:t>
      </w:r>
      <w:hyperlink w:anchor="if4c434fe772b446ca7e94b1dd2bc86c4_49">
        <w:r>
          <w:rPr>
            <w:rStyle w:val="InternetLink"/>
            <w:rFonts w:ascii="Times New Roman;sans-serif" w:hAnsi="Times New Roman;sans-serif"/>
            <w:b w:val="false"/>
            <w:i/>
            <w:color w:val="0000FF"/>
            <w:sz w:val="20"/>
            <w:u w:val="single"/>
          </w:rPr>
          <w:t>"Debt"</w:t>
        </w:r>
      </w:hyperlink>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as of March 31, 2024, in addition to a secured note in the principal amount of</w:t>
      </w:r>
      <w:r>
        <w:rPr>
          <w:color w:val="000000"/>
          <w:shd w:fill="FFFFFF" w:val="clear"/>
        </w:rPr>
        <w:t xml:space="preserve"> </w:t>
      </w:r>
      <w:r>
        <w:rPr>
          <w:rFonts w:ascii="Times New Roman;sans-serif" w:hAnsi="Times New Roman;sans-serif"/>
          <w:b w:val="false"/>
          <w:color w:val="000000"/>
          <w:sz w:val="20"/>
          <w:shd w:fill="FFFFFF" w:val="clear"/>
        </w:rPr>
        <w:t>$75 million,</w:t>
      </w:r>
      <w:r>
        <w:rPr>
          <w:color w:val="000000"/>
        </w:rPr>
        <w:t xml:space="preserve"> </w:t>
      </w:r>
      <w:r>
        <w:rPr>
          <w:rFonts w:ascii="Times New Roman;sans-serif" w:hAnsi="Times New Roman;sans-serif"/>
          <w:b w:val="false"/>
          <w:color w:val="000000"/>
          <w:sz w:val="20"/>
        </w:rPr>
        <w:t>which was funded on October 4, 2021, Oberland Capital has agreed to purchase tranches of secured notes in the aggregate principal amount of up to $175 million, including up to $75 million</w:t>
      </w:r>
      <w:r>
        <w:rPr>
          <w:color w:val="000000"/>
          <w:shd w:fill="FFFFFF" w:val="clear"/>
        </w:rPr>
        <w:t xml:space="preserve"> </w:t>
      </w:r>
      <w:r>
        <w:rPr>
          <w:rFonts w:ascii="Times New Roman;sans-serif" w:hAnsi="Times New Roman;sans-serif"/>
          <w:b w:val="false"/>
          <w:color w:val="000000"/>
          <w:sz w:val="20"/>
          <w:shd w:fill="FFFFFF" w:val="clear"/>
        </w:rPr>
        <w:t>through September 2024, at the Company’s option</w:t>
      </w:r>
      <w:r>
        <w:rPr>
          <w:rFonts w:ascii="Times New Roman;sans-serif" w:hAnsi="Times New Roman;sans-serif"/>
          <w:b w:val="false"/>
          <w:color w:val="000000"/>
          <w:sz w:val="20"/>
        </w:rPr>
        <w:t>; and up to $100 million</w:t>
      </w:r>
      <w:r>
        <w:rPr>
          <w:color w:val="000000"/>
          <w:shd w:fill="FFFFFF" w:val="clear"/>
        </w:rPr>
        <w:t xml:space="preserve"> </w:t>
      </w:r>
      <w:r>
        <w:rPr>
          <w:rFonts w:ascii="Times New Roman;sans-serif" w:hAnsi="Times New Roman;sans-serif"/>
          <w:b w:val="false"/>
          <w:color w:val="000000"/>
          <w:sz w:val="20"/>
        </w:rPr>
        <w:t>at any time at the Company’s and Purchasers’ option, to be used to finance certain permitted acquisitions as described in the NPA.</w:t>
      </w:r>
      <w:r>
        <w:rPr>
          <w:color w:val="000000"/>
          <w:shd w:fill="FFFFFF" w:val="clear"/>
        </w:rPr>
        <w:t xml:space="preserve"> </w:t>
      </w:r>
      <w:r>
        <w:rPr>
          <w:rFonts w:ascii="Times New Roman;sans-serif" w:hAnsi="Times New Roman;sans-serif"/>
          <w:b w:val="false"/>
          <w:color w:val="000000"/>
          <w:sz w:val="20"/>
          <w:shd w:fill="FFFFFF" w:val="clear"/>
        </w:rPr>
        <w:t xml:space="preserve">In addition, the Company is obligated to pay a Milestone payment equal to </w:t>
      </w:r>
      <w:r>
        <w:rPr>
          <w:rFonts w:ascii="Times New Roman;sans-serif" w:hAnsi="Times New Roman;sans-serif"/>
          <w:b w:val="false"/>
          <w:color w:val="000000"/>
          <w:sz w:val="20"/>
        </w:rPr>
        <w:t>30%</w:t>
      </w:r>
      <w:r>
        <w:rPr>
          <w:color w:val="000000"/>
          <w:shd w:fill="FFFFFF" w:val="clear"/>
        </w:rPr>
        <w:t xml:space="preserve"> </w:t>
      </w:r>
      <w:r>
        <w:rPr>
          <w:rFonts w:ascii="Times New Roman;sans-serif" w:hAnsi="Times New Roman;sans-serif"/>
          <w:b w:val="false"/>
          <w:color w:val="000000"/>
          <w:sz w:val="20"/>
          <w:shd w:fill="FFFFFF" w:val="clear"/>
        </w:rPr>
        <w:t>of the aggregate principal amount issued under the Notes by the Company upon regulatory approval of any drug candidate.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shd w:fill="FFFFFF" w:val="clear"/>
        </w:rPr>
        <w:t xml:space="preserve">The Company evaluated the Notes and determined that the Notes include embedded derivatives that would otherwise require bifurcation as derivative liabilities. Neither the debt instrument nor any embedded features are required to be classified as equity. Therefore, the hybrid financial instrument comprised of the debt host and the embedded derivative liability may be accounted for under the fair value option. The Company elected to carry the Notes at fair value, and the debt instrument is outside the scope of ASC 480, </w:t>
      </w:r>
      <w:r>
        <w:rPr>
          <w:rFonts w:ascii="Times New Roman;sans-serif" w:hAnsi="Times New Roman;sans-serif"/>
          <w:b w:val="false"/>
          <w:i/>
          <w:color w:val="000000"/>
          <w:sz w:val="20"/>
          <w:shd w:fill="FFFFFF" w:val="clear"/>
        </w:rPr>
        <w:t>Distinguishing Liabilities from Equity</w:t>
      </w:r>
      <w:r>
        <w:rPr>
          <w:rFonts w:ascii="Times New Roman;sans-serif" w:hAnsi="Times New Roman;sans-serif"/>
          <w:b w:val="false"/>
          <w:color w:val="000000"/>
          <w:sz w:val="20"/>
          <w:shd w:fill="FFFFFF" w:val="clear"/>
        </w:rPr>
        <w:t xml:space="preserve">, and thus will be classified as a liability under ASC 470, </w:t>
      </w:r>
      <w:r>
        <w:rPr>
          <w:rFonts w:ascii="Times New Roman;sans-serif" w:hAnsi="Times New Roman;sans-serif"/>
          <w:b w:val="false"/>
          <w:i/>
          <w:color w:val="000000"/>
          <w:sz w:val="20"/>
          <w:shd w:fill="FFFFFF" w:val="clear"/>
        </w:rPr>
        <w:t>Debt</w:t>
      </w:r>
      <w:r>
        <w:rPr>
          <w:rFonts w:ascii="Times New Roman;sans-serif" w:hAnsi="Times New Roman;sans-serif"/>
          <w:b w:val="false"/>
          <w:color w:val="000000"/>
          <w:sz w:val="20"/>
          <w:shd w:fill="FFFFFF" w:val="clear"/>
        </w:rPr>
        <w:t>, in the Company’s financial statements. As the Company has elected to account for the Notes under the fair value option, debt issuance costs were immediately expensed.</w:t>
      </w:r>
    </w:p>
    <w:p>
      <w:pPr>
        <w:pStyle w:val="TextBody"/>
        <w:bidi w:val="0"/>
        <w:spacing w:lineRule="auto" w:line="288" w:before="240" w:after="283"/>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fair value of the Note Purchase Agreement represents the present value of estimated future payments, including interest, principal as well as estimated payments that are contingent upon the achievement of specified milestones. The fair value of the Notes is based on the cumulative probability of the various estimated payments. The fair value measurement is based on significant Level 3 unobservable inputs such as the probability of achieving the milestones, anticipated timelines,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f4c434fe772b446ca7e94b1dd2bc86c4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Centessa Pharmaceuticals plc </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Notes to the Unaudited Interim Consolidated Financial Statements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probability and timing of an early redemption of all obligations under the Note Purchase Agreement and the discount rate. Any changes in the fair value of the liability in each reporting period are recognized in the consolidated statement of operations and comprehensive loss until it is settled.</w:t>
      </w:r>
    </w:p>
    <w:p>
      <w:pPr>
        <w:pStyle w:val="TextBody"/>
        <w:bidi w:val="0"/>
        <w:spacing w:lineRule="auto" w:line="288" w:before="36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Net Loss Per Ordinary Share</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Basic loss per ordinary share is computed by dividing net loss by the aggregate weighted-average number of ordinary shares outstanding. Diluted loss per ordinary share includes the effect, if any, from the potential exercise or conversion of securities, such as convertible preferred shares, stock options, unvested restricted ordinary shares and convertible debt which would result in the issuance of incremental ordinary shares. For diluted net loss per ordinary share, the weighted-average number of ordinary shares is the same for basic net loss per ordinary share due to the fact that when a net loss exists, dilutive securities are not included in the calculation as the impact is anti-dilutive.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potentially dilutive securities have been excluded from the computation of diluted weighted-average ordinary shares outstanding for the three months ended March 31, 2024 and March 31, 2023, as they would be anti-dilutive:</w:t>
      </w:r>
    </w:p>
    <w:p>
      <w:pPr>
        <w:pStyle w:val="TextBody"/>
        <w:bidi w:val="0"/>
        <w:spacing w:before="0" w:after="0"/>
        <w:jc w:val="left"/>
        <w:rPr/>
      </w:pPr>
      <w:r>
        <w:rPr/>
      </w:r>
    </w:p>
    <w:tbl>
      <w:tblPr>
        <w:tblW w:w="5944" w:type="dxa"/>
        <w:jc w:val="center"/>
        <w:tblInd w:w="0" w:type="dxa"/>
        <w:tblLayout w:type="fixed"/>
        <w:tblCellMar>
          <w:top w:w="28" w:type="dxa"/>
          <w:left w:w="28" w:type="dxa"/>
          <w:bottom w:w="28" w:type="dxa"/>
          <w:right w:w="28" w:type="dxa"/>
        </w:tblCellMar>
      </w:tblPr>
      <w:tblGrid>
        <w:gridCol w:w="782"/>
        <w:gridCol w:w="687"/>
        <w:gridCol w:w="690"/>
        <w:gridCol w:w="591"/>
        <w:gridCol w:w="534"/>
        <w:gridCol w:w="536"/>
        <w:gridCol w:w="109"/>
        <w:gridCol w:w="109"/>
        <w:gridCol w:w="109"/>
        <w:gridCol w:w="630"/>
        <w:gridCol w:w="482"/>
        <w:gridCol w:w="685"/>
      </w:tblGrid>
      <w:tr>
        <w:trPr/>
        <w:tc>
          <w:tcPr>
            <w:tcW w:w="782"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 2023</w:t>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ordinary shares</w:t>
            </w:r>
          </w:p>
        </w:tc>
        <w:tc>
          <w:tcPr>
            <w:tcW w:w="11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253,518 </w:t>
            </w:r>
          </w:p>
        </w:tc>
        <w:tc>
          <w:tcPr>
            <w:tcW w:w="5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481,623 </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2,447,121 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2,730,370 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w:t>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18,716,239 </w:t>
            </w:r>
          </w:p>
        </w:tc>
        <w:tc>
          <w:tcPr>
            <w:tcW w:w="5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15,978,480 </w:t>
            </w:r>
          </w:p>
        </w:tc>
        <w:tc>
          <w:tcPr>
            <w:tcW w:w="6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21,416,878 </w:t>
            </w:r>
          </w:p>
        </w:tc>
        <w:tc>
          <w:tcPr>
            <w:tcW w:w="5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19,190,473 </w:t>
            </w:r>
          </w:p>
        </w:tc>
        <w:tc>
          <w:tcPr>
            <w:tcW w:w="6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3. Fair Value Measurement</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Fair value is the price that could be received to sell an asset or paid to transfer a liability in an orderly transaction between market participants. Fair value determination in accordance with applicable accounting guidance requires that a number of significant judgments be made. Additionally, fair value is used on a nonrecurring basis to evaluate assets for impairment or as required for disclosure purposes by applicable accounting guidance on disclosures about fair value of financial instruments. Depending on the nature of the assets and liabilities, various valuation techniques and assumptions are used when estimating fair value. The carrying amounts of certain of the Company’s financial instruments, including cash, prepaid expense and accounts payable, are shown at cost, which approximates fair value due to the short-term nature of these instruments. </w:t>
      </w:r>
    </w:p>
    <w:p>
      <w:pPr>
        <w:pStyle w:val="TextBody"/>
        <w:bidi w:val="0"/>
        <w:spacing w:lineRule="auto" w:line="288" w:before="240" w:after="283"/>
        <w:ind w:left="0" w:right="0" w:firstLine="720"/>
        <w:jc w:val="both"/>
        <w:rPr/>
      </w:pPr>
      <w:r>
        <w:rPr>
          <w:rFonts w:ascii="Times New Roman;sans-serif" w:hAnsi="Times New Roman;sans-serif"/>
          <w:b w:val="false"/>
          <w:color w:val="000000"/>
          <w:sz w:val="20"/>
        </w:rPr>
        <w:t>The Company follows the provisions of FASB ASC Topic 820,</w:t>
      </w:r>
      <w:r>
        <w:rPr>
          <w:color w:val="000000"/>
        </w:rPr>
        <w:t xml:space="preserve"> </w:t>
      </w:r>
      <w:r>
        <w:rPr>
          <w:rFonts w:ascii="Times New Roman;sans-serif" w:hAnsi="Times New Roman;sans-serif"/>
          <w:b w:val="false"/>
          <w:i/>
          <w:color w:val="000000"/>
          <w:sz w:val="20"/>
        </w:rPr>
        <w:t>Fair Value Measurement</w:t>
      </w:r>
      <w:r>
        <w:rPr>
          <w:rFonts w:ascii="Times New Roman;sans-serif" w:hAnsi="Times New Roman;sans-serif"/>
          <w:b w:val="false"/>
          <w:color w:val="000000"/>
          <w:sz w:val="20"/>
        </w:rPr>
        <w:t>, for financial assets and liabilities measured on a recurring basis. The guidance requires fair value measurements be classified and disclosed in one of the following three categories:</w:t>
      </w:r>
    </w:p>
    <w:p>
      <w:pPr>
        <w:pStyle w:val="TextBody"/>
        <w:bidi w:val="0"/>
        <w:spacing w:lineRule="auto" w:line="288" w:before="120" w:after="283"/>
        <w:ind w:left="0" w:right="0" w:hanging="1080"/>
        <w:jc w:val="both"/>
        <w:rPr/>
      </w:pPr>
      <w:r>
        <w:rPr>
          <w:rFonts w:ascii="Times New Roman;sans-serif" w:hAnsi="Times New Roman;sans-serif"/>
          <w:b w:val="false"/>
          <w:i/>
          <w:color w:val="000000"/>
          <w:sz w:val="20"/>
        </w:rPr>
        <w:t>Level 1:    </w:t>
      </w:r>
      <w:r>
        <w:rPr>
          <w:rFonts w:ascii="Times New Roman;sans-serif" w:hAnsi="Times New Roman;sans-serif"/>
          <w:b w:val="false"/>
          <w:color w:val="000000"/>
          <w:sz w:val="20"/>
        </w:rPr>
        <w:t>Unadjusted quoted prices in active markets that are accessible at the measurement date for identical, unrestricted assets or liabilities.</w:t>
      </w:r>
    </w:p>
    <w:p>
      <w:pPr>
        <w:pStyle w:val="TextBody"/>
        <w:bidi w:val="0"/>
        <w:spacing w:lineRule="auto" w:line="288" w:before="120" w:after="283"/>
        <w:ind w:left="0" w:right="0" w:hanging="1080"/>
        <w:jc w:val="both"/>
        <w:rPr/>
      </w:pPr>
      <w:r>
        <w:rPr>
          <w:rFonts w:ascii="Times New Roman;sans-serif" w:hAnsi="Times New Roman;sans-serif"/>
          <w:b w:val="false"/>
          <w:i/>
          <w:color w:val="000000"/>
          <w:sz w:val="20"/>
        </w:rPr>
        <w:t>Level 2:</w:t>
      </w:r>
      <w:r>
        <w:rPr>
          <w:color w:val="000000"/>
        </w:rPr>
        <w:t>    </w:t>
      </w:r>
      <w:r>
        <w:rPr>
          <w:rFonts w:ascii="Times New Roman;sans-serif" w:hAnsi="Times New Roman;sans-serif"/>
          <w:b w:val="false"/>
          <w:color w:val="000000"/>
          <w:sz w:val="20"/>
        </w:rPr>
        <w:t>Quoted prices in markets that are not active, or inputs which are observable, either directly or indirectly, for substantially the full term of the asset or liabilities.</w:t>
      </w:r>
    </w:p>
    <w:p>
      <w:pPr>
        <w:pStyle w:val="TextBody"/>
        <w:bidi w:val="0"/>
        <w:spacing w:lineRule="auto" w:line="288" w:before="120" w:after="283"/>
        <w:ind w:left="0" w:right="0" w:hanging="1080"/>
        <w:jc w:val="both"/>
        <w:rPr/>
      </w:pPr>
      <w:r>
        <w:rPr>
          <w:rFonts w:ascii="Times New Roman;sans-serif" w:hAnsi="Times New Roman;sans-serif"/>
          <w:b w:val="false"/>
          <w:i/>
          <w:color w:val="000000"/>
          <w:sz w:val="20"/>
        </w:rPr>
        <w:t>Level 3:    </w:t>
      </w:r>
      <w:r>
        <w:rPr>
          <w:rFonts w:ascii="Times New Roman;sans-serif" w:hAnsi="Times New Roman;sans-serif"/>
          <w:b w:val="false"/>
          <w:color w:val="000000"/>
          <w:sz w:val="20"/>
        </w:rPr>
        <w:t>Prices or valuation techniques that require inputs that are both significant to the fair value measurement and unobservable (i.e., supported by little or no market activity).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f4c434fe772b446ca7e94b1dd2bc86c4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Centessa Pharmaceuticals plc </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Notes to the Unaudited Interim Consolidated Financial Statements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fair value hierarchy table presents information about the Company’s financial assets and liabilities measured at fair value on a recurring basis (amounts in thousands):</w:t>
      </w:r>
    </w:p>
    <w:tbl>
      <w:tblPr>
        <w:tblW w:w="8122" w:type="dxa"/>
        <w:jc w:val="left"/>
        <w:tblInd w:w="0" w:type="dxa"/>
        <w:tblLayout w:type="fixed"/>
        <w:tblCellMar>
          <w:top w:w="28" w:type="dxa"/>
          <w:left w:w="28" w:type="dxa"/>
          <w:bottom w:w="28" w:type="dxa"/>
          <w:right w:w="28" w:type="dxa"/>
        </w:tblCellMar>
      </w:tblPr>
      <w:tblGrid>
        <w:gridCol w:w="800"/>
        <w:gridCol w:w="699"/>
        <w:gridCol w:w="706"/>
        <w:gridCol w:w="298"/>
        <w:gridCol w:w="1168"/>
        <w:gridCol w:w="154"/>
        <w:gridCol w:w="109"/>
        <w:gridCol w:w="109"/>
        <w:gridCol w:w="109"/>
        <w:gridCol w:w="596"/>
        <w:gridCol w:w="1148"/>
        <w:gridCol w:w="310"/>
        <w:gridCol w:w="109"/>
        <w:gridCol w:w="109"/>
        <w:gridCol w:w="109"/>
        <w:gridCol w:w="307"/>
        <w:gridCol w:w="1055"/>
        <w:gridCol w:w="227"/>
      </w:tblGrid>
      <w:tr>
        <w:trPr/>
        <w:tc>
          <w:tcPr>
            <w:tcW w:w="80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 at reporting date using</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Quoted prices</w:t>
              <w:br/>
              <w:t>in active markets for</w:t>
              <w:br/>
              <w:t>identical assets</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w:t>
              <w:br/>
              <w:t>other</w:t>
              <w:br/>
              <w:t>observable inputs (Level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w:t>
              <w:br/>
              <w:t>unobservable inputs</w:t>
              <w:br/>
              <w:t>(Level 3)</w:t>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31, 2024</w:t>
            </w:r>
          </w:p>
        </w:tc>
        <w:tc>
          <w:tcPr>
            <w:tcW w:w="16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w:t>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111,959 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1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 Purchase Agreement</w:t>
            </w:r>
          </w:p>
        </w:tc>
        <w:tc>
          <w:tcPr>
            <w:tcW w:w="298"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8"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8"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76,800 </w:t>
            </w:r>
          </w:p>
        </w:tc>
        <w:tc>
          <w:tcPr>
            <w:tcW w:w="227"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5816" w:type="dxa"/>
        <w:jc w:val="left"/>
        <w:tblInd w:w="0" w:type="dxa"/>
        <w:tblLayout w:type="fixed"/>
        <w:tblCellMar>
          <w:top w:w="28" w:type="dxa"/>
          <w:left w:w="28" w:type="dxa"/>
          <w:bottom w:w="28" w:type="dxa"/>
          <w:right w:w="28" w:type="dxa"/>
        </w:tblCellMar>
      </w:tblPr>
      <w:tblGrid>
        <w:gridCol w:w="798"/>
        <w:gridCol w:w="701"/>
        <w:gridCol w:w="705"/>
        <w:gridCol w:w="211"/>
        <w:gridCol w:w="826"/>
        <w:gridCol w:w="109"/>
        <w:gridCol w:w="109"/>
        <w:gridCol w:w="109"/>
        <w:gridCol w:w="109"/>
        <w:gridCol w:w="211"/>
        <w:gridCol w:w="406"/>
        <w:gridCol w:w="109"/>
        <w:gridCol w:w="109"/>
        <w:gridCol w:w="109"/>
        <w:gridCol w:w="109"/>
        <w:gridCol w:w="211"/>
        <w:gridCol w:w="721"/>
        <w:gridCol w:w="154"/>
      </w:tblGrid>
      <w:tr>
        <w:trPr/>
        <w:tc>
          <w:tcPr>
            <w:tcW w:w="79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2023</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 Purchase Agreement</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75,700 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classify our investments in available-for-sale U.S. Treasury securities and the money market fund into Level 1 of the ASC Topic 820 hierarchy because fair values represent quoted market prices for identical or comparable instruments.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f4c434fe772b446ca7e94b1dd2bc86c4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Centessa Pharmaceuticals plc </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Notes to the Unaudited Interim Consolidated Financial Statements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represents the amortized cost bases and fair values of the Company’s U.S. Treasury securities and its money market fund as of March 31, 2024 (amounts in thousands):</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1353"/>
        <w:gridCol w:w="1180"/>
        <w:gridCol w:w="1187"/>
        <w:gridCol w:w="223"/>
        <w:gridCol w:w="874"/>
        <w:gridCol w:w="115"/>
        <w:gridCol w:w="109"/>
        <w:gridCol w:w="109"/>
        <w:gridCol w:w="109"/>
        <w:gridCol w:w="352"/>
        <w:gridCol w:w="1028"/>
        <w:gridCol w:w="181"/>
        <w:gridCol w:w="109"/>
        <w:gridCol w:w="109"/>
        <w:gridCol w:w="109"/>
        <w:gridCol w:w="445"/>
        <w:gridCol w:w="858"/>
        <w:gridCol w:w="232"/>
        <w:gridCol w:w="109"/>
        <w:gridCol w:w="109"/>
        <w:gridCol w:w="109"/>
        <w:gridCol w:w="211"/>
        <w:gridCol w:w="826"/>
        <w:gridCol w:w="159"/>
      </w:tblGrid>
      <w:tr>
        <w:trPr/>
        <w:tc>
          <w:tcPr>
            <w:tcW w:w="1353"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Gross Unrealized Gains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 included in Cash and cash equivalents</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26,700 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26,700 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 included in:</w:t>
            </w:r>
          </w:p>
        </w:tc>
        <w:tc>
          <w:tcPr>
            <w:tcW w:w="12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110,073 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1,886 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111,959 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U.S. Treasury securities</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110,073 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1,886 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111,959 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the Company's financial instruments measured at fair value on a recurring basis using significant unobservable inputs (Level 3), the following table provides a reconciliation of the beginning and ending balances for each category therein (amounts in thousands):</w:t>
      </w:r>
    </w:p>
    <w:tbl>
      <w:tblPr>
        <w:tblW w:w="4962" w:type="dxa"/>
        <w:jc w:val="left"/>
        <w:tblInd w:w="0" w:type="dxa"/>
        <w:tblLayout w:type="fixed"/>
        <w:tblCellMar>
          <w:top w:w="28" w:type="dxa"/>
          <w:left w:w="28" w:type="dxa"/>
          <w:bottom w:w="28" w:type="dxa"/>
          <w:right w:w="28" w:type="dxa"/>
        </w:tblCellMar>
      </w:tblPr>
      <w:tblGrid>
        <w:gridCol w:w="940"/>
        <w:gridCol w:w="824"/>
        <w:gridCol w:w="831"/>
        <w:gridCol w:w="109"/>
        <w:gridCol w:w="109"/>
        <w:gridCol w:w="109"/>
        <w:gridCol w:w="396"/>
        <w:gridCol w:w="1355"/>
        <w:gridCol w:w="289"/>
      </w:tblGrid>
      <w:tr>
        <w:trPr/>
        <w:tc>
          <w:tcPr>
            <w:tcW w:w="940"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Note Purchase Agreement</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Balance at January 1, 2023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69,800 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5,900 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75,700 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76,800 </w:t>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Note Purchase Agreement represents the present value of estimated future payments, including interest, principal as well as estimated payments that are contingent upon the achievement of specified milestones. The fair value of the notes is based on the cumulative probability of the various estimated payments. The fair value measurement is based on significant Level 3 unobservable inputs such as the probability of achieving the milestones, anticipated timelines, probability and timing of an early redemption of all obligations under the agreement and discount rate. Any changes in the fair value of the liability are recognized in the consolidated statement of operations and comprehensive loss until it is settled. For the three months ended March 31, 2024, the Company recorded an unrealized loss of $1.1 million for the estimated change in fair value of the Note Purchase Agreement, which was recorded in Other (Expense) Income, net in the consolidated statement of operations and comprehensive loss. The unrealized loss primarily reflects the accretion of discount.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4. Balance Sheet Components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 consist of the following (amounts in thousands):</w:t>
      </w:r>
    </w:p>
    <w:tbl>
      <w:tblPr>
        <w:tblW w:w="5923" w:type="dxa"/>
        <w:jc w:val="left"/>
        <w:tblInd w:w="0" w:type="dxa"/>
        <w:tblLayout w:type="fixed"/>
        <w:tblCellMar>
          <w:top w:w="28" w:type="dxa"/>
          <w:left w:w="28" w:type="dxa"/>
          <w:bottom w:w="28" w:type="dxa"/>
          <w:right w:w="28" w:type="dxa"/>
        </w:tblCellMar>
      </w:tblPr>
      <w:tblGrid>
        <w:gridCol w:w="1120"/>
        <w:gridCol w:w="982"/>
        <w:gridCol w:w="987"/>
        <w:gridCol w:w="211"/>
        <w:gridCol w:w="721"/>
        <w:gridCol w:w="109"/>
        <w:gridCol w:w="109"/>
        <w:gridCol w:w="109"/>
        <w:gridCol w:w="109"/>
        <w:gridCol w:w="109"/>
        <w:gridCol w:w="109"/>
        <w:gridCol w:w="109"/>
        <w:gridCol w:w="221"/>
        <w:gridCol w:w="757"/>
        <w:gridCol w:w="161"/>
      </w:tblGrid>
      <w:tr>
        <w:trPr/>
        <w:tc>
          <w:tcPr>
            <w:tcW w:w="1120"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16,123 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Insurance related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Value added tax receivable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20,725 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f4c434fe772b446ca7e94b1dd2bc86c4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Centessa Pharmaceuticals plc </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Notes to the Unaudited Interim Consolidated Financial Statements</w:t>
      </w:r>
    </w:p>
    <w:p>
      <w:pPr>
        <w:pStyle w:val="TextBody"/>
        <w:bidi w:val="0"/>
        <w:spacing w:lineRule="auto" w:line="288" w:before="3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 consist of the following (amounts in thousands):</w:t>
      </w:r>
    </w:p>
    <w:tbl>
      <w:tblPr>
        <w:tblW w:w="5923" w:type="dxa"/>
        <w:jc w:val="left"/>
        <w:tblInd w:w="0" w:type="dxa"/>
        <w:tblLayout w:type="fixed"/>
        <w:tblCellMar>
          <w:top w:w="28" w:type="dxa"/>
          <w:left w:w="28" w:type="dxa"/>
          <w:bottom w:w="28" w:type="dxa"/>
          <w:right w:w="28" w:type="dxa"/>
        </w:tblCellMar>
      </w:tblPr>
      <w:tblGrid>
        <w:gridCol w:w="1120"/>
        <w:gridCol w:w="982"/>
        <w:gridCol w:w="987"/>
        <w:gridCol w:w="211"/>
        <w:gridCol w:w="721"/>
        <w:gridCol w:w="109"/>
        <w:gridCol w:w="109"/>
        <w:gridCol w:w="109"/>
        <w:gridCol w:w="109"/>
        <w:gridCol w:w="109"/>
        <w:gridCol w:w="109"/>
        <w:gridCol w:w="109"/>
        <w:gridCol w:w="221"/>
        <w:gridCol w:w="757"/>
        <w:gridCol w:w="161"/>
      </w:tblGrid>
      <w:tr>
        <w:trPr/>
        <w:tc>
          <w:tcPr>
            <w:tcW w:w="1120"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18,814 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Personnel related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fees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27,570 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consisted of the following (amounts in thousands):</w:t>
      </w:r>
    </w:p>
    <w:tbl>
      <w:tblPr>
        <w:tblW w:w="5050" w:type="dxa"/>
        <w:jc w:val="left"/>
        <w:tblInd w:w="0" w:type="dxa"/>
        <w:tblLayout w:type="fixed"/>
        <w:tblCellMar>
          <w:top w:w="28" w:type="dxa"/>
          <w:left w:w="28" w:type="dxa"/>
          <w:bottom w:w="28" w:type="dxa"/>
          <w:right w:w="28" w:type="dxa"/>
        </w:tblCellMar>
      </w:tblPr>
      <w:tblGrid>
        <w:gridCol w:w="989"/>
        <w:gridCol w:w="867"/>
        <w:gridCol w:w="873"/>
        <w:gridCol w:w="229"/>
        <w:gridCol w:w="507"/>
        <w:gridCol w:w="118"/>
        <w:gridCol w:w="109"/>
        <w:gridCol w:w="109"/>
        <w:gridCol w:w="109"/>
        <w:gridCol w:w="245"/>
        <w:gridCol w:w="716"/>
        <w:gridCol w:w="179"/>
      </w:tblGrid>
      <w:tr>
        <w:trPr/>
        <w:tc>
          <w:tcPr>
            <w:tcW w:w="989"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 furniture</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at cost</w:t>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1,501 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1,501 </w:t>
            </w:r>
          </w:p>
        </w:tc>
        <w:tc>
          <w:tcPr>
            <w:tcW w:w="17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1,039 </w:t>
            </w:r>
          </w:p>
        </w:tc>
        <w:tc>
          <w:tcPr>
            <w:tcW w:w="17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current period changes, net of applicable income taxes, for unrealized gains on available for sale securities presented in accumulated other comprehensive income (amounts in thousands):</w:t>
      </w:r>
    </w:p>
    <w:tbl>
      <w:tblPr>
        <w:tblW w:w="6794" w:type="dxa"/>
        <w:jc w:val="left"/>
        <w:tblInd w:w="0" w:type="dxa"/>
        <w:tblLayout w:type="fixed"/>
        <w:tblCellMar>
          <w:top w:w="28" w:type="dxa"/>
          <w:left w:w="28" w:type="dxa"/>
          <w:bottom w:w="28" w:type="dxa"/>
          <w:right w:w="28" w:type="dxa"/>
        </w:tblCellMar>
      </w:tblPr>
      <w:tblGrid>
        <w:gridCol w:w="1864"/>
        <w:gridCol w:w="1635"/>
        <w:gridCol w:w="1645"/>
        <w:gridCol w:w="355"/>
        <w:gridCol w:w="1036"/>
        <w:gridCol w:w="259"/>
      </w:tblGrid>
      <w:tr>
        <w:trPr/>
        <w:tc>
          <w:tcPr>
            <w:tcW w:w="1864" w:type="dxa"/>
            <w:tcBorders/>
            <w:vAlign w:val="center"/>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jc w:val="left"/>
              <w:rPr>
                <w:sz w:val="4"/>
                <w:szCs w:val="4"/>
              </w:rPr>
            </w:pPr>
            <w:r>
              <w:rPr>
                <w:sz w:val="4"/>
                <w:szCs w:val="4"/>
              </w:rPr>
            </w:r>
          </w:p>
        </w:tc>
        <w:tc>
          <w:tcPr>
            <w:tcW w:w="164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 2024</w:t>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Current period increase in fair value, net of tax of $0.3 million</w:t>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Reclassifications to net loss, net of tax of $0.2 million</w:t>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3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1,445 </w:t>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5. Debt</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Debt as of March 31, 2024 and December 31, 2023 (in thousands):</w:t>
      </w:r>
    </w:p>
    <w:p>
      <w:pPr>
        <w:pStyle w:val="TextBody"/>
        <w:bidi w:val="0"/>
        <w:spacing w:before="0" w:after="0"/>
        <w:jc w:val="both"/>
        <w:rPr/>
      </w:pPr>
      <w:r>
        <w:rPr/>
      </w:r>
    </w:p>
    <w:tbl>
      <w:tblPr>
        <w:tblW w:w="4712" w:type="dxa"/>
        <w:jc w:val="left"/>
        <w:tblInd w:w="0" w:type="dxa"/>
        <w:tblLayout w:type="fixed"/>
        <w:tblCellMar>
          <w:top w:w="28" w:type="dxa"/>
          <w:left w:w="28" w:type="dxa"/>
          <w:bottom w:w="28" w:type="dxa"/>
          <w:right w:w="28" w:type="dxa"/>
        </w:tblCellMar>
      </w:tblPr>
      <w:tblGrid>
        <w:gridCol w:w="798"/>
        <w:gridCol w:w="701"/>
        <w:gridCol w:w="706"/>
        <w:gridCol w:w="211"/>
        <w:gridCol w:w="721"/>
        <w:gridCol w:w="109"/>
        <w:gridCol w:w="109"/>
        <w:gridCol w:w="109"/>
        <w:gridCol w:w="109"/>
        <w:gridCol w:w="221"/>
        <w:gridCol w:w="757"/>
        <w:gridCol w:w="161"/>
      </w:tblGrid>
      <w:tr>
        <w:trPr/>
        <w:tc>
          <w:tcPr>
            <w:tcW w:w="79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 Purchase Agreement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75,700 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1, 2021 (the “Signing Date”), the Company, as issuer, and certain of the Company’s wholly owned subsidiaries, as guarantors (the “Guarantors”), entered into a Note Purchase Agreement (the “NPA”) with Oberland Capital Management LLC (the “Purchasers”) and Cocoon SA LLC (the “Agent”), an affiliate of Oberland Capital Management LLC, as agent for the Purchasers. On February 11, 2022, on November 7, 2022 and on June 23, 2023, the Company, the Guarantors, the Purchasers and the Agent agreed to certain amendments to the Note Purchase Agreement, memorialized in the “Amendment”, the “Second Amendment”, and the “Third Amendment” respectively. The Note Purchase Agreement, collectively with the amendments, is hereinafter referred to as the NPA.</w:t>
      </w:r>
    </w:p>
    <w:p>
      <w:pPr>
        <w:pStyle w:val="TextBody"/>
        <w:bidi w:val="0"/>
        <w:spacing w:lineRule="auto" w:line="288" w:before="240" w:after="283"/>
        <w:ind w:left="0" w:right="0" w:firstLine="720"/>
        <w:jc w:val="both"/>
        <w:rPr/>
      </w:pPr>
      <w:r>
        <w:rPr>
          <w:rFonts w:ascii="Times New Roman;sans-serif" w:hAnsi="Times New Roman;sans-serif"/>
          <w:b w:val="false"/>
          <w:color w:val="000000"/>
          <w:sz w:val="20"/>
        </w:rPr>
        <w:t>As of March 31, 2024, in addition to a secured note in the principal amount of</w:t>
      </w:r>
      <w:r>
        <w:rPr>
          <w:color w:val="000000"/>
          <w:shd w:fill="FFFFFF" w:val="clear"/>
        </w:rPr>
        <w:t xml:space="preserve"> </w:t>
      </w:r>
      <w:r>
        <w:rPr>
          <w:rFonts w:ascii="Times New Roman;sans-serif" w:hAnsi="Times New Roman;sans-serif"/>
          <w:b w:val="false"/>
          <w:color w:val="000000"/>
          <w:sz w:val="20"/>
        </w:rPr>
        <w:t>$75 million</w:t>
      </w:r>
      <w:r>
        <w:rPr>
          <w:rFonts w:ascii="Times New Roman;sans-serif" w:hAnsi="Times New Roman;sans-serif"/>
          <w:b w:val="false"/>
          <w:color w:val="000000"/>
          <w:sz w:val="20"/>
          <w:shd w:fill="FFFFFF" w:val="clear"/>
        </w:rPr>
        <w:t>,</w:t>
      </w:r>
      <w:r>
        <w:rPr>
          <w:color w:val="000000"/>
        </w:rPr>
        <w:t xml:space="preserve"> </w:t>
      </w:r>
      <w:r>
        <w:rPr>
          <w:rFonts w:ascii="Times New Roman;sans-serif" w:hAnsi="Times New Roman;sans-serif"/>
          <w:b w:val="false"/>
          <w:color w:val="000000"/>
          <w:sz w:val="20"/>
        </w:rPr>
        <w:t>which was funded on October 4, 2021 (the “First Purchase Date”), the Purchasers have agreed to purchase tranches of secured notes in the aggregate principal amount of up to $175 million, including up to $75 million</w:t>
      </w:r>
      <w:r>
        <w:rPr>
          <w:color w:val="000000"/>
          <w:shd w:fill="FFFFFF" w:val="clear"/>
        </w:rPr>
        <w:t xml:space="preserve"> </w:t>
      </w:r>
      <w:r>
        <w:rPr>
          <w:rFonts w:ascii="Times New Roman;sans-serif" w:hAnsi="Times New Roman;sans-serif"/>
          <w:b w:val="false"/>
          <w:color w:val="000000"/>
          <w:sz w:val="20"/>
          <w:shd w:fill="FFFFFF" w:val="clear"/>
        </w:rPr>
        <w:t>through September 2024, at the Company’s option</w:t>
      </w:r>
      <w:r>
        <w:rPr>
          <w:rFonts w:ascii="Times New Roman;sans-serif" w:hAnsi="Times New Roman;sans-serif"/>
          <w:b w:val="false"/>
          <w:color w:val="000000"/>
          <w:sz w:val="20"/>
        </w:rPr>
        <w:t xml:space="preserve">; and up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f4c434fe772b446ca7e94b1dd2bc86c4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Centessa Pharmaceuticals plc </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Notes to the Unaudited Interim Consolidated Financial Statements</w:t>
      </w:r>
    </w:p>
    <w:p>
      <w:pPr>
        <w:pStyle w:val="TextBody"/>
        <w:bidi w:val="0"/>
        <w:spacing w:lineRule="auto" w:line="288" w:before="240" w:after="283"/>
        <w:jc w:val="both"/>
        <w:rPr/>
      </w:pPr>
      <w:r>
        <w:rPr>
          <w:rFonts w:ascii="Times New Roman;sans-serif" w:hAnsi="Times New Roman;sans-serif"/>
          <w:b w:val="false"/>
          <w:color w:val="000000"/>
          <w:sz w:val="20"/>
        </w:rPr>
        <w:t>to $100 million</w:t>
      </w:r>
      <w:r>
        <w:rPr>
          <w:color w:val="000000"/>
          <w:shd w:fill="FFFFFF" w:val="clear"/>
        </w:rPr>
        <w:t xml:space="preserve"> </w:t>
      </w:r>
      <w:r>
        <w:rPr>
          <w:rFonts w:ascii="Times New Roman;sans-serif" w:hAnsi="Times New Roman;sans-serif"/>
          <w:b w:val="false"/>
          <w:color w:val="000000"/>
          <w:sz w:val="20"/>
        </w:rPr>
        <w:t xml:space="preserve">at any time at the Company’s and Purchasers’ option, to be used to finance certain permitted acquisitions as described in the NPA.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notes under the NPA will mature on the six-year anniversary of the First Purchase Date, unless earlier accelerated under the terms of the NPA. At maturity, the Company must repay the outstanding principal amount of the Notes, together with any accrued and unpaid interest thereon and other outstanding obligations thereunder. Interest is payable quarterly during the term of the Notes at a rate per annum equal to the sum of (a) the greater of (i) the Secured Overnight Financing Rate (“SOFR”) (which may be subject to replacement as contemplated by the NPA) and (ii) 0.25%; plus (b) 7.75% (which percentage is subject to adjustment as described in the NPA); provided that the interest rate shall never be less than 8.00%. The average interest rate over the three months ended March 31, 2024 was 13.3% per annum compared with an average interest rate of 12.50% per annum over the three months ended March 31, 2023.</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obligations under the facility are secured by a first priority security interest in all assets of the Company and Guarantors, subject to variation in accordance with local law with respect to assets held by the Company and the Guarantors outside of the United States.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Upon the first regulatory approval of any of the Company’s product candidates by either the FDA or the European Medicines Agency (“EMA”), the Company is obligated to pay the Purchasers an amount equal to 30% of the aggregate principal amount issued under the Notes by the Company (the “Milestone Payment”). The Milestone Payment shall be paid in quarterly installments over 5 years beginning on the earlier of (i) the date of the first commercial sale following such regulatory approval; and (ii) the six month anniversary of such regulatory approval. The Milestone Payment is triggered one time only, and applies only to the Company’s first product to obtain regulatory approval.</w:t>
      </w:r>
    </w:p>
    <w:p>
      <w:pPr>
        <w:pStyle w:val="TextBody"/>
        <w:bidi w:val="0"/>
        <w:spacing w:lineRule="auto" w:line="288" w:before="240" w:after="283"/>
        <w:ind w:left="0" w:right="0" w:firstLine="720"/>
        <w:jc w:val="both"/>
        <w:rPr/>
      </w:pPr>
      <w:r>
        <w:rPr>
          <w:rFonts w:ascii="Times New Roman;sans-serif" w:hAnsi="Times New Roman;sans-serif"/>
          <w:b w:val="false"/>
          <w:color w:val="000000"/>
          <w:sz w:val="20"/>
        </w:rPr>
        <w:t xml:space="preserve">The Company may redeem all, but not less than all, of the outstanding notes (if any) and pay all other outstanding obligations under the NPA. On the applicable date, the Company shall repurchase the notes by paying an amount of up to (i) 175% of the principal amount issued under the notes if such repurchase occurs on or prior to the third anniversary of the First Purchase Date, (ii) 185% of the principal amount issued under the notes if such repurchase occurs between the third and sixth anniversaries of the First Purchase Date, and (iii) 205% of the principal amount issued under the notes if such repurchase occurs thereafter, in each case less specified deductions and exclusions described in the NPA, including amounts paid by the Company to the Purchasers in respect of certain asset sale or strategic transactions, the interest payments and the Milestone Payments (the “Final Payment Amount”). </w:t>
      </w:r>
      <w:r>
        <w:rPr>
          <w:rFonts w:ascii="Times New Roman;sans-serif" w:hAnsi="Times New Roman;sans-serif"/>
          <w:b w:val="false"/>
          <w:color w:val="000000"/>
          <w:sz w:val="20"/>
          <w:shd w:fill="FFFFFF" w:val="clear"/>
        </w:rPr>
        <w:t xml:space="preserve">As of </w:t>
      </w:r>
      <w:r>
        <w:rPr>
          <w:rFonts w:ascii="Times New Roman;sans-serif" w:hAnsi="Times New Roman;sans-serif"/>
          <w:b w:val="false"/>
          <w:color w:val="000000"/>
          <w:sz w:val="20"/>
        </w:rPr>
        <w:t>March 31, 2024</w:t>
      </w:r>
      <w:r>
        <w:rPr>
          <w:rFonts w:ascii="Times New Roman;sans-serif" w:hAnsi="Times New Roman;sans-serif"/>
          <w:b w:val="false"/>
          <w:color w:val="000000"/>
          <w:sz w:val="20"/>
          <w:shd w:fill="FFFFFF" w:val="clear"/>
        </w:rPr>
        <w:t xml:space="preserve">, the Company has made cumulative payments under the NPA, including interest payments, totaling </w:t>
      </w:r>
      <w:r>
        <w:rPr>
          <w:rFonts w:ascii="Times New Roman;sans-serif" w:hAnsi="Times New Roman;sans-serif"/>
          <w:b w:val="false"/>
          <w:color w:val="000000"/>
          <w:sz w:val="20"/>
        </w:rPr>
        <w:t>$21.2 million</w:t>
      </w:r>
      <w:r>
        <w:rPr>
          <w:rFonts w:ascii="Times New Roman;sans-serif" w:hAnsi="Times New Roman;sans-serif"/>
          <w:b w:val="false"/>
          <w:color w:val="000000"/>
          <w:sz w:val="20"/>
          <w:shd w:fill="FFFFFF" w:val="clear"/>
        </w:rPr>
        <w:t>.</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Conversely, the Purchasers may require the Company to redeem any outstanding notes by payment of the Final Payment Amount upon a sale, divestment or transfer of all or substantially all assets of the Company in a transaction or series of transactions or a change of control of the Company, a material breach of the NPA and related transaction documents, an event of default under the NPA or the tenth anniversary of the First Purchase Date (or such earlier date as described in the NPA). In addition, upon certain asset sales and similar strategic transactions by the Company with respect to its own or its subsidiaries’ assets or businesses as described in the NPA (other than a change of control described above), the Purchasers may require the Company to pay an amount in cash equal to up to 75% of the Net Proceeds (as defined in the NPA) received from such asset sales, subject to a $100 million deductible such that the Purchaser Agent will not collect any repurchase amounts until $100 million has been received by the Company from such sale event (the “Deductible”).</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NPA contains customary affirmative and negative covenants, including with respect to notice obligations, limitations on new indebtedness, liens, investments and transactions with affiliates of the Company, restrictions on the payment of dividends, maintenance of collateral accounts in the amount of 90% of the aggregate outstanding principal amount of all issued notes, maintenance of insurance and addition of new subsidiaries as obligors. It also contains customary representations and warranties in favor of the Purchasers and the Agent and customary events of default, which may cause the obligations of the Company to be accelerated. Such events include among others, failure to make payments when due, breach of covenants, insolvency, a cross-default to other indebtedness, a judgment event of default, and delisting of the Company’s securities from the Nasdaq Global Select Market.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f4c434fe772b446ca7e94b1dd2bc86c4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Centessa Pharmaceuticals plc </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Notes to the Unaudited Interim Consolidated Financial Statements</w:t>
      </w: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6. Commitments and Contingencies</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Commitments</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2024, the Company had non-cancellable commitments for purchase of clinical materials, contract manufacturing, maintenance, and committed funding of up to $68.7 million, of which the Company expects to pay $51.6 million within one year and $17.1 million over one to five years. The amount and timing of these payments vary depending on the rate of progress of development. Future clinical trial expenses have not been included within the purchase commitments because they are contingent on enrollment in clinical trials and the activities required to be performed by the clinical sites.</w:t>
      </w:r>
    </w:p>
    <w:p>
      <w:pPr>
        <w:pStyle w:val="TextBody"/>
        <w:bidi w:val="0"/>
        <w:spacing w:lineRule="auto" w:line="288" w:before="3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Leases</w:t>
      </w:r>
    </w:p>
    <w:p>
      <w:pPr>
        <w:pStyle w:val="TextBody"/>
        <w:bidi w:val="0"/>
        <w:spacing w:lineRule="auto" w:line="288" w:before="120" w:after="283"/>
        <w:ind w:left="0" w:right="0" w:firstLine="720"/>
        <w:jc w:val="both"/>
        <w:rPr/>
      </w:pPr>
      <w:r>
        <w:rPr>
          <w:rFonts w:ascii="Times New Roman;sans-serif" w:hAnsi="Times New Roman;sans-serif"/>
          <w:b w:val="false"/>
          <w:color w:val="000000"/>
          <w:sz w:val="20"/>
        </w:rPr>
        <w:t>On February 7, 2022, the Company entered into an operating lease for its new corporate headquarters in Boston, Massachusetts (the “Boston Lease”). After a build out of the space, the Boston Lease commenced on March 31, 2023. The 10-year</w:t>
      </w:r>
      <w:r>
        <w:rPr>
          <w:color w:val="000000"/>
          <w:shd w:fill="FFFFFF" w:val="clear"/>
        </w:rPr>
        <w:t xml:space="preserve"> </w:t>
      </w:r>
      <w:r>
        <w:rPr>
          <w:rFonts w:ascii="Times New Roman;sans-serif" w:hAnsi="Times New Roman;sans-serif"/>
          <w:b w:val="false"/>
          <w:color w:val="000000"/>
          <w:sz w:val="20"/>
        </w:rPr>
        <w:t xml:space="preserve">Boston Lease is for 18,922 square feet with a fixed annual rent of </w:t>
      </w:r>
      <w:r>
        <w:rPr>
          <w:rFonts w:ascii="Times New Roman;sans-serif" w:hAnsi="Times New Roman;sans-serif"/>
          <w:b w:val="false"/>
          <w:color w:val="000000"/>
          <w:sz w:val="20"/>
          <w:shd w:fill="FFFFFF" w:val="clear"/>
        </w:rPr>
        <w:t>approximately $1.6 million commencing in 2023 and escalating to approximately $1.9 million by year 10</w:t>
      </w:r>
      <w:r>
        <w:rPr>
          <w:rFonts w:ascii="Times New Roman;sans-serif" w:hAnsi="Times New Roman;sans-serif"/>
          <w:b w:val="false"/>
          <w:color w:val="000000"/>
          <w:sz w:val="20"/>
        </w:rPr>
        <w:t xml:space="preserve">. The Boston Lease </w:t>
      </w:r>
      <w:r>
        <w:rPr>
          <w:rFonts w:ascii="Times New Roman;sans-serif" w:hAnsi="Times New Roman;sans-serif"/>
          <w:b w:val="false"/>
          <w:color w:val="000000"/>
          <w:sz w:val="20"/>
          <w:shd w:fill="FFFFFF" w:val="clear"/>
        </w:rPr>
        <w:t xml:space="preserve">required the Company to issue a letter of credit in the amount of $0.7 million in favor of the landlord. </w:t>
      </w:r>
      <w:r>
        <w:rPr>
          <w:rFonts w:ascii="Times New Roman;sans-serif" w:hAnsi="Times New Roman;sans-serif"/>
          <w:b w:val="false"/>
          <w:color w:val="000000"/>
          <w:sz w:val="20"/>
        </w:rPr>
        <w:t>The Company may, at its discretion, extend the Boston Lease for one extension term of five years. As of March 31, 2024, the Company has recognized an operating lease right-of-use asset, net of $11.7 million, including capitalized leasehold improvements that will be owned by the landlord, prepayments of rent, and a corresponding lease liability of $9.3 million</w:t>
      </w:r>
      <w:r>
        <w:rPr>
          <w:rFonts w:ascii="Times New Roman;sans-serif" w:hAnsi="Times New Roman;sans-serif"/>
          <w:b w:val="false"/>
          <w:color w:val="000000"/>
          <w:sz w:val="20"/>
          <w:shd w:fill="FFFFFF" w:val="clear"/>
        </w:rPr>
        <w:t xml:space="preserve">. On October 11, 2023, the Company entered into a five-year agreement to sublet 4,242 square feet of the Boston Lease, which may be extended at subtenant’s option.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balance sheet information related to leases as of March 31, 2024 (amounts in thousands):</w:t>
      </w:r>
    </w:p>
    <w:tbl>
      <w:tblPr>
        <w:tblW w:w="5651" w:type="dxa"/>
        <w:jc w:val="left"/>
        <w:tblInd w:w="0" w:type="dxa"/>
        <w:tblLayout w:type="fixed"/>
        <w:tblCellMar>
          <w:top w:w="28" w:type="dxa"/>
          <w:left w:w="28" w:type="dxa"/>
          <w:bottom w:w="28" w:type="dxa"/>
          <w:right w:w="28" w:type="dxa"/>
        </w:tblCellMar>
      </w:tblPr>
      <w:tblGrid>
        <w:gridCol w:w="1450"/>
        <w:gridCol w:w="1278"/>
        <w:gridCol w:w="1291"/>
        <w:gridCol w:w="109"/>
        <w:gridCol w:w="109"/>
        <w:gridCol w:w="109"/>
        <w:gridCol w:w="253"/>
        <w:gridCol w:w="867"/>
        <w:gridCol w:w="185"/>
      </w:tblGrid>
      <w:tr>
        <w:trPr/>
        <w:tc>
          <w:tcPr>
            <w:tcW w:w="1450"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11,694 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net of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9,272 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calculating the present value of the lease payments, the Company elected to utilize its incremental borrowing rate based on the original term of the lease. The following table summarizes supplemental information related to leases as of March 31, 2024:</w:t>
      </w:r>
    </w:p>
    <w:tbl>
      <w:tblPr>
        <w:tblW w:w="5049" w:type="dxa"/>
        <w:jc w:val="left"/>
        <w:tblInd w:w="0" w:type="dxa"/>
        <w:tblLayout w:type="fixed"/>
        <w:tblCellMar>
          <w:top w:w="28" w:type="dxa"/>
          <w:left w:w="28" w:type="dxa"/>
          <w:bottom w:w="28" w:type="dxa"/>
          <w:right w:w="28" w:type="dxa"/>
        </w:tblCellMar>
      </w:tblPr>
      <w:tblGrid>
        <w:gridCol w:w="1207"/>
        <w:gridCol w:w="1059"/>
        <w:gridCol w:w="1064"/>
        <w:gridCol w:w="109"/>
        <w:gridCol w:w="109"/>
        <w:gridCol w:w="109"/>
        <w:gridCol w:w="308"/>
        <w:gridCol w:w="308"/>
        <w:gridCol w:w="776"/>
      </w:tblGrid>
      <w:tr>
        <w:trPr/>
        <w:tc>
          <w:tcPr>
            <w:tcW w:w="1207"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lease term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years</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11.97 </w:t>
            </w:r>
          </w:p>
        </w:tc>
        <w:tc>
          <w:tcPr>
            <w:tcW w:w="7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f4c434fe772b446ca7e94b1dd2bc86c4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Centessa Pharmaceuticals plc </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Notes to the Unaudited Interim Consolidated Financial Statements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the Company’s lease costs are classified on its consolidated statements of operations as follows (amounts in thousands):</w:t>
      </w:r>
    </w:p>
    <w:tbl>
      <w:tblPr>
        <w:tblW w:w="6113" w:type="dxa"/>
        <w:jc w:val="left"/>
        <w:tblInd w:w="0" w:type="dxa"/>
        <w:tblLayout w:type="fixed"/>
        <w:tblCellMar>
          <w:top w:w="28" w:type="dxa"/>
          <w:left w:w="28" w:type="dxa"/>
          <w:bottom w:w="28" w:type="dxa"/>
          <w:right w:w="28" w:type="dxa"/>
        </w:tblCellMar>
      </w:tblPr>
      <w:tblGrid>
        <w:gridCol w:w="798"/>
        <w:gridCol w:w="701"/>
        <w:gridCol w:w="706"/>
        <w:gridCol w:w="109"/>
        <w:gridCol w:w="109"/>
        <w:gridCol w:w="109"/>
        <w:gridCol w:w="431"/>
        <w:gridCol w:w="952"/>
        <w:gridCol w:w="222"/>
        <w:gridCol w:w="109"/>
        <w:gridCol w:w="109"/>
        <w:gridCol w:w="109"/>
        <w:gridCol w:w="451"/>
        <w:gridCol w:w="869"/>
        <w:gridCol w:w="329"/>
      </w:tblGrid>
      <w:tr>
        <w:trPr/>
        <w:tc>
          <w:tcPr>
            <w:tcW w:w="79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 2023</w:t>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499 </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 term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Sublease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417 </w:t>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3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Future lease payments under non-cancelable operating leases as of March 31, 2024 were as follows (amounts in thousands):</w:t>
      </w:r>
    </w:p>
    <w:p>
      <w:pPr>
        <w:pStyle w:val="TextBody"/>
        <w:bidi w:val="0"/>
        <w:spacing w:before="0" w:after="0"/>
        <w:jc w:val="both"/>
        <w:rPr/>
      </w:pPr>
      <w:r>
        <w:rPr/>
      </w:r>
    </w:p>
    <w:tbl>
      <w:tblPr>
        <w:tblW w:w="6578" w:type="dxa"/>
        <w:jc w:val="left"/>
        <w:tblInd w:w="0" w:type="dxa"/>
        <w:tblLayout w:type="fixed"/>
        <w:tblCellMar>
          <w:top w:w="28" w:type="dxa"/>
          <w:left w:w="28" w:type="dxa"/>
          <w:bottom w:w="28" w:type="dxa"/>
          <w:right w:w="28" w:type="dxa"/>
        </w:tblCellMar>
      </w:tblPr>
      <w:tblGrid>
        <w:gridCol w:w="1167"/>
        <w:gridCol w:w="1026"/>
        <w:gridCol w:w="1032"/>
        <w:gridCol w:w="109"/>
        <w:gridCol w:w="109"/>
        <w:gridCol w:w="109"/>
        <w:gridCol w:w="276"/>
        <w:gridCol w:w="946"/>
        <w:gridCol w:w="143"/>
        <w:gridCol w:w="109"/>
        <w:gridCol w:w="109"/>
        <w:gridCol w:w="109"/>
        <w:gridCol w:w="287"/>
        <w:gridCol w:w="838"/>
        <w:gridCol w:w="209"/>
      </w:tblGrid>
      <w:tr>
        <w:trPr/>
        <w:tc>
          <w:tcPr>
            <w:tcW w:w="1167"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Sublease Income</w:t>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1,667 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15,226 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1,694 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(5,954)</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9,272 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 net of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8,744 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both"/>
        <w:rPr/>
      </w:pPr>
      <w:r>
        <w:rPr>
          <w:rFonts w:ascii="Times New Roman;sans-serif" w:hAnsi="Times New Roman;sans-serif"/>
          <w:b w:val="false"/>
          <w:i/>
          <w:color w:val="000000"/>
          <w:sz w:val="20"/>
        </w:rPr>
        <w:t>Licensing</w:t>
      </w:r>
      <w:r>
        <w:rPr>
          <w:color w:val="000000"/>
          <w:shd w:fill="FFFFFF" w:val="clear"/>
        </w:rPr>
        <w:t xml:space="preserve"> </w:t>
      </w:r>
      <w:r>
        <w:rPr>
          <w:rFonts w:ascii="Times New Roman;sans-serif" w:hAnsi="Times New Roman;sans-serif"/>
          <w:b w:val="false"/>
          <w:i/>
          <w:color w:val="000000"/>
          <w:sz w:val="20"/>
          <w:shd w:fill="FFFFFF" w:val="clear"/>
        </w:rPr>
        <w:t>and Collaborative Arrangements</w:t>
      </w:r>
    </w:p>
    <w:p>
      <w:pPr>
        <w:pStyle w:val="TextBody"/>
        <w:bidi w:val="0"/>
        <w:spacing w:lineRule="auto" w:line="288" w:before="120" w:after="283"/>
        <w:ind w:left="0" w:right="0" w:firstLine="720"/>
        <w:jc w:val="both"/>
        <w:rPr/>
      </w:pPr>
      <w:r>
        <w:rPr>
          <w:rFonts w:ascii="Times New Roman;sans-serif" w:hAnsi="Times New Roman;sans-serif"/>
          <w:b w:val="false"/>
          <w:color w:val="000000"/>
          <w:sz w:val="20"/>
        </w:rPr>
        <w:t xml:space="preserve">The Company is party to licensing and collaboration arrangements to develop and commercialize intellectual property. </w:t>
      </w:r>
      <w:r>
        <w:rPr>
          <w:rFonts w:ascii="Times New Roman;sans-serif" w:hAnsi="Times New Roman;sans-serif"/>
          <w:b w:val="false"/>
          <w:color w:val="000000"/>
          <w:sz w:val="20"/>
          <w:shd w:fill="FFFFFF" w:val="clear"/>
        </w:rPr>
        <w:t xml:space="preserve">As of </w:t>
      </w:r>
      <w:r>
        <w:rPr>
          <w:rFonts w:ascii="Times New Roman;sans-serif" w:hAnsi="Times New Roman;sans-serif"/>
          <w:b w:val="false"/>
          <w:color w:val="000000"/>
          <w:sz w:val="20"/>
        </w:rPr>
        <w:t>March 31, 2024</w:t>
      </w:r>
      <w:r>
        <w:rPr>
          <w:rFonts w:ascii="Times New Roman;sans-serif" w:hAnsi="Times New Roman;sans-serif"/>
          <w:b w:val="false"/>
          <w:color w:val="000000"/>
          <w:sz w:val="20"/>
          <w:shd w:fill="FFFFFF" w:val="clear"/>
        </w:rPr>
        <w:t xml:space="preserve">, the Company had </w:t>
      </w:r>
      <w:r>
        <w:rPr>
          <w:rFonts w:ascii="Times New Roman;sans-serif" w:hAnsi="Times New Roman;sans-serif"/>
          <w:b w:val="false"/>
          <w:color w:val="000000"/>
          <w:sz w:val="20"/>
        </w:rPr>
        <w:t>no</w:t>
      </w:r>
      <w:r>
        <w:rPr>
          <w:color w:val="000000"/>
          <w:shd w:fill="FFFFFF" w:val="clear"/>
        </w:rPr>
        <w:t xml:space="preserve"> </w:t>
      </w:r>
      <w:r>
        <w:rPr>
          <w:rFonts w:ascii="Times New Roman;sans-serif" w:hAnsi="Times New Roman;sans-serif"/>
          <w:b w:val="false"/>
          <w:color w:val="000000"/>
          <w:sz w:val="20"/>
          <w:shd w:fill="FFFFFF" w:val="clear"/>
        </w:rPr>
        <w:t xml:space="preserve">licensing and collaborative arrangement milestone obligations recorded on its balance sheet. </w:t>
      </w:r>
    </w:p>
    <w:p>
      <w:pPr>
        <w:pStyle w:val="TextBody"/>
        <w:bidi w:val="0"/>
        <w:spacing w:lineRule="auto" w:line="288"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License Agreement with Heptares Limited in connection with Orexin Program</w:t>
      </w:r>
    </w:p>
    <w:p>
      <w:pPr>
        <w:pStyle w:val="TextBody"/>
        <w:bidi w:val="0"/>
        <w:spacing w:lineRule="auto" w:line="288" w:before="120" w:after="283"/>
        <w:ind w:left="0" w:right="0" w:firstLine="720"/>
        <w:jc w:val="both"/>
        <w:rPr/>
      </w:pPr>
      <w:r>
        <w:rPr>
          <w:rFonts w:ascii="Times New Roman;sans-serif" w:hAnsi="Times New Roman;sans-serif"/>
          <w:b w:val="false"/>
          <w:color w:val="000000"/>
          <w:sz w:val="20"/>
        </w:rPr>
        <w:t>The Company is party to a license, assignment, and research services agreement with Heptares Therapeutics Limited (“Heptares”), relating to certain specific molecules with, among other criteria, the primary mode of action of an orexin agonist or orexin positive modulator (“Molecules”). Under the agreement, Heptares assigned to the Company all of Heptares’ right, title, and interest in and to intellectual property that is already in existence and that is developed as a result of the agreement that relates solely to Molecules or products that contain Molecules (“Products”), including all rights to obtain patent or similar protection throughout the world for such intellectual property and to take any and all actions regarding past infringements of existing intellectual property. Additionally, Heptares granted to the Company an exclusive, sublicensable (subject to certain terms) license to make, import, export, use, sell, or offer for sale, including to development, commercialization, registration, modification, enhancement, improvement, manufacturing, holding, keeping or disposing of Molecules and Products. Heptares must not by itself or through a third party (other than a single company) exploit, use or dispose of (</w:t>
      </w:r>
      <w:r>
        <w:rPr>
          <w:rFonts w:ascii="Times New Roman;sans-serif" w:hAnsi="Times New Roman;sans-serif"/>
          <w:b w:val="false"/>
          <w:i/>
          <w:color w:val="000000"/>
          <w:sz w:val="20"/>
        </w:rPr>
        <w:t>inter alia</w:t>
      </w:r>
      <w:r>
        <w:rPr>
          <w:rFonts w:ascii="Times New Roman;sans-serif" w:hAnsi="Times New Roman;sans-serif"/>
          <w:b w:val="false"/>
          <w:color w:val="000000"/>
          <w:sz w:val="20"/>
        </w:rPr>
        <w:t>) any product in the field of orexin agonism and orexin positive modulation for the duration of the agreement and for three years thereafter.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f4c434fe772b446ca7e94b1dd2bc86c4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Centessa Pharmaceuticals plc </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Notes to the Unaudited Interim Consolidated Financial Statements</w:t>
      </w:r>
    </w:p>
    <w:p>
      <w:pPr>
        <w:pStyle w:val="TextBody"/>
        <w:bidi w:val="0"/>
        <w:spacing w:lineRule="auto" w:line="288" w:before="240" w:after="283"/>
        <w:ind w:left="0" w:right="0" w:firstLine="720"/>
        <w:jc w:val="both"/>
        <w:rPr/>
      </w:pPr>
      <w:r>
        <w:rPr>
          <w:rFonts w:ascii="Times New Roman;sans-serif" w:hAnsi="Times New Roman;sans-serif"/>
          <w:b w:val="false"/>
          <w:color w:val="000000"/>
          <w:sz w:val="20"/>
        </w:rPr>
        <w:t xml:space="preserve">In consideration for the assignment and license, the Company is to pay Heptares a royalty in the low single-digits on net sales of Products (subject to limitations in certain scenarios). Royalties are on a Product-by-Product and country-by country basis. Payments shall commence with the first commercial sale of such product in a country and shall continue until the later of: (a) the duration of regulatory exclusivity in the country; or (b) ten years after the first commercial sale. Further, the Company is responsible for all development costs incurred by itself or Heptares in the performance of the research program (within the confines of the research budget). Additionally, the Company must pay Heptares, on a Molecule-by-Molecule basis, development milestone payments in the aggregate of a low double-digit number in the millions of pounds sterling. Milestone payments are payable once per Molecule. </w:t>
      </w:r>
      <w:r>
        <w:rPr>
          <w:rFonts w:ascii="Times New Roman;sans-serif" w:hAnsi="Times New Roman;sans-serif"/>
          <w:b w:val="false"/>
          <w:color w:val="000000"/>
          <w:sz w:val="20"/>
          <w:shd w:fill="FFFFFF" w:val="clear"/>
        </w:rPr>
        <w:t xml:space="preserve">The Company anticipates paying between the low single digits millions of pounds sterling to low double digit millions of pounds sterling </w:t>
      </w:r>
      <w:r>
        <w:rPr>
          <w:rFonts w:ascii="Times New Roman;sans-serif" w:hAnsi="Times New Roman;sans-serif"/>
          <w:b w:val="false"/>
          <w:color w:val="000000"/>
          <w:sz w:val="20"/>
        </w:rPr>
        <w:t>in the next twelve months.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may terminate the agreement at any time following the expiration or termination of the research program. In addition, customary termination rights exist for both parties for breach and insolvency. In the event of termination, all licenses automatically terminate. The term of the agreement is until the later of: (i) the expiration of the last to expire patent within the licensed intellectual property; (ii) the expiration of the royalty term; and (iii) the fifteenth anniversary of the effective date. Upon expiration, with respect to any given Molecule, the license granted to the Company shall become perpetual, irrevocable, and fully-paid up. </w:t>
      </w:r>
    </w:p>
    <w:p>
      <w:pPr>
        <w:pStyle w:val="TextBody"/>
        <w:bidi w:val="0"/>
        <w:spacing w:lineRule="auto" w:line="288" w:before="360" w:after="283"/>
        <w:jc w:val="both"/>
        <w:rPr>
          <w:rFonts w:ascii="Times New Roman;sans-serif" w:hAnsi="Times New Roman;sans-serif"/>
          <w:b w:val="false"/>
          <w:color w:val="000000"/>
          <w:sz w:val="20"/>
          <w:u w:val="single"/>
          <w:shd w:fill="FFFFFF" w:val="clear"/>
        </w:rPr>
      </w:pPr>
      <w:r>
        <w:rPr>
          <w:rFonts w:ascii="Times New Roman;sans-serif" w:hAnsi="Times New Roman;sans-serif"/>
          <w:b w:val="false"/>
          <w:color w:val="000000"/>
          <w:sz w:val="20"/>
          <w:u w:val="single"/>
          <w:shd w:fill="FFFFFF" w:val="clear"/>
        </w:rPr>
        <w:t>Other License and Collaboration Agreements</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a party to other license and collaboration agreements to develop and commercialize intellectual property in addition to the agreement discussed above. In aggregate, Centessa is obligated to make up to $4.8 million and $15.0 million in development and commercial milestone payments, respectively, related to these other agreements.</w:t>
      </w:r>
    </w:p>
    <w:p>
      <w:pPr>
        <w:pStyle w:val="TextBody"/>
        <w:bidi w:val="0"/>
        <w:spacing w:lineRule="auto" w:line="288" w:before="3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Contingencies</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may have certain contingent liabilities that arise in the ordinary course of its business activities. The Company accrues a liability for such matters when it is probable that future expenditures will be made, and such expenditures can be reasonably estimated.</w:t>
      </w:r>
    </w:p>
    <w:p>
      <w:pPr>
        <w:pStyle w:val="TextBody"/>
        <w:bidi w:val="0"/>
        <w:spacing w:lineRule="auto" w:line="288" w:before="36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Litigation</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28, 2022 (“Original Complaint”), the Company and certain of its current and former officers were named as defendants in a proposed class-action lawsuit filed in the United States District Court for the Central District of California. The complaint generally alleges that the Company violated Sections 10(b) and 20(a) and Sections 11 and 15 of the Securities Act of 1933, as amended (the “Securities Act”) by allegedly making materially false and/or misleading statements, as well as allegedly failing to disclose material adverse facts relating to the safety profile and future clinical and commercial prospects of each of its lixivaptan and ZF874 programs, which caused the Company’s securities to trade at artificially inflated prices. On October 12, 2022, by order, the lawsuit was transferred to the United States District Court for the Southern District of New York. On February 10, 2023, an amended complaint was filed (“Amended Complaint”) in which our IPO underwriters were added as co-defendants. A number of the claims set forth in the Original Complaint have been abandoned including with respect to intentional fraud theory and claims pursuant to Sections 10(b) or 20(a) of the Securities Exchange Act of 1934. The only claims alleged in the Amended Complaint are violations of Sections 11 and 15 of the Securities Act based on alleged misstatements in the S-1 filed by the Company in connection with its Initial Public Offering. The Amended Complaint also abandoned any claims concerning ZF874 and focuses entirely on lixivaptan. The Amended Complaint seeks damages and attorneys’ fees, among other things. On August 23, 2023, the Company submitted its motion to dismiss all claims, which remains pending. The Company believes this lawsuit is without merit and intends to defend the case vigorously. Litigation is subject to inherent uncertainty and a court could ultimately rule against the Company. In addition, the defense of litigation and related matters are costly and may divert the attention of the Company’s management and other resources that would otherwise be engaged in other activities. The Company has not recorded an estimate of the possible loss associated with this legal proceeding due to the uncertainties related to both the likelihood and the amount of any possible loss or range of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f4c434fe772b446ca7e94b1dd2bc86c4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Centessa Pharmaceuticals plc </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Notes to the Unaudited Interim Consolidated Financial Statements</w:t>
      </w: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7. Share-based Compensation</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Centessa Pharmaceuticals plc Stock Option and Incentive Plan</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January 2021, the Company’s board of directors approved the 2021 Stock Option and Incentive Plan (the “2021 Plan”). The 2021 Plan provides for the granting of ordinary shares, incentive stock options, non-qualified stock options, restricted share awards, restricted stock units and/or share appreciation rights to employees, directors, and other persons, as determined by the Company’s board of directors. The number of shares authorized under the 2021 Plan was increased in May 2021 at the time of the IPO, whereby the total number of shares authorized under the 2021 Plan was 20,026,816. Beginning on January 1, 2022 and each January 1 thereafter, the number of shares reserved and available for issuance under the 2021 Plan shall be cumulatively increased by 5% of the number of shares issued and outstanding on the immediately preceding December 31, or such lesser number as the board of directors may determine. Remaining shares available for future grants as of March 31, 2024 were 9,445,643.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Share-based Compensation Expense</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recorded share-based compensation expense in the following expense categories in the unaudited interim consolidated statements of operations and comprehensive loss (amounts in thousands):</w:t>
      </w:r>
    </w:p>
    <w:tbl>
      <w:tblPr>
        <w:tblW w:w="6545" w:type="dxa"/>
        <w:jc w:val="left"/>
        <w:tblInd w:w="0" w:type="dxa"/>
        <w:tblLayout w:type="fixed"/>
        <w:tblCellMar>
          <w:top w:w="28" w:type="dxa"/>
          <w:left w:w="28" w:type="dxa"/>
          <w:bottom w:w="28" w:type="dxa"/>
          <w:right w:w="28" w:type="dxa"/>
        </w:tblCellMar>
      </w:tblPr>
      <w:tblGrid>
        <w:gridCol w:w="837"/>
        <w:gridCol w:w="734"/>
        <w:gridCol w:w="738"/>
        <w:gridCol w:w="109"/>
        <w:gridCol w:w="109"/>
        <w:gridCol w:w="109"/>
        <w:gridCol w:w="109"/>
        <w:gridCol w:w="109"/>
        <w:gridCol w:w="109"/>
        <w:gridCol w:w="362"/>
        <w:gridCol w:w="1056"/>
        <w:gridCol w:w="187"/>
        <w:gridCol w:w="109"/>
        <w:gridCol w:w="109"/>
        <w:gridCol w:w="109"/>
        <w:gridCol w:w="355"/>
        <w:gridCol w:w="1036"/>
        <w:gridCol w:w="259"/>
      </w:tblGrid>
      <w:tr>
        <w:trPr/>
        <w:tc>
          <w:tcPr>
            <w:tcW w:w="83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 2023</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3,725 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3,284 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4,429 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3,906 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8,154 </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7,190 </w:t>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Stock Options</w:t>
      </w:r>
    </w:p>
    <w:p>
      <w:pPr>
        <w:pStyle w:val="TextBody"/>
        <w:bidi w:val="0"/>
        <w:spacing w:lineRule="auto" w:line="288" w:before="240" w:after="283"/>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summarizes stock option activity for the three months ended March 31, 2024:</w:t>
      </w:r>
    </w:p>
    <w:tbl>
      <w:tblPr>
        <w:tblW w:w="10205" w:type="dxa"/>
        <w:jc w:val="center"/>
        <w:tblInd w:w="0" w:type="dxa"/>
        <w:tblLayout w:type="fixed"/>
        <w:tblCellMar>
          <w:top w:w="28" w:type="dxa"/>
          <w:left w:w="28" w:type="dxa"/>
          <w:bottom w:w="28" w:type="dxa"/>
          <w:right w:w="28" w:type="dxa"/>
        </w:tblCellMar>
      </w:tblPr>
      <w:tblGrid>
        <w:gridCol w:w="1069"/>
        <w:gridCol w:w="834"/>
        <w:gridCol w:w="840"/>
        <w:gridCol w:w="540"/>
        <w:gridCol w:w="541"/>
        <w:gridCol w:w="372"/>
        <w:gridCol w:w="109"/>
        <w:gridCol w:w="109"/>
        <w:gridCol w:w="109"/>
        <w:gridCol w:w="646"/>
        <w:gridCol w:w="1566"/>
        <w:gridCol w:w="335"/>
        <w:gridCol w:w="109"/>
        <w:gridCol w:w="109"/>
        <w:gridCol w:w="109"/>
        <w:gridCol w:w="821"/>
        <w:gridCol w:w="821"/>
        <w:gridCol w:w="1166"/>
      </w:tblGrid>
      <w:tr>
        <w:trPr/>
        <w:tc>
          <w:tcPr>
            <w:tcW w:w="1069"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r>
      <w:tr>
        <w:trPr/>
        <w:tc>
          <w:tcPr>
            <w:tcW w:w="2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Exercise Price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Remaining Contractual Term</w:t>
            </w:r>
          </w:p>
        </w:tc>
      </w:tr>
      <w:tr>
        <w:trPr/>
        <w:tc>
          <w:tcPr>
            <w:tcW w:w="274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January 1, 2024</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16,069,015 </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7.09 </w:t>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years</w:t>
            </w:r>
          </w:p>
        </w:tc>
      </w:tr>
      <w:tr>
        <w:trPr/>
        <w:tc>
          <w:tcPr>
            <w:tcW w:w="27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2,874,100 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(176,460)</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(50,416)</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2024</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18,716,239 </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years</w:t>
            </w:r>
          </w:p>
        </w:tc>
      </w:tr>
      <w:tr>
        <w:trPr/>
        <w:tc>
          <w:tcPr>
            <w:tcW w:w="274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at March 31, 2024</w:t>
            </w:r>
          </w:p>
        </w:tc>
        <w:tc>
          <w:tcPr>
            <w:tcW w:w="10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9,250,365 </w:t>
            </w:r>
          </w:p>
        </w:tc>
        <w:tc>
          <w:tcPr>
            <w:tcW w:w="37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years</w:t>
            </w:r>
          </w:p>
        </w:tc>
      </w:tr>
      <w:tr>
        <w:trPr/>
        <w:tc>
          <w:tcPr>
            <w:tcW w:w="274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Vested and expected to vest at March 31, 2024</w:t>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18,716,239 </w:t>
            </w:r>
          </w:p>
        </w:tc>
        <w:tc>
          <w:tcPr>
            <w:tcW w:w="3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years</w:t>
            </w:r>
          </w:p>
        </w:tc>
      </w:tr>
    </w:tbl>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weighted-average grant date fair value of options granted was $5.57 per share for the three months ended March 31, 2024. As of March 31, 2024, the total unrecognized compensation expense related to unvested stock option awards was $41.1 million, which the Company expects to recognize over a weighted-average period of 2.6 years.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Based on the trading price of $11.30 per ADS, which is the closing price as of March 31, 2024, the aggregate intrinsic value of options as of March 31, 2024 was $81.2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f4c434fe772b446ca7e94b1dd2bc86c4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Centessa Pharmaceuticals plc </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Notes to the Unaudited Interim Consolidated Financial Statements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2024, the fair value of each option was estimated on the date of grant using the weighted average assumptions in the table below:</w:t>
      </w:r>
    </w:p>
    <w:tbl>
      <w:tblPr>
        <w:tblW w:w="3653" w:type="dxa"/>
        <w:jc w:val="center"/>
        <w:tblInd w:w="0" w:type="dxa"/>
        <w:tblLayout w:type="fixed"/>
        <w:tblCellMar>
          <w:top w:w="28" w:type="dxa"/>
          <w:left w:w="28" w:type="dxa"/>
          <w:bottom w:w="28" w:type="dxa"/>
          <w:right w:w="28" w:type="dxa"/>
        </w:tblCellMar>
      </w:tblPr>
      <w:tblGrid>
        <w:gridCol w:w="951"/>
        <w:gridCol w:w="835"/>
        <w:gridCol w:w="839"/>
        <w:gridCol w:w="255"/>
        <w:gridCol w:w="256"/>
        <w:gridCol w:w="517"/>
      </w:tblGrid>
      <w:tr>
        <w:trPr/>
        <w:tc>
          <w:tcPr>
            <w:tcW w:w="951"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w:t>
            </w:r>
          </w:p>
        </w:tc>
        <w:tc>
          <w:tcPr>
            <w:tcW w:w="1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years</w:t>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stock price volatility</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76.3 </w:t>
            </w:r>
          </w:p>
        </w:tc>
        <w:tc>
          <w:tcPr>
            <w:tcW w:w="5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5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 yield</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w:t>
            </w:r>
          </w:p>
        </w:tc>
        <w:tc>
          <w:tcPr>
            <w:tcW w:w="5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uses the Black-Scholes option pricing model to value its stock option awards. The expected life of the stock options is estimated using the “simplified method,” as the Company has limited historical information from which to develop reasonable expectations about future exercise patterns and post-vesting employment termination behavior for its stock option grants. The simplified method is the midpoint between the vesting period and the contractual term of the option. For share price volatility, the Company uses comparable public companies as a basis for its expected volatility to calculate the fair value of option grants. The risk-free rate is based on the U.S. Treasury yield curve commensurate with the expected life of the option. Forfeitures of stock options are recognized in the period the forfeiture occurs.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Restricted Share Awards and Units</w:t>
      </w:r>
    </w:p>
    <w:p>
      <w:pPr>
        <w:pStyle w:val="TextBody"/>
        <w:bidi w:val="0"/>
        <w:spacing w:lineRule="auto" w:line="288" w:before="120" w:after="283"/>
        <w:ind w:left="0" w:right="0" w:firstLine="720"/>
        <w:jc w:val="both"/>
        <w:rPr/>
      </w:pPr>
      <w:r>
        <w:rPr>
          <w:rFonts w:ascii="Times New Roman;sans-serif" w:hAnsi="Times New Roman;sans-serif"/>
          <w:b w:val="false"/>
          <w:color w:val="000000"/>
          <w:sz w:val="20"/>
        </w:rPr>
        <w:t xml:space="preserve">In connection with the acquisition of the Centessa subsidiaries in January 2021, the Company issued 379,905 ordinary shares subject to future vesting under its Restricted Stock Awards program. For the period subsequent to the acquisition, the Company issued an additional 833,897 ordinary shares subject to future vesting to an employee. </w:t>
      </w:r>
      <w:r>
        <w:rPr>
          <w:rFonts w:ascii="Times New Roman;sans-serif" w:hAnsi="Times New Roman;sans-serif"/>
          <w:b w:val="false"/>
          <w:color w:val="000000"/>
          <w:sz w:val="20"/>
          <w:shd w:fill="FFFFFF" w:val="clear"/>
        </w:rPr>
        <w:t>The fair value of the awards were based upon the estimated fair value of the Company’s ordinary shares at the time of grant.</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Board, following the recommendations of the Company’s Compensation Committee, grants service-based restricted stock unit awards under the Company’s Stock Incentive Plan to certain executive officers and employees of the Company to encourage employee retention. Periodic grants are made at fair market value, representing the NASDAQ market close quoted price on the day of the grant. </w:t>
      </w:r>
    </w:p>
    <w:p>
      <w:pPr>
        <w:pStyle w:val="TextBody"/>
        <w:bidi w:val="0"/>
        <w:spacing w:lineRule="auto" w:line="288" w:before="120" w:after="283"/>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summarizes ordinary share activity related to the restricted stock programs for the three months ended March 31, 2024:</w:t>
      </w:r>
    </w:p>
    <w:tbl>
      <w:tblPr>
        <w:tblW w:w="10205" w:type="dxa"/>
        <w:jc w:val="center"/>
        <w:tblInd w:w="0" w:type="dxa"/>
        <w:tblLayout w:type="fixed"/>
        <w:tblCellMar>
          <w:top w:w="28" w:type="dxa"/>
          <w:left w:w="28" w:type="dxa"/>
          <w:bottom w:w="28" w:type="dxa"/>
          <w:right w:w="28" w:type="dxa"/>
        </w:tblCellMar>
      </w:tblPr>
      <w:tblGrid>
        <w:gridCol w:w="948"/>
        <w:gridCol w:w="618"/>
        <w:gridCol w:w="620"/>
        <w:gridCol w:w="248"/>
        <w:gridCol w:w="725"/>
        <w:gridCol w:w="127"/>
        <w:gridCol w:w="115"/>
        <w:gridCol w:w="115"/>
        <w:gridCol w:w="115"/>
        <w:gridCol w:w="777"/>
        <w:gridCol w:w="777"/>
        <w:gridCol w:w="779"/>
        <w:gridCol w:w="109"/>
        <w:gridCol w:w="109"/>
        <w:gridCol w:w="109"/>
        <w:gridCol w:w="265"/>
        <w:gridCol w:w="810"/>
        <w:gridCol w:w="122"/>
        <w:gridCol w:w="109"/>
        <w:gridCol w:w="109"/>
        <w:gridCol w:w="109"/>
        <w:gridCol w:w="572"/>
        <w:gridCol w:w="1388"/>
        <w:gridCol w:w="430"/>
      </w:tblGrid>
      <w:tr>
        <w:trPr/>
        <w:tc>
          <w:tcPr>
            <w:tcW w:w="94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2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Restricted Stock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Restricted Stock Units</w:t>
            </w:r>
          </w:p>
        </w:tc>
      </w:tr>
      <w:tr>
        <w:trPr/>
        <w:tc>
          <w:tcPr>
            <w:tcW w:w="2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Grant Date Fair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Grant Date Fair Value Per Share</w:t>
            </w:r>
          </w:p>
        </w:tc>
      </w:tr>
      <w:tr>
        <w:trPr/>
        <w:tc>
          <w:tcPr>
            <w:tcW w:w="218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Unvested at January 1, 2024</w:t>
            </w:r>
          </w:p>
        </w:tc>
        <w:tc>
          <w:tcPr>
            <w:tcW w:w="9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310,052 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1,949,463 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938,850 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8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(56,534)</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(424,392)</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(16,800)</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Unvested at March 31, 2024</w:t>
            </w:r>
          </w:p>
        </w:tc>
        <w:tc>
          <w:tcPr>
            <w:tcW w:w="9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253,518 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2,447,121 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Unrecognized compensation expense</w:t>
            </w:r>
          </w:p>
          <w:p>
            <w:pPr>
              <w:pStyle w:val="TableContents"/>
              <w:bidi w:val="0"/>
              <w:spacing w:lineRule="auto" w:line="288" w:before="0" w:after="0"/>
              <w:jc w:val="left"/>
              <w:rPr>
                <w:color w:val="000000"/>
              </w:rPr>
            </w:pPr>
            <w:r>
              <w:rPr>
                <w:color w:val="000000"/>
              </w:rPr>
              <w:t> </w:t>
            </w:r>
            <w:r>
              <w:rPr>
                <w:rFonts w:ascii="Times New Roman;sans-serif" w:hAnsi="Times New Roman;sans-serif"/>
                <w:b w:val="false"/>
                <w:color w:val="000000"/>
                <w:sz w:val="20"/>
              </w:rPr>
              <w:t>at March 31, 2024 (in thousands)</w:t>
            </w:r>
          </w:p>
        </w:tc>
        <w:tc>
          <w:tcPr>
            <w:tcW w:w="24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13,575 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weighted average recognition period</w:t>
            </w:r>
          </w:p>
        </w:tc>
        <w:tc>
          <w:tcPr>
            <w:tcW w:w="11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years</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Employee Share Purchase Plan</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January 2021, the Company’s board of directors approved the 2021 Employee Share Purchase Plan (the “ESPP”). The initial number of shares reserved for issuance under the 2021 ESPP was 860,000. On January 1, 2022 and each January 1 thereafter, the number of shares reserved and available for issuance under the ESPP shall be cumulatively increased by a number of shares equal to the lesser of: (i) 1% of the number of Shares issued and outstanding on the immediately preceding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f4c434fe772b446ca7e94b1dd2bc86c4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Centessa Pharmaceuticals plc </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Notes to the Unaudited Interim Consolidated Financial Statements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December 31; (ii) two times the initial number of shares reserved or (iii) such number of shares as determined by the board of directors. As of March 31, 2024, no shares have been purchased or issued under the ESPP and remaining shares reserved for the ESPP were 2,708,415.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pPr>
      <w:r>
        <w:rPr>
          <w:rFonts w:ascii="Times New Roman;sans-serif" w:hAnsi="Times New Roman;sans-serif"/>
          <w:b/>
          <w:color w:val="000000"/>
          <w:sz w:val="20"/>
        </w:rPr>
        <w:t>8.</w:t>
      </w:r>
      <w:r>
        <w:rPr>
          <w:color w:val="000000"/>
        </w:rPr>
        <w:t xml:space="preserve"> </w:t>
      </w:r>
      <w:r>
        <w:rPr>
          <w:rFonts w:ascii="Times New Roman;sans-serif" w:hAnsi="Times New Roman;sans-serif"/>
          <w:b/>
          <w:color w:val="000000"/>
          <w:sz w:val="20"/>
        </w:rPr>
        <w:t>Subsequent Event</w:t>
      </w:r>
    </w:p>
    <w:p>
      <w:pPr>
        <w:pStyle w:val="TextBody"/>
        <w:bidi w:val="0"/>
        <w:spacing w:lineRule="auto" w:line="288" w:before="120" w:after="283"/>
        <w:ind w:left="0" w:right="0" w:firstLine="720"/>
        <w:jc w:val="both"/>
        <w:rPr/>
      </w:pPr>
      <w:r>
        <w:rPr>
          <w:rFonts w:ascii="Times New Roman;sans-serif" w:hAnsi="Times New Roman;sans-serif"/>
          <w:b w:val="false"/>
          <w:color w:val="000000"/>
          <w:sz w:val="20"/>
          <w:shd w:fill="FFFFFF" w:val="clear"/>
        </w:rPr>
        <w:t xml:space="preserve">On April 26, 2024 and May 3, 2024, the Company completed an offering of its ordinary shares </w:t>
      </w:r>
      <w:r>
        <w:rPr>
          <w:rFonts w:ascii="Times New Roman;sans-serif" w:hAnsi="Times New Roman;sans-serif"/>
          <w:b w:val="false"/>
          <w:color w:val="000000"/>
          <w:sz w:val="20"/>
        </w:rPr>
        <w:t xml:space="preserve">through the sale and issuance of a cumulative 12,390,254 ADSs, at an offering price of $9.25 per ADS pursuant to an underwriting agreement with Goldman Sachs &amp; Co. LLC and Leerink Partners LLC (the “Underwriters”). Each ADS represents one ordinary share with a nominal value of £0.002 per ordinary share. </w:t>
      </w:r>
      <w:r>
        <w:rPr>
          <w:rFonts w:ascii="Times New Roman;sans-serif" w:hAnsi="Times New Roman;sans-serif"/>
          <w:b w:val="false"/>
          <w:color w:val="000000"/>
          <w:sz w:val="20"/>
          <w:shd w:fill="FFFFFF" w:val="clear"/>
        </w:rPr>
        <w:t xml:space="preserve">This completed offering, which included the Underwriters’ over-allotment option to purchase additional shares, was made pursuant to the Shelf noted above. The Company estimates that the net proceeds of this offering, after deducting underwriting discounts and commissions and estimated offering expenses, will be approximately </w:t>
      </w:r>
      <w:r>
        <w:rPr>
          <w:rFonts w:ascii="Times New Roman;sans-serif" w:hAnsi="Times New Roman;sans-serif"/>
          <w:b w:val="false"/>
          <w:color w:val="000000"/>
          <w:sz w:val="20"/>
        </w:rPr>
        <w:t>$107.2 million</w:t>
      </w:r>
      <w:r>
        <w:rPr>
          <w:rFonts w:ascii="Times New Roman;sans-serif" w:hAnsi="Times New Roman;sans-serif"/>
          <w:b w:val="false"/>
          <w:color w:val="000000"/>
          <w:sz w:val="20"/>
          <w:shd w:fill="FFFFFF" w:val="clear"/>
        </w:rPr>
        <w:t>. The Company intends to use the net proceeds from the offering, together with its existing cash, cash equivalents, and short-term investments, to fund the continued development of its product candidates, as well as for general corporate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120" w:after="283"/>
        <w:jc w:val="both"/>
        <w:rPr/>
      </w:pPr>
      <w:r>
        <w:rPr>
          <w:rFonts w:ascii="Times New Roman;sans-serif" w:hAnsi="Times New Roman;sans-serif"/>
          <w:b w:val="false"/>
          <w:i/>
          <w:color w:val="000000"/>
          <w:sz w:val="20"/>
        </w:rPr>
        <w:t xml:space="preserve">The following discussion and analysis should be read in conjunction with the unaudited interim consolidated financial statements and related notes thereto, included elsewhere herein and the audited consolidated financial statements and notes thereto for the year ended December 31, </w:t>
      </w:r>
      <w:r>
        <w:rPr>
          <w:rFonts w:ascii="Times New Roman;sans-serif" w:hAnsi="Times New Roman;sans-serif"/>
          <w:b w:val="false"/>
          <w:color w:val="000000"/>
          <w:sz w:val="20"/>
        </w:rPr>
        <w:t>2023</w:t>
      </w:r>
      <w:r>
        <w:rPr>
          <w:color w:val="000000"/>
        </w:rPr>
        <w:t xml:space="preserve"> </w:t>
      </w:r>
      <w:r>
        <w:rPr>
          <w:rFonts w:ascii="Times New Roman;sans-serif" w:hAnsi="Times New Roman;sans-serif"/>
          <w:b w:val="false"/>
          <w:i/>
          <w:color w:val="000000"/>
          <w:sz w:val="20"/>
        </w:rPr>
        <w:t>and the related Management’s Discussion and Analysis of Financial Condition and Results of Operation, all of which are contained in our Annual Report on Form 10-K (the “</w:t>
      </w:r>
      <w:r>
        <w:rPr>
          <w:rFonts w:ascii="Times New Roman;sans-serif" w:hAnsi="Times New Roman;sans-serif"/>
          <w:b w:val="false"/>
          <w:color w:val="000000"/>
          <w:sz w:val="20"/>
        </w:rPr>
        <w:t>2023</w:t>
      </w:r>
      <w:r>
        <w:rPr>
          <w:color w:val="000000"/>
        </w:rPr>
        <w:t xml:space="preserve"> </w:t>
      </w:r>
      <w:r>
        <w:rPr>
          <w:rFonts w:ascii="Times New Roman;sans-serif" w:hAnsi="Times New Roman;sans-serif"/>
          <w:b w:val="false"/>
          <w:i/>
          <w:color w:val="000000"/>
          <w:sz w:val="20"/>
        </w:rPr>
        <w:t xml:space="preserve">Annual Report”) filed with the SEC. In addition to historical financial information, some of the information contained in the following discussion and analysis contains forward-looking statements within the meaning of Section 27A of the Securities Act of 1933, as amended, and Section 21E of the Securities Exchange Act of 1934, as amended. All statements other than statements of historical facts, including statements regarding our future results of operations and financial position, business strategy, current and prospective products, product approvals, research and development costs, current and prospective collaborations, timing and likelihood of success, plans and objectives of management for future operations and future results of current and anticipated products, are forward-looking statements. These statements involve known and unknown risks, uncertainties, assumptions and other important factors that may cause our actual results, performance or achievements to be materially different from any future results, performance or achievements expressed or implied by the forward-looking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Overview and Format of Presentation</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Centessa Pharmaceuticals plc is a clinical-stage pharmaceutical company with a mission to discover, develop and ultimately deliver medicines that are transformational for patients. We are developing a pipeline of high conviction programs in therapeutic areas of unmet need. Subject to regulatory approval, we believe that our pipeline programs have the potential to significantly impact clinical outcomes of patients in these disease areas, and compete in multi-billion-dollar markets. Our most advanced pipeline programs include:</w:t>
      </w:r>
    </w:p>
    <w:p>
      <w:pPr>
        <w:pStyle w:val="TextBody"/>
        <w:bidi w:val="0"/>
        <w:spacing w:lineRule="auto" w:line="288" w:before="240" w:after="283"/>
        <w:ind w:left="0" w:right="0" w:firstLine="720"/>
        <w:jc w:val="both"/>
        <w:rPr/>
      </w:pPr>
      <w:r>
        <w:rPr>
          <w:rFonts w:ascii="Times New Roman;sans-serif" w:hAnsi="Times New Roman;sans-serif"/>
          <w:b/>
          <w:color w:val="000000"/>
          <w:sz w:val="20"/>
        </w:rPr>
        <w:t>Hemophilia Program</w:t>
      </w:r>
      <w:r>
        <w:rPr>
          <w:rFonts w:ascii="Times New Roman;sans-serif" w:hAnsi="Times New Roman;sans-serif"/>
          <w:b/>
          <w:i/>
          <w:color w:val="000000"/>
          <w:sz w:val="20"/>
        </w:rPr>
        <w:t xml:space="preserve">: </w:t>
      </w:r>
      <w:r>
        <w:rPr>
          <w:rFonts w:ascii="Times New Roman;sans-serif" w:hAnsi="Times New Roman;sans-serif"/>
          <w:b w:val="false"/>
          <w:color w:val="000000"/>
          <w:sz w:val="20"/>
        </w:rPr>
        <w:t xml:space="preserve">SerpinPC, our most advanced product candidate, is an investigational, potentially first-in-class subcutaneously administered novel inhibitor of activated protein C (“APC”) for hemophilia. SerpinPC has a novel mechanism of action (“MoA”) designed to prevent and reduce bleeds. To date, clinical data from our ongoing Phase 2a studies in hemophilia A (“HA”) and hemophilia B (“HB”) subjects has shown SerpinPC to have a favorable safety and tolerability profile, as well as evidence of sustained efficacy in patients with hemophilia, as measured by a reduction in the all-bleeds annualized bleed rates (“ABRs”). Based on these data, we believe SerpinPC has the potential to be a first-in-class subcutaneously administered therapy with a differentiated safety profile for individuals with hemophilia, subject to regulatory review and approval.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currently evaluating SerpinPC in the PRESent registrational studies for HB with and without inhibitors. We dosed the first subject in Part 1 of the registrational PRESent-2 study of moderately severe to severe HB without inhibitors, and severe HA with or without inhibitors in July 2023, and dosed the first subject in the registrational PRESent-3 study of HB with inhibitors in October 2023. For PRESent-2, we plan to review data from Part 1 of the study (interim analysis) this year, with the goal of confirming a dose and advancing to Part 2 of the study. Thereafter, we plan to share data from Part 1 at a medical conference in late 2024 or early 2025. The primary endpoint of the PRESent-2 study is the rate of treated bleeds (expressed as ABR) during the first 24 weeks of treatment with SerpinPC (Part 2) compared to the observation period.</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parallel to the ongoing PRESent registrational studies, we continue to work with the U.S. Food and Drug Administration (“FDA”) and a number of global regulators on our product process development and qualification activities. This streamlined, integrated development program is designed to support HB, with and without inhibitors, as the initial indication for SerpinPC. The FDA granted SerpinPC Orphan Drug Designation in September 2022, and Fast Track designation in May 2023, both for the treatment of HB. While the initial focus of our ongoing clinical development program is HB, with and without inhibitors, we believe SerpinPC has the potential to treat all types of hemophilia regardless of severity or inhibitor status and it may also prevent bleeding associated with other bleeding disorders. We continue to assess registrational plans for HA. </w:t>
      </w:r>
    </w:p>
    <w:p>
      <w:pPr>
        <w:pStyle w:val="TextBody"/>
        <w:bidi w:val="0"/>
        <w:spacing w:lineRule="auto" w:line="288" w:before="240" w:after="283"/>
        <w:ind w:left="0" w:right="0" w:firstLine="720"/>
        <w:jc w:val="both"/>
        <w:rPr/>
      </w:pPr>
      <w:r>
        <w:rPr>
          <w:rFonts w:ascii="Times New Roman;sans-serif" w:hAnsi="Times New Roman;sans-serif"/>
          <w:b/>
          <w:color w:val="000000"/>
          <w:sz w:val="20"/>
        </w:rPr>
        <w:t>Orexin Receptor 2 (“OX2R”) Agonist Program</w:t>
      </w:r>
      <w:r>
        <w:rPr>
          <w:rFonts w:ascii="Times New Roman;sans-serif" w:hAnsi="Times New Roman;sans-serif"/>
          <w:b w:val="false"/>
          <w:color w:val="000000"/>
          <w:sz w:val="20"/>
        </w:rPr>
        <w:t xml:space="preserve">: ORX750 is an investigational, orally administered, selective OX2R agonist designed to directly target the underlying pathophysiology of orexin neuron loss in narcolepsy type 1 (“NT1”) and to address sleep-wake disorders with normal orexin levels such as narcolepsy type 2 (“NT2”) and idiopathic hypersomnia (“IH”). In October 2023, we shared a robust set of preclinical data which we believe support ORX750’s potential as a best-in-class OX2R agonist for the treatment of NT1, NT2 and other sleep-wake disorders, including IH. Following clearance of our Investigational New Drug application (“IND”) from the FDA in April 2024, we recently initiated a Phase 1 first-in-human (“FIH”), clinical trial of ORX750 for the treatment of narcolepsy. The Phase 1 study will evaluate the safety, tolerability and pharmacokinetics (“PK”) of single-ascending doses (“SAD”) and multiple-ascending doses (“MAD”) of ORX750 in healthy adult subjects. In parallel to the SAD, a cross-over pharmacodynamic (“PD”) assessment will be performed utilizing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Maintenance of Wakefulness Test (“MWT”) and Karolinska Sleepiness Scale (“KSS”) in acutely sleep-deprived healthy adult subjects which is intended to provide proof-of-concept (“PoC”) data to enable dose selection for NT1, NT2 and IH indications. The study has a maximum exposure limit specified by the FDA which we believe significantly exceeds the predicted efficacious doses of ORX750 in indications associated with or without orexin loss; therefore, we do not expect this limit to affect any of the planned clinical development activities for ORX750. The limit was based on a convulsion seen in a single canine at the maximum dose tested in a non-GLP dose range finding study. We expect to share PoC data in acutely sleep-deprived healthy volunteers in the second half of 2024.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also exploring follow-up orexin agonists for potential expansion opportunities into a range of sleep-wake disorders and broader neurological indications.</w:t>
      </w:r>
    </w:p>
    <w:p>
      <w:pPr>
        <w:pStyle w:val="TextBody"/>
        <w:bidi w:val="0"/>
        <w:spacing w:lineRule="auto" w:line="288" w:before="240" w:after="283"/>
        <w:ind w:left="0" w:right="0" w:firstLine="720"/>
        <w:jc w:val="both"/>
        <w:rPr/>
      </w:pPr>
      <w:r>
        <w:rPr>
          <w:rFonts w:ascii="Times New Roman;sans-serif" w:hAnsi="Times New Roman;sans-serif"/>
          <w:b/>
          <w:color w:val="000000"/>
          <w:sz w:val="20"/>
        </w:rPr>
        <w:t>LockBody</w:t>
      </w:r>
      <w:r>
        <w:rPr>
          <w:rFonts w:ascii="Times New Roman;sans-serif" w:hAnsi="Times New Roman;sans-serif"/>
          <w:b w:val="false"/>
          <w:color w:val="000000"/>
          <w:sz w:val="13"/>
        </w:rPr>
        <w:t>®</w:t>
      </w:r>
      <w:r>
        <w:rPr>
          <w:color w:val="000000"/>
        </w:rPr>
        <w:t xml:space="preserve"> </w:t>
      </w:r>
      <w:r>
        <w:rPr>
          <w:rFonts w:ascii="Times New Roman;sans-serif" w:hAnsi="Times New Roman;sans-serif"/>
          <w:b/>
          <w:color w:val="000000"/>
          <w:sz w:val="20"/>
        </w:rPr>
        <w:t>Technology Platform:</w:t>
      </w:r>
      <w:r>
        <w:rPr>
          <w:color w:val="000000"/>
        </w:rPr>
        <w:t xml:space="preserve"> </w:t>
      </w:r>
      <w:r>
        <w:rPr>
          <w:rFonts w:ascii="Times New Roman;sans-serif" w:hAnsi="Times New Roman;sans-serif"/>
          <w:b w:val="false"/>
          <w:color w:val="000000"/>
          <w:sz w:val="20"/>
        </w:rPr>
        <w:t>Leveraging our proprietary LockBody</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 xml:space="preserve">technology, we are pioneering a novel approach that is designed to selectively drive potent effector function activity, such as CD47 or CD3, into the tumor micro environment (“TME”) while avoiding systemic toxicity. We have conducted </w:t>
      </w:r>
      <w:r>
        <w:rPr>
          <w:rFonts w:ascii="Times New Roman;sans-serif" w:hAnsi="Times New Roman;sans-serif"/>
          <w:b w:val="false"/>
          <w:i/>
          <w:color w:val="000000"/>
          <w:sz w:val="20"/>
        </w:rPr>
        <w:t>in vivo</w:t>
      </w:r>
      <w:r>
        <w:rPr>
          <w:color w:val="000000"/>
        </w:rPr>
        <w:t xml:space="preserve"> </w:t>
      </w:r>
      <w:r>
        <w:rPr>
          <w:rFonts w:ascii="Times New Roman;sans-serif" w:hAnsi="Times New Roman;sans-serif"/>
          <w:b w:val="false"/>
          <w:color w:val="000000"/>
          <w:sz w:val="20"/>
        </w:rPr>
        <w:t>preclinical studies of our LockBody technology with CD47 and CD3 for the treatment of solid tumors. LB101, a conditionally tetravalent PD-L1xCD47 bi-specific monoclonal antibody, is our first LockBody product candidate. Following clearance of our IND application from the FDA in January 2023, we initiated a Phase 1/2a FIH, open-label, multicenter, dose escalation study with expansion cohorts to evaluate the safety, tolerability, and preliminary activity of LB101 in subjects with advanced solid tumors. This study consists of 2 parts: FIH dose escalation and dose optimization (Part 1a and Part 1b, respectively) and dose expansion (Part 2). Part 1 will evaluate LB101 monotherapy in subjects with selected, advanced solid tumors and determine the recommended dose(s) for expansion for Part 2. The design of Part 2 depends on the results of Part 1 and will further evaluate the safety, efficacy, tolerability, PK, and immune response of LB101. This study is also expected to provide insights into the performance of our LockBody technology platform in a clinical setting. We dosed</w:t>
      </w:r>
      <w:r>
        <w:rPr>
          <w:color w:val="000000"/>
          <w:shd w:fill="FFFFFF" w:val="clear"/>
        </w:rPr>
        <w:t xml:space="preserve"> </w:t>
      </w:r>
      <w:r>
        <w:rPr>
          <w:rFonts w:ascii="Times New Roman;sans-serif" w:hAnsi="Times New Roman;sans-serif"/>
          <w:b w:val="false"/>
          <w:color w:val="000000"/>
          <w:sz w:val="20"/>
          <w:shd w:fill="FFFFFF" w:val="clear"/>
        </w:rPr>
        <w:t xml:space="preserve">the first subject with LB101 in March 2023. </w:t>
      </w:r>
    </w:p>
    <w:p>
      <w:pPr>
        <w:pStyle w:val="TextBody"/>
        <w:bidi w:val="0"/>
        <w:spacing w:lineRule="auto" w:line="288" w:before="240" w:after="283"/>
        <w:ind w:left="0" w:right="0" w:firstLine="720"/>
        <w:jc w:val="both"/>
        <w:rPr/>
      </w:pPr>
      <w:r>
        <w:rPr>
          <w:rFonts w:ascii="Times New Roman;sans-serif" w:hAnsi="Times New Roman;sans-serif"/>
          <w:b/>
          <w:i/>
          <w:color w:val="000000"/>
          <w:sz w:val="20"/>
        </w:rPr>
        <w:t xml:space="preserve">Other Assets: </w:t>
      </w:r>
      <w:r>
        <w:rPr>
          <w:rFonts w:ascii="Times New Roman;sans-serif" w:hAnsi="Times New Roman;sans-serif"/>
          <w:b w:val="false"/>
          <w:color w:val="000000"/>
          <w:sz w:val="20"/>
        </w:rPr>
        <w:t xml:space="preserve">Our other assets consist of earlier-stage preclinical and discovery-stage assets. Where applicable, we expect to provide updates on preclinical assets as they advance toward clinical studies.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own worldwide rights to all of our pipeline programs and may opportunistically evaluate and enter into strategic transactions around certain product candidates, targets, geographies, or disease areas. </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Liquidity and Capital Resources</w:t>
      </w:r>
    </w:p>
    <w:p>
      <w:pPr>
        <w:pStyle w:val="TextBody"/>
        <w:bidi w:val="0"/>
        <w:spacing w:lineRule="auto" w:line="288" w:before="120" w:after="283"/>
        <w:ind w:left="0" w:right="0" w:firstLine="720"/>
        <w:jc w:val="both"/>
        <w:rPr/>
      </w:pPr>
      <w:r>
        <w:rPr>
          <w:rFonts w:ascii="Times New Roman;sans-serif" w:hAnsi="Times New Roman;sans-serif"/>
          <w:b w:val="false"/>
          <w:color w:val="000000"/>
          <w:sz w:val="20"/>
        </w:rPr>
        <w:t>As of March 31, 2024, we had cash, cash equivalents and short-term investments of $230.2 million. Since inception, we have devoted substantially all of our resources to acquiring and developing product and technology rights, conducting research and development in its discovery and enabling stages, in our clinical and preclinical trials, business operations and raising capital. We have incurred recurring losses and negative cash flows from operations since inception and have funded operations primarily through the sale and issuance of our equity securities. The ability to generate product revenue sufficient to achieve profitability will depend heavily on the successful development and eventual commercialization of current or future product candidates. We expect to continue to incur significant expenses and operating losses for the foreseeable future in connection with ongoing development activities related to the portfolio of programs as we advance the preclinical and clinical development of product candidates; perform research activities as we seek to discover and develop additional programs and product candidates; carry out maintenance, expansion enforcement, defense, and protection of our intellectual property portfolio; and hire additional research and development, clinical and commercial personnel. Further, inflation may affect our use of capital resources by increasing our cost of labor, research, manufacturing and clinical trial expenses. Based on our current operating model and development plans, we expect cash, cash equivalents and short-term investments as of March 31, 2024 of $230.2 million plus the net proceeds from our offering of ADSs in April 2024</w:t>
      </w:r>
      <w:r>
        <w:rPr>
          <w:rFonts w:ascii="Times New Roman;sans-serif" w:hAnsi="Times New Roman;sans-serif"/>
          <w:b w:val="false"/>
          <w:color w:val="000000"/>
          <w:sz w:val="20"/>
          <w:shd w:fill="FFFFFF" w:val="clear"/>
        </w:rPr>
        <w:t>, to fund our operations into mid-2026 without d</w:t>
      </w:r>
      <w:r>
        <w:rPr>
          <w:rFonts w:ascii="Times New Roman;sans-serif" w:hAnsi="Times New Roman;sans-serif"/>
          <w:b w:val="false"/>
          <w:color w:val="000000"/>
          <w:sz w:val="20"/>
        </w:rPr>
        <w:t>rawing on the remaining available tranches under the Note Purchase Agreement with Oberland Capital (as defined below)</w:t>
      </w:r>
      <w:r>
        <w:rPr>
          <w:rFonts w:ascii="Times New Roman;sans-serif" w:hAnsi="Times New Roman;sans-serif"/>
          <w:b w:val="false"/>
          <w:color w:val="000000"/>
          <w:sz w:val="20"/>
          <w:shd w:fill="FFFFFF" w:val="clear"/>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Components of Results of Operations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Revenues</w:t>
      </w:r>
    </w:p>
    <w:p>
      <w:pPr>
        <w:pStyle w:val="TextBody"/>
        <w:bidi w:val="0"/>
        <w:spacing w:lineRule="auto" w:line="288" w:before="120" w:after="283"/>
        <w:ind w:left="0" w:right="0" w:firstLine="720"/>
        <w:jc w:val="both"/>
        <w:rPr/>
      </w:pPr>
      <w:r>
        <w:rPr>
          <w:rFonts w:ascii="Times New Roman;sans-serif" w:hAnsi="Times New Roman;sans-serif"/>
          <w:b w:val="false"/>
          <w:color w:val="000000"/>
          <w:sz w:val="20"/>
          <w:shd w:fill="FFFFFF" w:val="clear"/>
        </w:rPr>
        <w:t>While we received non-recurring revenue related to the out-license of CBS004 and related antibodies in the year ended December 31, 2023, our ability to generate recurring product revenue and to become profitable will depend upon the ability to s</w:t>
      </w:r>
      <w:r>
        <w:rPr>
          <w:rFonts w:ascii="Times New Roman;sans-serif" w:hAnsi="Times New Roman;sans-serif"/>
          <w:b w:val="false"/>
          <w:color w:val="000000"/>
          <w:sz w:val="20"/>
        </w:rPr>
        <w:t xml:space="preserve">uccessfully develop, obtain regulatory approval and commercialize any current and future product candidates. Because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numerous risks and uncertainties associated with product development and regulatory approval, we are unable to predict the amount or timing of product revenue.</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Research and Development Expense</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consist primarily of costs incurred in connection with the discovery and development of the Company’s clinical and preclinical programs, net of reimbursements. Research and development costs are expensed as incurred. These expenses include: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expenses incurred to conduct the necessary preclinical studies and clinical trials required to obtain regulatory approval;</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milestone payments pursuant to the license agreements;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personnel expenses, including salaries, benefits and share-based compensation expense for employees engaged in research and development functions;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costs of funding research and development performed by third parties, including pursuant to agreements with contract research organizations ("CROs") for active and discontinued programs, as well as investigative sites and consultants that conduct preclinical studies and clinical trials;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expenses incurred under agreements with contract manufacturing organizations (“CMOs”), including committed costs for discontinued programs, manufacturing scale-up expenses and the cost of acquiring and manufacturing preclinical study and clinical trial materials;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fees paid to consultants who assist with research and development activities;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expenses related to regulatory activities, including filing fees paid to regulatory agencies;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allocated expenses for facility costs, including rent, utilities, depreciation and maintenance.</w:t>
      </w:r>
    </w:p>
    <w:p>
      <w:pPr>
        <w:pStyle w:val="TextBody"/>
        <w:bidi w:val="0"/>
        <w:spacing w:lineRule="auto" w:line="288" w:before="240" w:after="283"/>
        <w:ind w:left="0" w:right="0" w:firstLine="720"/>
        <w:jc w:val="both"/>
        <w:rPr/>
      </w:pPr>
      <w:r>
        <w:rPr>
          <w:rFonts w:ascii="Times New Roman;sans-serif" w:hAnsi="Times New Roman;sans-serif"/>
          <w:b w:val="false"/>
          <w:color w:val="000000"/>
          <w:sz w:val="20"/>
        </w:rPr>
        <w:t xml:space="preserve">Research and development activities are central to our business model. Product candidates in later stages of clinical development will generally have higher development costs than those in earlier stages of clinical development, primarily due to the increased size and duration of later-stage clinical trials. </w:t>
      </w:r>
      <w:r>
        <w:rPr>
          <w:rFonts w:ascii="Times New Roman;sans-serif" w:hAnsi="Times New Roman;sans-serif"/>
          <w:b w:val="false"/>
          <w:color w:val="000000"/>
          <w:sz w:val="20"/>
          <w:shd w:fill="FFFFFF" w:val="clear"/>
        </w:rPr>
        <w:t>We expect research and development expenses to increase significantly over the next several years due to increases in personnel costs, including share-based compensation, increases in costs to conduct clinical trials for current product candidates and other clinical trials for future product candidates and costs to prepare regulatory filings for any product candidates.</w:t>
      </w:r>
    </w:p>
    <w:p>
      <w:pPr>
        <w:pStyle w:val="TextBody"/>
        <w:bidi w:val="0"/>
        <w:spacing w:lineRule="auto" w:line="288" w:before="240" w:after="283"/>
        <w:ind w:left="0" w:right="0" w:firstLine="720"/>
        <w:jc w:val="both"/>
        <w:rPr/>
      </w:pPr>
      <w:r>
        <w:rPr>
          <w:rFonts w:ascii="Times New Roman;sans-serif" w:hAnsi="Times New Roman;sans-serif"/>
          <w:b w:val="false"/>
          <w:color w:val="000000"/>
          <w:sz w:val="20"/>
          <w:shd w:fill="FFFFFF" w:val="clear"/>
        </w:rPr>
        <w:t>The successful development of our current or future product ca</w:t>
      </w:r>
      <w:r>
        <w:rPr>
          <w:rFonts w:ascii="Times New Roman;sans-serif" w:hAnsi="Times New Roman;sans-serif"/>
          <w:b w:val="false"/>
          <w:color w:val="000000"/>
          <w:sz w:val="20"/>
        </w:rPr>
        <w:t>ndidates is highly uncertain. At this time, we cannot reasonably estimate or know the nature, timing and costs of the efforts that will be necessary to complete the remainder of the development of current or future product candidates, or when, if ever, material net cash inflows may commence from product candidates. This uncertainty is due to the numerous risks and uncertainties associated with the duration and cost of clinical trials, which vary significantly over the life of a project as a result of many factors, including:</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delays in regulators or institutional review boards authorizing us or its investigators to commence our clinical trials, or in our ability to negotiate agreements with clinical trial sites or CROs;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ability to secure adequate supply of product candidates for trials;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number of clinical sites included in the trials;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ability and the length of time required to enroll suitable patients;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number of patients that ultimately participate and remain in the trials;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number of doses patients receive;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any side effects associated with product candidates;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duration of patient follow-up;</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results of clinical trials;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significant and changing government regulations;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launching commercial sales of product candidates, if and when approved, whether alone or in collaboration with others.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expenditures are subject to additional uncertainties, including the terms and timing of regulatory approvals. We may never succeed in achieving regulatory approval for our product candidates.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may obtain unexpected results from clinical trials and may elect to discontinue, delay or modify clinical trials of product candidates. A change in the outcome of any of these variables with respect to the development of a product candidate could mean a significant change in the costs and timing associated with the development of that product candidate. For example, if the European Medicines Agency ("EMA"), FDA or other comparable regulatory authorities were to require us to conduct clinical trials beyond those that are currently anticipated, or if we experience significant delays in enrollment in any clinical trials, we could be required to expend significant additional financial resources and time on the completion of clinical development. Product commercialization will take several years, and we expect to spend a significant amount in development costs.</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Research and Development Tax Incentives</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participate in research tax incentive programs that are granted to companies by the United Kingdom and certain European tax authorities in order to encourage them to conduct technical and scientific research. Expenditures that meet the required criteria are eligible to receive a tax credit that is reimbursed in cash. Estimates of the amount of the cash refund expected to be received are determined at each reporting period and recorded as reductions to research and development expenses. We may not be able to continue to claim the most beneficial payable research and development tax credits in the future if we cease to qualify as a small or medium enterprise, based on size criteria concerning employee headcount, turnover and gross assets. In addition, unless our subsidiaries qualify for an exemption, there are limitations to how much tax incentive can be claimed. This limitation is calculated as the total of the Company's relevant expenditure on employees in the period, multiplied by 300%, plus £20,000.</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General and Administrative Expense</w:t>
      </w:r>
    </w:p>
    <w:p>
      <w:pPr>
        <w:pStyle w:val="TextBody"/>
        <w:bidi w:val="0"/>
        <w:spacing w:lineRule="auto" w:line="288" w:before="120" w:after="283"/>
        <w:ind w:left="0" w:right="0" w:firstLine="720"/>
        <w:jc w:val="both"/>
        <w:rPr/>
      </w:pPr>
      <w:r>
        <w:rPr>
          <w:rFonts w:ascii="Times New Roman;sans-serif" w:hAnsi="Times New Roman;sans-serif"/>
          <w:b w:val="false"/>
          <w:color w:val="000000"/>
          <w:sz w:val="20"/>
        </w:rPr>
        <w:t xml:space="preserve">General and administrative expense consists primarily of personnel expenses, including salaries and benefits for employees </w:t>
      </w:r>
      <w:r>
        <w:rPr>
          <w:rFonts w:ascii="Times New Roman;sans-serif" w:hAnsi="Times New Roman;sans-serif"/>
          <w:b w:val="false"/>
          <w:color w:val="000000"/>
          <w:sz w:val="20"/>
          <w:shd w:fill="FFFFFF" w:val="clear"/>
        </w:rPr>
        <w:t>and share-based compensation.</w:t>
      </w:r>
      <w:r>
        <w:rPr>
          <w:color w:val="000000"/>
        </w:rPr>
        <w:t xml:space="preserve"> </w:t>
      </w:r>
      <w:r>
        <w:rPr>
          <w:rFonts w:ascii="Times New Roman;sans-serif" w:hAnsi="Times New Roman;sans-serif"/>
          <w:b w:val="false"/>
          <w:color w:val="000000"/>
          <w:sz w:val="20"/>
        </w:rPr>
        <w:t>General and administrative expense also includes facility costs, including rent, utilities, depreciation and maintenance, not otherwise included in research and development expense, as well as legal fees related to intellectual property and corporate matters and fees for accounting, consulting and other professional services.</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Interest Income and Interest Expense</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income is primarily interest earned from the Company’s cash and cash equivalents and short-term investments (US Treasury Bills). Interest expense consists of interest costs related to the Note Purchase Agreement. </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Other Income (Expense), net</w:t>
      </w:r>
    </w:p>
    <w:p>
      <w:pPr>
        <w:pStyle w:val="TextBody"/>
        <w:bidi w:val="0"/>
        <w:spacing w:lineRule="auto" w:line="288" w:before="120" w:after="283"/>
        <w:ind w:left="0" w:right="0" w:firstLine="720"/>
        <w:jc w:val="both"/>
        <w:rPr/>
      </w:pPr>
      <w:r>
        <w:rPr>
          <w:rFonts w:ascii="Times New Roman;sans-serif" w:hAnsi="Times New Roman;sans-serif"/>
          <w:b w:val="false"/>
          <w:color w:val="000000"/>
          <w:sz w:val="20"/>
        </w:rPr>
        <w:t>Other income (expense), net consists primarily of foreign currency transaction gains</w:t>
      </w:r>
      <w:r>
        <w:rPr>
          <w:color w:val="000000"/>
        </w:rPr>
        <w:t xml:space="preserve"> </w:t>
      </w:r>
      <w:r>
        <w:rPr>
          <w:rFonts w:ascii="Times New Roman;sans-serif" w:hAnsi="Times New Roman;sans-serif"/>
          <w:b w:val="false"/>
          <w:color w:val="000000"/>
          <w:sz w:val="20"/>
        </w:rPr>
        <w:t>and losses as well as the change in fair value of the Note Purchase Agreement.</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Foreign Currency Translation</w:t>
      </w:r>
    </w:p>
    <w:p>
      <w:pPr>
        <w:pStyle w:val="TextBody"/>
        <w:bidi w:val="0"/>
        <w:spacing w:lineRule="auto" w:line="276"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financial statements are presented in U.S. dollars ("USD"), the reporting currency of the Company. The functional currency of Centessa Pharmaceuticals plc is USD and the functional currency of the Centessa Subsidiaries is their respective local currency. Income and expenses have been translated into USD at average exchange rates prevailing during the period. Assets and liabilities have been translated at the rates of exchange on the balance sheets dates and equity accounts at their respective historical rates. The resulting translation gain and loss adjustments are recorded directly as a separate component of shareholders’ equity as other comprehensive income (loss). Transactions denominated in a currency other than the functional currency are remeasured based upon the exchange rate at the date of remeasurement with the resulting gain or loss included in the accompanying unaudited interim consolidated statements of operations and comprehensive loss within Other income (expense), net.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results of operations for the three months ended March 31, 2024 and March 31, 2023 (amounts in thousands):</w:t>
      </w:r>
    </w:p>
    <w:tbl>
      <w:tblPr>
        <w:tblW w:w="6279" w:type="dxa"/>
        <w:jc w:val="left"/>
        <w:tblInd w:w="0" w:type="dxa"/>
        <w:tblLayout w:type="fixed"/>
        <w:tblCellMar>
          <w:top w:w="28" w:type="dxa"/>
          <w:left w:w="28" w:type="dxa"/>
          <w:bottom w:w="28" w:type="dxa"/>
          <w:right w:w="28" w:type="dxa"/>
        </w:tblCellMar>
      </w:tblPr>
      <w:tblGrid>
        <w:gridCol w:w="977"/>
        <w:gridCol w:w="859"/>
        <w:gridCol w:w="863"/>
        <w:gridCol w:w="303"/>
        <w:gridCol w:w="1145"/>
        <w:gridCol w:w="156"/>
        <w:gridCol w:w="109"/>
        <w:gridCol w:w="109"/>
        <w:gridCol w:w="109"/>
        <w:gridCol w:w="300"/>
        <w:gridCol w:w="1131"/>
        <w:gridCol w:w="218"/>
      </w:tblGrid>
      <w:tr>
        <w:trPr/>
        <w:tc>
          <w:tcPr>
            <w:tcW w:w="977"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 2023</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6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22,652 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32,826 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4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13,438 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16,051 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4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(36,090)</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(48,877)</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4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2,531 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4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(2,345)</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 net</w:t>
            </w:r>
          </w:p>
        </w:tc>
        <w:tc>
          <w:tcPr>
            <w:tcW w:w="14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(1,346)</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 expense</w:t>
            </w:r>
          </w:p>
        </w:tc>
        <w:tc>
          <w:tcPr>
            <w:tcW w:w="14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(37,565)</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(50,037)</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4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(38,046)</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(50,714)</w:t>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Research and Development Expenses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research and development expenses by program incurred for the following periods (amounts in thousands):</w:t>
      </w:r>
    </w:p>
    <w:tbl>
      <w:tblPr>
        <w:tblW w:w="7961" w:type="dxa"/>
        <w:jc w:val="left"/>
        <w:tblInd w:w="0" w:type="dxa"/>
        <w:tblLayout w:type="fixed"/>
        <w:tblCellMar>
          <w:top w:w="28" w:type="dxa"/>
          <w:left w:w="28" w:type="dxa"/>
          <w:bottom w:w="28" w:type="dxa"/>
          <w:right w:w="28" w:type="dxa"/>
        </w:tblCellMar>
      </w:tblPr>
      <w:tblGrid>
        <w:gridCol w:w="1587"/>
        <w:gridCol w:w="1391"/>
        <w:gridCol w:w="1401"/>
        <w:gridCol w:w="325"/>
        <w:gridCol w:w="1112"/>
        <w:gridCol w:w="168"/>
        <w:gridCol w:w="109"/>
        <w:gridCol w:w="109"/>
        <w:gridCol w:w="109"/>
        <w:gridCol w:w="320"/>
        <w:gridCol w:w="1096"/>
        <w:gridCol w:w="234"/>
      </w:tblGrid>
      <w:tr>
        <w:trPr/>
        <w:tc>
          <w:tcPr>
            <w:tcW w:w="1587"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 2023</w:t>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Prioritized programs:</w:t>
            </w:r>
          </w:p>
        </w:tc>
        <w:tc>
          <w:tcPr>
            <w:tcW w:w="16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SerpinPC</w:t>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11,932 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LB101/LockBody technology platform</w:t>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12,028 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OX2R</w:t>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3,821 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Discontinued programs</w:t>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3,106 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Non-asset specific costs:</w:t>
            </w:r>
          </w:p>
        </w:tc>
        <w:tc>
          <w:tcPr>
            <w:tcW w:w="1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Personnel expenses</w:t>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8,846 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tax incentives</w:t>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(7,860)</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(7,463)</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preclinical and clinical development expenses</w:t>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Research and development expenses</w:t>
            </w:r>
          </w:p>
        </w:tc>
        <w:tc>
          <w:tcPr>
            <w:tcW w:w="3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22,652 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32,826 </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pPr>
      <w:r>
        <w:rPr>
          <w:rFonts w:ascii="Times New Roman;sans-serif" w:hAnsi="Times New Roman;sans-serif"/>
          <w:b w:val="false"/>
          <w:color w:val="000000"/>
          <w:sz w:val="20"/>
        </w:rPr>
        <w:t xml:space="preserve">Research and development expenses for the three months ended March 31, 2024 were $22.7 million, compared with $32.8 million for the three months ended March 31, 2023. </w:t>
      </w:r>
      <w:r>
        <w:rPr>
          <w:rFonts w:ascii="Times New Roman;sans-serif" w:hAnsi="Times New Roman;sans-serif"/>
          <w:b w:val="false"/>
          <w:color w:val="000000"/>
          <w:sz w:val="20"/>
          <w:shd w:fill="FFFFFF" w:val="clear"/>
        </w:rPr>
        <w:t xml:space="preserve">The decrease in research and development expenses reflects lower costs related to discontinued programs as well as lower expenditures ($7.9 million) for our LB101 program and LockBody technology platform, as the first quarter of 2023 included initial costs associated with the launch of a Phase 1/2a clinical trial of LB101 as well as higher LockBody platform discovery-related activities. Personnel expenses in the first three months of </w:t>
      </w:r>
      <w:r>
        <w:rPr>
          <w:rFonts w:ascii="Times New Roman;sans-serif" w:hAnsi="Times New Roman;sans-serif"/>
          <w:b w:val="false"/>
          <w:color w:val="000000"/>
          <w:sz w:val="20"/>
        </w:rPr>
        <w:t>2024</w:t>
      </w:r>
      <w:r>
        <w:rPr>
          <w:color w:val="000000"/>
          <w:shd w:fill="FFFFFF" w:val="clear"/>
        </w:rPr>
        <w:t xml:space="preserve"> </w:t>
      </w:r>
      <w:r>
        <w:rPr>
          <w:rFonts w:ascii="Times New Roman;sans-serif" w:hAnsi="Times New Roman;sans-serif"/>
          <w:b w:val="false"/>
          <w:color w:val="000000"/>
          <w:sz w:val="20"/>
          <w:shd w:fill="FFFFFF" w:val="clear"/>
        </w:rPr>
        <w:t xml:space="preserve">increased $0.5 million compared to the first </w:t>
      </w:r>
      <w:r>
        <w:rPr>
          <w:rFonts w:ascii="Times New Roman;sans-serif" w:hAnsi="Times New Roman;sans-serif"/>
          <w:b w:val="false"/>
          <w:color w:val="000000"/>
          <w:sz w:val="20"/>
        </w:rPr>
        <w:t>three months ended March 31, 2023 primarily d</w:t>
      </w:r>
      <w:r>
        <w:rPr>
          <w:rFonts w:ascii="Times New Roman;sans-serif" w:hAnsi="Times New Roman;sans-serif"/>
          <w:b w:val="false"/>
          <w:color w:val="000000"/>
          <w:sz w:val="20"/>
          <w:shd w:fill="FFFFFF" w:val="clear"/>
        </w:rPr>
        <w:t xml:space="preserve">riven by higher share-based compensation expense.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General and Administrative Expenses</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general and administrative expenses for the following periods (amounts in thousands):</w:t>
      </w:r>
    </w:p>
    <w:tbl>
      <w:tblPr>
        <w:tblW w:w="5907" w:type="dxa"/>
        <w:jc w:val="left"/>
        <w:tblInd w:w="0" w:type="dxa"/>
        <w:tblLayout w:type="fixed"/>
        <w:tblCellMar>
          <w:top w:w="28" w:type="dxa"/>
          <w:left w:w="28" w:type="dxa"/>
          <w:bottom w:w="28" w:type="dxa"/>
          <w:right w:w="28" w:type="dxa"/>
        </w:tblCellMar>
      </w:tblPr>
      <w:tblGrid>
        <w:gridCol w:w="843"/>
        <w:gridCol w:w="738"/>
        <w:gridCol w:w="744"/>
        <w:gridCol w:w="325"/>
        <w:gridCol w:w="1112"/>
        <w:gridCol w:w="168"/>
        <w:gridCol w:w="109"/>
        <w:gridCol w:w="109"/>
        <w:gridCol w:w="109"/>
        <w:gridCol w:w="320"/>
        <w:gridCol w:w="1096"/>
        <w:gridCol w:w="234"/>
      </w:tblGrid>
      <w:tr>
        <w:trPr/>
        <w:tc>
          <w:tcPr>
            <w:tcW w:w="84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 2023</w:t>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Personnel expenses</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7,407 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7,671 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Legal and professional fees</w:t>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4,178 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expenses</w:t>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4,202 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13,438 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16,051 </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pPr>
      <w:r>
        <w:rPr>
          <w:rFonts w:ascii="Times New Roman;sans-serif" w:hAnsi="Times New Roman;sans-serif"/>
          <w:b w:val="false"/>
          <w:color w:val="000000"/>
          <w:sz w:val="20"/>
        </w:rPr>
        <w:t xml:space="preserve">General and administrative expenses for the three months ended March 31, 2024 was $13.4 million, compared to $16.1 million for the three months ended March 31, 2023 primarily reflecting a favorable comparison as the first quarter of 2023 </w:t>
      </w:r>
      <w:r>
        <w:rPr>
          <w:rFonts w:ascii="Times New Roman;sans-serif" w:hAnsi="Times New Roman;sans-serif"/>
          <w:b w:val="false"/>
          <w:color w:val="000000"/>
          <w:sz w:val="20"/>
          <w:shd w:fill="FFFFFF" w:val="clear"/>
        </w:rPr>
        <w:t xml:space="preserve">included enterprise resource planning (“ERP”) system implementation costs, as well as higher legal and professional fees associated with entering into the ATM facility. </w:t>
      </w:r>
      <w:r>
        <w:rPr>
          <w:rFonts w:ascii="Times New Roman;sans-serif" w:hAnsi="Times New Roman;sans-serif"/>
          <w:b w:val="false"/>
          <w:color w:val="000000"/>
          <w:sz w:val="20"/>
        </w:rPr>
        <w:t xml:space="preserve">Personnel expenses in the first </w:t>
      </w:r>
      <w:r>
        <w:rPr>
          <w:rFonts w:ascii="Times New Roman;sans-serif" w:hAnsi="Times New Roman;sans-serif"/>
          <w:b w:val="false"/>
          <w:color w:val="000000"/>
          <w:sz w:val="20"/>
          <w:shd w:fill="FFFFFF" w:val="clear"/>
        </w:rPr>
        <w:t xml:space="preserve">three months of </w:t>
      </w:r>
      <w:r>
        <w:rPr>
          <w:rFonts w:ascii="Times New Roman;sans-serif" w:hAnsi="Times New Roman;sans-serif"/>
          <w:b w:val="false"/>
          <w:color w:val="000000"/>
          <w:sz w:val="20"/>
        </w:rPr>
        <w:t>2024 decreased $0.3 million</w:t>
      </w:r>
      <w:r>
        <w:rPr>
          <w:color w:val="000000"/>
          <w:shd w:fill="FFFFFF" w:val="clear"/>
        </w:rPr>
        <w:t xml:space="preserve"> </w:t>
      </w:r>
      <w:r>
        <w:rPr>
          <w:rFonts w:ascii="Times New Roman;sans-serif" w:hAnsi="Times New Roman;sans-serif"/>
          <w:b w:val="false"/>
          <w:color w:val="000000"/>
          <w:sz w:val="20"/>
          <w:shd w:fill="FFFFFF" w:val="clear"/>
        </w:rPr>
        <w:t xml:space="preserve">compared with the first three months of </w:t>
      </w:r>
      <w:r>
        <w:rPr>
          <w:rFonts w:ascii="Times New Roman;sans-serif" w:hAnsi="Times New Roman;sans-serif"/>
          <w:b w:val="false"/>
          <w:color w:val="000000"/>
          <w:sz w:val="20"/>
        </w:rPr>
        <w:t>2023</w:t>
      </w:r>
      <w:r>
        <w:rPr>
          <w:rFonts w:ascii="Times New Roman;sans-serif" w:hAnsi="Times New Roman;sans-serif"/>
          <w:b w:val="false"/>
          <w:color w:val="000000"/>
          <w:sz w:val="20"/>
          <w:shd w:fill="FFFFFF" w:val="clear"/>
        </w:rPr>
        <w:t xml:space="preserve">, reflecting lower salary costs driven by lower headcount partially offset by higher share-based compensation expense of $0.5 million. </w:t>
      </w:r>
    </w:p>
    <w:p>
      <w:pPr>
        <w:pStyle w:val="TextBody"/>
        <w:bidi w:val="0"/>
        <w:spacing w:lineRule="auto" w:line="268" w:before="360" w:after="283"/>
        <w:jc w:val="both"/>
        <w:rPr>
          <w:rFonts w:ascii="Times New Roman;sans-serif" w:hAnsi="Times New Roman;sans-serif"/>
          <w:b/>
          <w:i/>
          <w:color w:val="000000"/>
          <w:sz w:val="20"/>
        </w:rPr>
      </w:pPr>
      <w:r>
        <w:rPr>
          <w:rFonts w:ascii="Times New Roman;sans-serif" w:hAnsi="Times New Roman;sans-serif"/>
          <w:b/>
          <w:i/>
          <w:color w:val="000000"/>
          <w:sz w:val="20"/>
        </w:rPr>
        <w:t>Interest Income and Interest Expense</w:t>
      </w:r>
    </w:p>
    <w:p>
      <w:pPr>
        <w:pStyle w:val="TextBody"/>
        <w:bidi w:val="0"/>
        <w:spacing w:lineRule="auto" w:line="288" w:before="120" w:after="283"/>
        <w:ind w:left="0" w:right="0" w:firstLine="720"/>
        <w:jc w:val="both"/>
        <w:rPr/>
      </w:pPr>
      <w:r>
        <w:rPr>
          <w:rFonts w:ascii="Times New Roman;sans-serif" w:hAnsi="Times New Roman;sans-serif"/>
          <w:b w:val="false"/>
          <w:color w:val="000000"/>
          <w:sz w:val="20"/>
        </w:rPr>
        <w:t>For the three months ended March 31, 2024, interest income was $2.6 million, which was up $0.1 million from the three months ended March 31, 2023, reflecting interest earned from our cash and cash equivalents as well as short-term marketable securities. At the end of March 2023, w</w:t>
      </w:r>
      <w:r>
        <w:rPr>
          <w:rFonts w:ascii="Times New Roman;sans-serif" w:hAnsi="Times New Roman;sans-serif"/>
          <w:b w:val="false"/>
          <w:color w:val="000000"/>
          <w:sz w:val="20"/>
          <w:shd w:fill="FFFFFF" w:val="clear"/>
        </w:rPr>
        <w:t xml:space="preserve">e began investing excess cash in US Treasury Bills and SEC-registered money market funds in addition to cash deposits.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was $2.5 million in the first three months of 2024, up $0.2 million from the first three months of 2023, as a result of a higher average interest rate on the Note Purchase Agreement. </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Other (Expense) Income, net</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(expense) income, net for the three months ended March 31, 2024 was a net expense of $1.5 million, mainly reflecting a loss of $1.1 million related to remeasuring the Note Purchase Agreement at fair value at March 31, 2024 as well as foreign currency transaction losses. Other expense, net for the three months ended March 31, 2023 was $1.3 million, primarily reflecting an $1.8 million loss related to remeasuring the Note Purchase Agreement at fair value at March 31, 2023, partially offset by foreign currency transaction gains of $0.5 million.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Sources of Liquidity</w:t>
      </w:r>
    </w:p>
    <w:p>
      <w:pPr>
        <w:pStyle w:val="TextBody"/>
        <w:bidi w:val="0"/>
        <w:spacing w:lineRule="auto" w:line="288" w:before="120" w:after="283"/>
        <w:ind w:left="0" w:right="0" w:firstLine="720"/>
        <w:jc w:val="both"/>
        <w:rPr/>
      </w:pPr>
      <w:r>
        <w:rPr>
          <w:rFonts w:ascii="Times New Roman;sans-serif" w:hAnsi="Times New Roman;sans-serif"/>
          <w:b w:val="false"/>
          <w:color w:val="000000"/>
          <w:sz w:val="20"/>
        </w:rPr>
        <w:t>As of March 31, 2024, we had cash, cash equivalents and short-term investments of $230.2 million, of which $118.2 million was classified as cash and cash equivalents and $112.0 million was classified as short-term investments on our Consolidated Balance Sheet.</w:t>
      </w:r>
      <w:r>
        <w:rPr>
          <w:color w:val="000000"/>
          <w:shd w:fill="FFFFFF" w:val="clear"/>
        </w:rPr>
        <w:t xml:space="preserve"> </w:t>
      </w:r>
      <w:r>
        <w:rPr>
          <w:rFonts w:ascii="Times New Roman;sans-serif" w:hAnsi="Times New Roman;sans-serif"/>
          <w:b w:val="false"/>
          <w:color w:val="000000"/>
          <w:sz w:val="20"/>
          <w:shd w:fill="FFFFFF" w:val="clear"/>
        </w:rPr>
        <w:t xml:space="preserve">Since the end of the first quarter of 2023, we have invested excess cash in US Treasury Bills and SEC-registered money market funds in addition to cash deposits. </w:t>
      </w:r>
      <w:r>
        <w:rPr>
          <w:rFonts w:ascii="Times New Roman;sans-serif" w:hAnsi="Times New Roman;sans-serif"/>
          <w:b w:val="false"/>
          <w:color w:val="000000"/>
          <w:sz w:val="20"/>
        </w:rPr>
        <w:t xml:space="preserve">Securities with original maturities of three months or less when purchased are included in cash and cash equivalents. </w:t>
      </w:r>
      <w:r>
        <w:rPr>
          <w:rFonts w:ascii="Times New Roman;sans-serif" w:hAnsi="Times New Roman;sans-serif"/>
          <w:b w:val="false"/>
          <w:color w:val="000000"/>
          <w:sz w:val="20"/>
          <w:shd w:fill="FFFFFF" w:val="clear"/>
        </w:rPr>
        <w:t>We</w:t>
      </w:r>
      <w:r>
        <w:rPr>
          <w:color w:val="000000"/>
        </w:rPr>
        <w:t xml:space="preserve"> </w:t>
      </w:r>
      <w:r>
        <w:rPr>
          <w:rFonts w:ascii="Times New Roman;sans-serif" w:hAnsi="Times New Roman;sans-serif"/>
          <w:b w:val="false"/>
          <w:color w:val="000000"/>
          <w:sz w:val="20"/>
        </w:rPr>
        <w:t xml:space="preserve">consider investments with original maturities greater than three months and remaining maturities less than one year to be short-term investments. </w:t>
      </w:r>
    </w:p>
    <w:p>
      <w:pPr>
        <w:pStyle w:val="TextBody"/>
        <w:bidi w:val="0"/>
        <w:spacing w:lineRule="auto" w:line="288" w:before="240" w:after="283"/>
        <w:ind w:left="0" w:right="0" w:firstLine="720"/>
        <w:jc w:val="both"/>
        <w:rPr/>
      </w:pPr>
      <w:r>
        <w:rPr>
          <w:rFonts w:ascii="Times New Roman;sans-serif" w:hAnsi="Times New Roman;sans-serif"/>
          <w:b w:val="false"/>
          <w:color w:val="000000"/>
          <w:sz w:val="20"/>
        </w:rPr>
        <w:t>In October 2021, we entered into a financing agreement with funds managed by Oberland Capital, which provides us additional funds to further scale up our development activities and to enhance balance sheet flexibility for potential pipeline extension. As of March 31, 2024, in addition to a secured note in the principal amount of</w:t>
      </w:r>
      <w:r>
        <w:rPr>
          <w:color w:val="000000"/>
          <w:shd w:fill="FFFFFF" w:val="clear"/>
        </w:rPr>
        <w:t xml:space="preserve"> </w:t>
      </w:r>
      <w:r>
        <w:rPr>
          <w:rFonts w:ascii="Times New Roman;sans-serif" w:hAnsi="Times New Roman;sans-serif"/>
          <w:b w:val="false"/>
          <w:color w:val="000000"/>
          <w:sz w:val="20"/>
        </w:rPr>
        <w:t>$75 million</w:t>
      </w:r>
      <w:r>
        <w:rPr>
          <w:rFonts w:ascii="Times New Roman;sans-serif" w:hAnsi="Times New Roman;sans-serif"/>
          <w:b w:val="false"/>
          <w:color w:val="000000"/>
          <w:sz w:val="20"/>
          <w:shd w:fill="FFFFFF" w:val="clear"/>
        </w:rPr>
        <w:t>,</w:t>
      </w:r>
      <w:r>
        <w:rPr>
          <w:color w:val="000000"/>
        </w:rPr>
        <w:t xml:space="preserve"> </w:t>
      </w:r>
      <w:r>
        <w:rPr>
          <w:rFonts w:ascii="Times New Roman;sans-serif" w:hAnsi="Times New Roman;sans-serif"/>
          <w:b w:val="false"/>
          <w:color w:val="000000"/>
          <w:sz w:val="20"/>
        </w:rPr>
        <w:t>which was funded on October 4, 2021 (the “First Purchase Date”), the Purchasers have agreed to purchase tranches of secured notes in the aggregate principal amount of up to $175 million, including up to $75 million</w:t>
      </w:r>
      <w:r>
        <w:rPr>
          <w:color w:val="000000"/>
          <w:shd w:fill="FFFFFF" w:val="clear"/>
        </w:rPr>
        <w:t xml:space="preserve"> </w:t>
      </w:r>
      <w:r>
        <w:rPr>
          <w:rFonts w:ascii="Times New Roman;sans-serif" w:hAnsi="Times New Roman;sans-serif"/>
          <w:b w:val="false"/>
          <w:color w:val="000000"/>
          <w:sz w:val="20"/>
          <w:shd w:fill="FFFFFF" w:val="clear"/>
        </w:rPr>
        <w:t>through September 2024, at the Company’s option</w:t>
      </w:r>
      <w:r>
        <w:rPr>
          <w:rFonts w:ascii="Times New Roman;sans-serif" w:hAnsi="Times New Roman;sans-serif"/>
          <w:b w:val="false"/>
          <w:color w:val="000000"/>
          <w:sz w:val="20"/>
        </w:rPr>
        <w:t>; and up to $100 million</w:t>
      </w:r>
      <w:r>
        <w:rPr>
          <w:color w:val="000000"/>
          <w:shd w:fill="FFFFFF" w:val="clear"/>
        </w:rPr>
        <w:t xml:space="preserve"> </w:t>
      </w:r>
      <w:r>
        <w:rPr>
          <w:rFonts w:ascii="Times New Roman;sans-serif" w:hAnsi="Times New Roman;sans-serif"/>
          <w:b w:val="false"/>
          <w:color w:val="000000"/>
          <w:sz w:val="20"/>
        </w:rPr>
        <w:t>at any time at the Company’s and Purchasers’ option, to be used to finance certain permitted acquisitions as described in the NPA. The maturity date of the Oberland Capital Notes is October 4, 2027.</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filed a shelf registration statement on Form S-3 (the “Shelf”) with the Securities and Exchange Commission (“SEC”), which covers the offering, issuance and sale of an amount up to $350.0 million in the aggregate of our ordinary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pPr>
      <w:r>
        <w:rPr>
          <w:rFonts w:ascii="Times New Roman;sans-serif" w:hAnsi="Times New Roman;sans-serif"/>
          <w:b w:val="false"/>
          <w:color w:val="000000"/>
          <w:sz w:val="20"/>
        </w:rPr>
        <w:t>shares, American Depository Shares representing ordinary shares, debt securities, warrants, and/or units or any combination thereof. On July 12, 2022, the Shelf became effective. We entered into a Sales Agreement, dated January 27, 2023, by and between Centessa Pharmaceuticals plc and Leerink Partners LLC (formerly SVB Securities LLC). As sales agent, Leerink Partners LLC will provide for the issuance and sale by the Company of up to $125.0 million of its ordinary shares represented by American Depository Shares from time to time in “at-the-market” offerings under the Shelf, which we refer to as the ATM Program. In January 2024, we sold 1,250,000 ordinary shares under the ATM Program, resulting in net proceeds of $9.7 million. As of March 31, 2024, we had sold 4,290,816</w:t>
      </w:r>
      <w:r>
        <w:rPr>
          <w:color w:val="000000"/>
          <w:shd w:fill="FFFFFF" w:val="clear"/>
        </w:rPr>
        <w:t xml:space="preserve"> </w:t>
      </w:r>
      <w:r>
        <w:rPr>
          <w:rFonts w:ascii="Times New Roman;sans-serif" w:hAnsi="Times New Roman;sans-serif"/>
          <w:b w:val="false"/>
          <w:color w:val="000000"/>
          <w:sz w:val="20"/>
          <w:shd w:fill="FFFFFF" w:val="clear"/>
        </w:rPr>
        <w:t>ordinary shares under the ATM Program, resulting in net proceeds to us of approximately $30.5 million.</w:t>
      </w:r>
    </w:p>
    <w:p>
      <w:pPr>
        <w:pStyle w:val="TextBody"/>
        <w:bidi w:val="0"/>
        <w:spacing w:lineRule="auto" w:line="288" w:before="240" w:after="283"/>
        <w:ind w:left="0" w:right="0" w:firstLine="720"/>
        <w:jc w:val="both"/>
        <w:rPr/>
      </w:pPr>
      <w:r>
        <w:rPr>
          <w:rFonts w:ascii="Times New Roman;sans-serif" w:hAnsi="Times New Roman;sans-serif"/>
          <w:b w:val="false"/>
          <w:color w:val="000000"/>
          <w:sz w:val="20"/>
          <w:shd w:fill="FFFFFF" w:val="clear"/>
        </w:rPr>
        <w:t xml:space="preserve">On April 26, 2024 and May 3, 2024, we completed an offering of our ordinary shares </w:t>
      </w:r>
      <w:r>
        <w:rPr>
          <w:rFonts w:ascii="Times New Roman;sans-serif" w:hAnsi="Times New Roman;sans-serif"/>
          <w:b w:val="false"/>
          <w:color w:val="000000"/>
          <w:sz w:val="20"/>
        </w:rPr>
        <w:t xml:space="preserve">through the sale and issuance of a cumulative 12,390,254 ADSs, at an offering price of $9.25 per ADS pursuant to an underwriting agreement with Goldman Sachs &amp; Co. LLC and Leerink Partners LLC (the “Underwriters”). Each ADS represents one ordinary share with a nominal value of £0.002 per ordinary share. </w:t>
      </w:r>
      <w:r>
        <w:rPr>
          <w:rFonts w:ascii="Times New Roman;sans-serif" w:hAnsi="Times New Roman;sans-serif"/>
          <w:b w:val="false"/>
          <w:color w:val="000000"/>
          <w:sz w:val="20"/>
          <w:shd w:fill="FFFFFF" w:val="clear"/>
        </w:rPr>
        <w:t xml:space="preserve">This completed offering, which included the Underwriters’ over-allotment option to purchase additional shares, was made pursuant to the Shelf noted above. We estimate that the net proceeds of this offering, after deducting underwriting discounts and commissions and estimated offering expenses, will be approximately </w:t>
      </w:r>
      <w:r>
        <w:rPr>
          <w:rFonts w:ascii="Times New Roman;sans-serif" w:hAnsi="Times New Roman;sans-serif"/>
          <w:b w:val="false"/>
          <w:color w:val="000000"/>
          <w:sz w:val="20"/>
        </w:rPr>
        <w:t>$107.2 million</w:t>
      </w:r>
      <w:r>
        <w:rPr>
          <w:rFonts w:ascii="Times New Roman;sans-serif" w:hAnsi="Times New Roman;sans-serif"/>
          <w:b w:val="false"/>
          <w:color w:val="000000"/>
          <w:sz w:val="20"/>
          <w:shd w:fill="FFFFFF" w:val="clear"/>
        </w:rPr>
        <w:t>. We intend to use the net proceeds from the offering, together with its existing cash, cash equivalents, and short-term investments, to fund the continued development of its product candidates, as well as for general corporate purposes.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no other ongoing material financing commitments, such as lines of credit or guarantees, that are expected to affect liquidity over the next five years. </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Cash Flows</w:t>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a summary of cash flows for the periods indicated (amounts in thousands):</w:t>
      </w:r>
    </w:p>
    <w:tbl>
      <w:tblPr>
        <w:tblW w:w="7751" w:type="dxa"/>
        <w:jc w:val="left"/>
        <w:tblInd w:w="0" w:type="dxa"/>
        <w:tblLayout w:type="fixed"/>
        <w:tblCellMar>
          <w:top w:w="28" w:type="dxa"/>
          <w:left w:w="28" w:type="dxa"/>
          <w:bottom w:w="28" w:type="dxa"/>
          <w:right w:w="28" w:type="dxa"/>
        </w:tblCellMar>
      </w:tblPr>
      <w:tblGrid>
        <w:gridCol w:w="1508"/>
        <w:gridCol w:w="1327"/>
        <w:gridCol w:w="1335"/>
        <w:gridCol w:w="303"/>
        <w:gridCol w:w="1145"/>
        <w:gridCol w:w="156"/>
        <w:gridCol w:w="109"/>
        <w:gridCol w:w="109"/>
        <w:gridCol w:w="109"/>
        <w:gridCol w:w="275"/>
        <w:gridCol w:w="1175"/>
        <w:gridCol w:w="200"/>
      </w:tblGrid>
      <w:tr>
        <w:trPr/>
        <w:tc>
          <w:tcPr>
            <w:tcW w:w="1508"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4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 2023</w:t>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w:t>
            </w:r>
          </w:p>
        </w:tc>
        <w:tc>
          <w:tcPr>
            <w:tcW w:w="16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(37,286)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(47,838)</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14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16,762 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(86,336)</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14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Exchange rate effect on cash and cash equivalents</w:t>
            </w:r>
          </w:p>
        </w:tc>
        <w:tc>
          <w:tcPr>
            <w:tcW w:w="14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518 </w:t>
            </w:r>
          </w:p>
        </w:tc>
        <w:tc>
          <w:tcPr>
            <w:tcW w:w="200"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 cash and cash equivalents</w:t>
            </w:r>
          </w:p>
        </w:tc>
        <w:tc>
          <w:tcPr>
            <w:tcW w:w="3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(9,812)</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(133,656)</w:t>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Operating Activities</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2024, we used $37.3 million of net cash in operating activities. Cash used in operating activities reflected a net loss of $38.0 million reduced by non-cash charges of $9.5 million, which included share-based compensation, depreciation and amortization expense and changes in the fair value of debt. In addition, cash used in operating activities during the three months ended March 31, 2024 included net outflows of approximately $9.2 million related to paying down net payables during the period.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net cash used in operating activities was $47.8 million, reflecting a net loss of $50.7 million, partially offset by non-cash net charges of $9.1 million for share-based compensation, depreciation and amortization expense and changes in the fair value of financial instruments and a decrease of $6.2 million of net operating liabilities.</w:t>
      </w:r>
    </w:p>
    <w:p>
      <w:pPr>
        <w:pStyle w:val="TextBody"/>
        <w:bidi w:val="0"/>
        <w:spacing w:lineRule="auto" w:line="288" w:before="3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Investing Activities</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2024, net cash used in investing activities was $16.8 million, largely reflecting the net redemption of short-term marketable securities. During the three months ended March 31, 2023, net cash used in investing activities was $86.3 million, largely reflecting the investment of excess cash in U.S. Treasury securities presented as short-term investments.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Financing Activities</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2024, net cash provided by financing activities was $10.5 million, primarily reflecting the proceeds from the ATM program.</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Funding Requirements</w:t>
      </w:r>
    </w:p>
    <w:p>
      <w:pPr>
        <w:pStyle w:val="TextBody"/>
        <w:bidi w:val="0"/>
        <w:spacing w:lineRule="auto" w:line="288" w:before="120" w:after="283"/>
        <w:ind w:left="0" w:right="0" w:firstLine="720"/>
        <w:jc w:val="both"/>
        <w:rPr/>
      </w:pPr>
      <w:r>
        <w:rPr>
          <w:rFonts w:ascii="Times New Roman;sans-serif" w:hAnsi="Times New Roman;sans-serif"/>
          <w:b w:val="false"/>
          <w:color w:val="000000"/>
          <w:sz w:val="20"/>
        </w:rPr>
        <w:t>We expect aggregate expenses in 2024 to be similar to 2023 as we continue to fund the registration studies and BLA-enabling activities for SerpinPC and increase spending on ORX750 development activities, offset by lower spending on LB101 development and LockBody platform activities.</w:t>
      </w:r>
      <w:r>
        <w:rPr>
          <w:color w:val="000000"/>
          <w:shd w:fill="FFFFFF" w:val="clear"/>
        </w:rPr>
        <w:t xml:space="preserve"> </w:t>
      </w:r>
      <w:r>
        <w:rPr>
          <w:rFonts w:ascii="Times New Roman;sans-serif" w:hAnsi="Times New Roman;sans-serif"/>
          <w:b w:val="false"/>
          <w:color w:val="000000"/>
          <w:sz w:val="20"/>
          <w:shd w:fill="FFFFFF" w:val="clear"/>
        </w:rPr>
        <w:t>In future years, we expect expenses to increase as we continue further development of our product candidates and ultimately seek marketing approval for any current and future product candidates. In addition we will begin to incur pre-commercial preparatory activities and, if marketing approval is obtained for any prod</w:t>
      </w:r>
      <w:r>
        <w:rPr>
          <w:rFonts w:ascii="Times New Roman;sans-serif" w:hAnsi="Times New Roman;sans-serif"/>
          <w:b w:val="false"/>
          <w:color w:val="000000"/>
          <w:sz w:val="20"/>
        </w:rPr>
        <w:t>uct candidates, we expect to incur significant commercialization expenses related to product sales, marketing, manufacturing and distribution. In addition, inflation may affect our use of capital resources by increasing our cost of labor, research and clinical trial expenses. Accordingly, there will be a need to obtain substantial additional funding in connection with the continuing operations. If we are unable to raise capital when needed or on attractive terms, we would be forced to delay, reduce or eliminate research and development programs or future commercialization efforts.</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Over the long term, we anticipate that our expenses will increase substantially as we: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seek to discover and develop current and future clinical and preclinical product candidates;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scale up clinical and regulatory capabilities;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adapt regulatory compliance efforts to incorporate requirements applicable to marketed products;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establish a sales, marketing and distribution infrastructure and scale up external manufacturing capabilities to commercialize any product candidates for which regulatory approval may be obtained;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maintain, expand and protect the intellectual property portfolio;</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hire additional internal or external clinical, manufacturing and scientific personnel or consultants;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add operational, financial and management information systems and personnel, including personnel to support product development efforts;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incur additional legal, accounting and other expenses in operating as a public company.</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Because of the numerous risks and uncertainties associated research, development and commercialization of product candidates, we are unable to estimate the exact amount of its working capital requirements. Future funding requirements will depend on and could increase significantly as a result of many factors, including:</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scope, progress, results and costs of preclinical studies and clinical trials;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scope, prioritization and number of research and development programs;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costs, timing and outcome of regulatory review of product candidates;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ability to establish and maintain collaborations on favorable terms, if at all;</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extent to which obligations to reimburse exist, or entitled to reimbursement of, clinical trial costs under collaboration agreements, if any;</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costs of preparing, filing and prosecuting patent applications, maintaining and enforcing intellectual property rights and defending intellectual property-related claims;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costs of securing manufacturing arrangements for commercial production;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costs of establishing or contracting for sales and marketing capabilities if regulatory approvals are obtained to market product candidates.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Identifying potential product candidates and conducting preclinical studies and clinical trials is a time-consuming, expensive and uncertain process that takes many years to complete, and may never generate the necessary data or results required to obtain marketing approval and achieve product sales. In addition, product candidates, if approved, may not achieve commercial success. Commercial revenues, if any, will be derived from sales of product candidates that we do not expect to be commercially available for the next couple of years, if at all. Accordingly, we will need to continue to rely on additional financing to achieve our business objectives. Adequate additional financing may not be available on acceptable terms, or at all.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Critical Accounting Policies</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Management’s discussion and analysis of its financial condition and results of operations is based on our unaudited interim consolidated financial statements which have been prepared in accordance with U.S. generally accepted accounting principles. The preparation of these financial statements requires estimates and judgments be made that affect the reported amounts of assets, liabilities, and expenses and the disclosure of contingent assets and liabilities in the financial statements. On an ongoing basis, an evaluation of estimates and judgments are required, including those related to accrued research and development expenses, the Note Purchase Agreement, share-based compensation and tax-related matters. Estimates are based on historical experience, known trends and events, and various other factors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While the significant accounting policies are described in more detail in Note 2 to our unaudited interim consolidated financial statements, the following accounting policies are the most critical to the judgments and estimates used in the preparation of the unaudited interim consolidated financial statements.</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Research and Development Accruals</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consist primarily of costs incurred in connection with the development of product candidates. Research and development costs are expensed as incurred.</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Expenses for preclinical studies and clinical trial activities performed by third parties are accrued based upon estimates of the proportion of work completed over the term of the individual trial and patient enrollment rates in accordance with agreements with CROs and clinical trial sites. Estimates are determined by reviewing external service providers as to the progress or stage of completion of trials or services and the agreed-upon fee to be paid for such services. However, actual costs and timing of clinical trials are highly uncertain, subject to risks and may change depending upon a number of factors, including the clinical development plan.</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Estimates of accrued expenses are made as of each balance sheet date in the financial statements based on facts and circumstances known at that time. If the actual timing of the performance of services or the level of effort varies from the estimate, an adjustment to the accrual will be made accordingly. Nonrefundable advance payments for goods and services, including fees for process development or manufacturing and distribution of clinical supplies that will be used in future research and development activities, are recognized as expense in the period that the related goods are consumed or services are performed.</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Milestone payments within our licensing arrangements are recognized when achievement of the milestone is deemed probable to occur. To the extent products are commercialized and future economic benefit has been established, commercial milestones that become probable are capitalized and amortized over the estimated remaining useful life of the intellectual property. In addition, royalty expenses are accrued and sublicense non-royalty payments, as applicable, for the amount it is obligated to pay, with adjustments as sales are made.</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Note Purchase Agreement</w:t>
      </w:r>
    </w:p>
    <w:p>
      <w:pPr>
        <w:pStyle w:val="TextBody"/>
        <w:bidi w:val="0"/>
        <w:spacing w:lineRule="auto" w:line="288" w:before="120" w:after="283"/>
        <w:ind w:left="0" w:right="0" w:firstLine="720"/>
        <w:jc w:val="both"/>
        <w:rPr/>
      </w:pPr>
      <w:r>
        <w:rPr>
          <w:rFonts w:ascii="Times New Roman;sans-serif" w:hAnsi="Times New Roman;sans-serif"/>
          <w:b w:val="false"/>
          <w:color w:val="000000"/>
          <w:sz w:val="20"/>
        </w:rPr>
        <w:t xml:space="preserve">As discussed further in Note 5 - </w:t>
      </w:r>
      <w:hyperlink w:anchor="if4c434fe772b446ca7e94b1dd2bc86c4_49">
        <w:r>
          <w:rPr>
            <w:rStyle w:val="InternetLink"/>
            <w:rFonts w:ascii="Times New Roman;sans-serif" w:hAnsi="Times New Roman;sans-serif"/>
            <w:b w:val="false"/>
            <w:color w:val="0000FF"/>
            <w:sz w:val="20"/>
            <w:u w:val="single"/>
          </w:rPr>
          <w:t>Debt</w:t>
        </w:r>
      </w:hyperlink>
      <w:r>
        <w:rPr>
          <w:rFonts w:ascii="Times New Roman;sans-serif" w:hAnsi="Times New Roman;sans-serif"/>
          <w:b w:val="false"/>
          <w:color w:val="000000"/>
          <w:sz w:val="20"/>
        </w:rPr>
        <w:t xml:space="preserve">, in October 2021, we entered into a Note Purchase Agreement </w:t>
      </w:r>
      <w:r>
        <w:rPr>
          <w:rFonts w:ascii="Times New Roman;sans-serif" w:hAnsi="Times New Roman;sans-serif"/>
          <w:b w:val="false"/>
          <w:color w:val="000000"/>
          <w:sz w:val="20"/>
          <w:shd w:fill="FFFFFF" w:val="clear"/>
        </w:rPr>
        <w:t xml:space="preserve">with Oberland Capital Management LLC (“Oberland Capital”). Under the terms of the agreement, as amended, Oberland Capital will purchase up to $300.0 million of 6-year, interest-only, senior secured notes (the “Notes”) from us </w:t>
      </w:r>
      <w:r>
        <w:rPr>
          <w:rFonts w:ascii="Times New Roman;sans-serif" w:hAnsi="Times New Roman;sans-serif"/>
          <w:b w:val="false"/>
          <w:color w:val="000000"/>
          <w:sz w:val="20"/>
        </w:rPr>
        <w:t xml:space="preserve">including $75.0 million, funded on October 4, 2021, </w:t>
      </w:r>
      <w:r>
        <w:rPr>
          <w:rFonts w:ascii="Times New Roman;sans-serif" w:hAnsi="Times New Roman;sans-serif"/>
          <w:b w:val="false"/>
          <w:color w:val="000000"/>
          <w:sz w:val="20"/>
          <w:shd w:fill="FFFFFF" w:val="clear"/>
        </w:rPr>
        <w:t xml:space="preserve">$50 million available through December 2023 at the Company’s option, $75 million available through September 2024 at the Company’s option and $100 million available to fund Mergers and Acquisitions (“M&amp;A”), in-licensing, or other strategic transactions, at the option of the Company and Oberland Capital. In addition to interest payments on the principal, we are obligated to pay a Milestone payment </w:t>
      </w:r>
      <w:r>
        <w:rPr>
          <w:rFonts w:ascii="Times New Roman;sans-serif" w:hAnsi="Times New Roman;sans-serif"/>
          <w:b w:val="false"/>
          <w:color w:val="000000"/>
          <w:sz w:val="20"/>
        </w:rPr>
        <w:t>equal to 30% of the aggregate principal amount issued under the Notes upon regulatory approval of any drug candidate.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We evaluated the notes and determined that the notes include embedded derivatives that would otherwise require bifurcation as derivative liabilities. Neither the debt instrument nor any embedded features are required to be classified as equity. Therefore, the hybrid financial instrument comprised of the debt host and the embedded derivative liability may be accounted for under the fair value option. We elected to carry the Notes at fair value, and the debt instrument is outside the scope of ASC 480, </w:t>
      </w:r>
      <w:r>
        <w:rPr>
          <w:rFonts w:ascii="Times New Roman;sans-serif" w:hAnsi="Times New Roman;sans-serif"/>
          <w:b w:val="false"/>
          <w:i/>
          <w:color w:val="000000"/>
          <w:sz w:val="20"/>
        </w:rPr>
        <w:t>Distinguishing Liabilities from Equity</w:t>
      </w:r>
      <w:r>
        <w:rPr>
          <w:rFonts w:ascii="Times New Roman;sans-serif" w:hAnsi="Times New Roman;sans-serif"/>
          <w:b w:val="false"/>
          <w:color w:val="000000"/>
          <w:sz w:val="20"/>
        </w:rPr>
        <w:t xml:space="preserve">, and thus will be classified as a liability under ASC 470, </w:t>
      </w:r>
      <w:r>
        <w:rPr>
          <w:rFonts w:ascii="Times New Roman;sans-serif" w:hAnsi="Times New Roman;sans-serif"/>
          <w:b w:val="false"/>
          <w:i/>
          <w:color w:val="000000"/>
          <w:sz w:val="20"/>
        </w:rPr>
        <w:t>Debt</w:t>
      </w:r>
      <w:r>
        <w:rPr>
          <w:rFonts w:ascii="Times New Roman;sans-serif" w:hAnsi="Times New Roman;sans-serif"/>
          <w:b w:val="false"/>
          <w:color w:val="000000"/>
          <w:sz w:val="20"/>
        </w:rPr>
        <w:t xml:space="preserve">, in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financial statements. As we had elected to account for the Notes under the fair value option, debt issuance costs were immediately expensed.</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Note Purchase Agreement represents the present value of estimated future payments, including interest, principal as well as estimated payments that are contingent upon the achievement of specified milestones. The fair value of the notes is based on the cumulative probability of the various estimated payments. The fair value measurement is based on significant Level 3 unobservable inputs such as the probability of achieving the milestones, anticipated timelines, probability and timing of an early redemption of all obligations under the agreement and discount rate. Any changes in the fair value of the liability are recognized in the consolidated statement of operations and comprehensive loss until it is settled.</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Share-Based Compensation</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measure share-based awards at their grant-date fair value and record compensation expense on a straight-line basis over the vesting period of the awards. Following the completion of our IPO, the fair value of our ordinary shares was determined based on the quoted market price of our ADSs representing our ordinary shares. We account for forfeitures of stock option awards as they occur.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use the Black-Scholes option pricing model to value the Company’s stock option awards. The expected life of the stock options is estimated using the “simplified method,” as we have limited historical information from which to develop reasonable expectations about future exercise patterns and post-vesting employment termination behavior for its stock option grants. The simplified method is the midpoint between the vesting period and the contractual term of the option. For share price volatility, we use comparable public companies as a basis for its expected volatility to calculate the fair value of option grants. The risk-free rate is based on the U.S. Treasury yield curve commensurate with the expected life of the option. </w:t>
      </w:r>
    </w:p>
    <w:p>
      <w:pPr>
        <w:pStyle w:val="TextBody"/>
        <w:bidi w:val="0"/>
        <w:spacing w:lineRule="auto" w:line="288" w:before="36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Leases</w:t>
      </w:r>
    </w:p>
    <w:p>
      <w:pPr>
        <w:pStyle w:val="TextBody"/>
        <w:bidi w:val="0"/>
        <w:spacing w:lineRule="auto" w:line="288" w:before="120" w:after="283"/>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accordance with ASC 842, the Company assesses whether an arrangement is a lease, or contains a lease at the inception of the arrangement. When an arrangement contains a lease, the Company categorizes leases with contractual terms longer than twelve months as either operating or finance. Finance leases are generally those leases that allow us to substantially utilize or pay for the entire asset over its estimated life. Assets acquired under finance leases are recorded in “Property and equipment, net.” All other leases are categorized as operating leases.</w:t>
      </w:r>
    </w:p>
    <w:p>
      <w:pPr>
        <w:pStyle w:val="TextBody"/>
        <w:bidi w:val="0"/>
        <w:spacing w:lineRule="auto" w:line="288" w:before="240" w:after="283"/>
        <w:ind w:left="0" w:right="0" w:firstLine="720"/>
        <w:jc w:val="both"/>
        <w:rPr/>
      </w:pPr>
      <w:r>
        <w:rPr>
          <w:rFonts w:ascii="Times New Roman;sans-serif" w:hAnsi="Times New Roman;sans-serif"/>
          <w:b w:val="false"/>
          <w:color w:val="000000"/>
          <w:sz w:val="20"/>
          <w:shd w:fill="FFFFFF" w:val="clear"/>
        </w:rPr>
        <w:t>The Company records right-of use ("ROU") assets and lease obligations for its finance and operating leases, which are initially recognized based on the discounted future lease payments over the term of the lease. As the rate implicit in the Company's leases may not be easily determinable, the Company uses its incremental borrowing rate to calculate the present value of the sum of the lease payments. Lease terms may include options to extend or terminate the lease. The Company will include such options in determining the lease term when it is reasonably certain that the Company will exercise such options. Operating and finance lease ROU assets are recognized net of any lease prepayments and incentives. The Company elected the practical expedient to not separate lease and non-lease components and, accordingly, accounts for them as a single lease component. Operating lease expense is recognized on a straight-line basis over the lease term. Finance lease expense is recognized based on the effective-interest method over the lease term. The Company elected not to recognize ROU assets and lease obligations for any short-term leases, which are defined as leases with an initial term of 12 months or less.</w:t>
      </w:r>
      <w:r>
        <w:rPr>
          <w:color w:val="000000"/>
        </w:rPr>
        <w:t xml:space="preserve"> </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Tax Valuation Allowance</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regularly assess our ability to realize our deferred tax assets. Assessing the realization of deferred tax assets requires significant judgment. In determining whether our deferred tax assets are more likely than not realizable, we evaluate all available positive and negative evidence, and weighed the evidence based on its objectivity. After consideration of the evidence, including our history of cumulative net losses in the U.K., we concluded that it is more likely than not that we will not realize the benefits of our U.K. deferred tax assets and accordingly we have provided a valuation allowance for the full amount of the net deferred tax assets in the U.K. After consideration of the evidence, including changes resulting from an internal reorganization of subsidiaries in the second quarter of 2023 and cumulative and expected income of an operating entity that carries out services for other entities in the group, we concluded that it is more likely than not that we will realize the benefits of our United States deferred tax assets, and accordingly, in the second quarter of 2023, we released a previously recorded valuation allowance on our United States deferred tax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 xml:space="preserve">Contractual Obligations and Other Commitments </w:t>
      </w:r>
    </w:p>
    <w:p>
      <w:pPr>
        <w:pStyle w:val="TextBody"/>
        <w:bidi w:val="0"/>
        <w:spacing w:lineRule="auto" w:line="276" w:before="120" w:after="283"/>
        <w:ind w:left="0" w:right="0" w:firstLine="720"/>
        <w:jc w:val="both"/>
        <w:rPr/>
      </w:pPr>
      <w:r>
        <w:rPr>
          <w:rFonts w:ascii="Times New Roman;sans-serif" w:hAnsi="Times New Roman;sans-serif"/>
          <w:b w:val="false"/>
          <w:color w:val="000000"/>
          <w:sz w:val="20"/>
        </w:rPr>
        <w:t xml:space="preserve">As of March 31, 2024, other than what has been disclosed in Note 6 – </w:t>
      </w:r>
      <w:hyperlink w:anchor="if4c434fe772b446ca7e94b1dd2bc86c4_52">
        <w:r>
          <w:rPr>
            <w:rStyle w:val="InternetLink"/>
            <w:rFonts w:ascii="Times New Roman;sans-serif" w:hAnsi="Times New Roman;sans-serif"/>
            <w:b w:val="false"/>
            <w:color w:val="0000FF"/>
            <w:sz w:val="20"/>
            <w:u w:val="single"/>
          </w:rPr>
          <w:t>Commitment and contingencies</w:t>
        </w:r>
      </w:hyperlink>
      <w:r>
        <w:rPr>
          <w:rFonts w:ascii="Times New Roman;sans-serif" w:hAnsi="Times New Roman;sans-serif"/>
          <w:b w:val="false"/>
          <w:color w:val="000000"/>
          <w:sz w:val="20"/>
        </w:rPr>
        <w:t xml:space="preserve">, we had no material contractual obligations and other commitments associated with contracts that are enforceable and legally binding and that specify all significant terms, including fixed or minimum services to be used, fixed, minimum or variable price provisions, and the approximate timing of the actions under the contracts.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 xml:space="preserve">Emerging Growth Company and Smaller Reporting Company Status </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an emerging growth company, as defined in the JOBS Act. Under the JOBS Act, emerging growth companies can delay the adoption of new or revised accounting standards issued subsequent to the enactment of the JOBS Act until such time as those standards apply to private companies. Other exemptions and reduced reporting requirements under the JOBS Act for emerging growth companies include presentation of only two years of audited financial statements in a registration statement for an initial public offering, an exemption from the requirement to provide an auditor’s report on internal controls over financial reporting pursuant to Section 404 of the Sarbanes-Oxley Act of 2002, as amended, an exemption from any requirement that may be adopted by the Public Company Accounting Oversight Board regarding mandatory audit firm rotation and less extensive disclosure about our executive compensation arrangements. We have elected to use the extended transition period for complying with new or revised accounting standards that have different effective dates for public and private companies until the earlier of the date that (i) we are no longer an emerging growth company or (ii) we affirmatively and irrevocably opt out of the extended transition period provided in the JOBS Act.</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will remain an emerging growth company until the earliest of (i) the last day of our first fiscal year in which we have total annual gross revenues of $1.235 billion or more, (ii) following the fifth anniversary of the closing of our initial public offering, (iii) the date on which we are deemed to be a “large accelerated filer,” under the rules of the SEC, which means the market value of equity securities that is held by non-affiliates exceeds $700.0 million as of the prior June 30th and (iv) the date on which we have issued more than $1.0 billion in non-convertible debt securities during the prior three-year period.</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also a “smaller reporting company” as defined in the Securities Exchange Act of 1934 (the “Exchange Act”).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Item 3. Qualitative and Quantitative Disclosures About Market Risk</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Under SEC rules and regulations, as a smaller reporting company, we are not required to provide the information required by this item.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120" w:after="283"/>
        <w:ind w:left="0" w:right="0" w:firstLine="720"/>
        <w:jc w:val="both"/>
        <w:rPr/>
      </w:pPr>
      <w:r>
        <w:rPr>
          <w:rFonts w:ascii="Times New Roman;sans-serif" w:hAnsi="Times New Roman;sans-serif"/>
          <w:b w:val="false"/>
          <w:color w:val="000000"/>
          <w:sz w:val="20"/>
        </w:rPr>
        <w:t>Our management, with the participation of our Chief Executive Officer and Chief Financial Officer (our principal executive officer and principal financial officer, respectively), evaluated the effectiveness of our disclosure controls and procedures as o</w:t>
      </w:r>
      <w:r>
        <w:rPr>
          <w:rFonts w:ascii="Times New Roman;sans-serif" w:hAnsi="Times New Roman;sans-serif"/>
          <w:b w:val="false"/>
          <w:color w:val="000000"/>
          <w:sz w:val="20"/>
          <w:shd w:fill="FFFFFF" w:val="clear"/>
        </w:rPr>
        <w:t xml:space="preserve">f March 31, 2024. The term “disclosure controls and procedures,” as defined in Rules 13a-15(e) and 15d-15(e) under the Securities Exchange Act of 1934, as amended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w:t>
      </w:r>
    </w:p>
    <w:p>
      <w:pPr>
        <w:pStyle w:val="TextBody"/>
        <w:bidi w:val="0"/>
        <w:spacing w:lineRule="auto" w:line="288" w:before="240" w:after="283"/>
        <w:ind w:left="0" w:right="0" w:firstLine="720"/>
        <w:jc w:val="both"/>
        <w:rPr/>
      </w:pPr>
      <w:r>
        <w:rPr>
          <w:rFonts w:ascii="Times New Roman;sans-serif" w:hAnsi="Times New Roman;sans-serif"/>
          <w:b w:val="false"/>
          <w:color w:val="000000"/>
          <w:sz w:val="20"/>
          <w:shd w:fill="FFFFFF" w:val="clear"/>
        </w:rPr>
        <w:t>Based on the evaluation of our disclosure controls and procedures as of March 31, 2024, our Chief Executive Officer and Chief Financial Officer concluded that our disclosure controls and procedures were effective as of March 31, 2024. Our management has concluded that the financial statement</w:t>
      </w:r>
      <w:r>
        <w:rPr>
          <w:rFonts w:ascii="Times New Roman;sans-serif" w:hAnsi="Times New Roman;sans-serif"/>
          <w:b w:val="false"/>
          <w:color w:val="000000"/>
          <w:sz w:val="20"/>
        </w:rPr>
        <w:t>s included in this report present fairly, in all material respects, our financial position, results of operations and cash flows in conformity with GAAP.</w:t>
      </w: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lineRule="auto" w:line="288" w:before="120" w:after="283"/>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No changes in our internal control over financial reporting (as defined in Rules 13a-15(f) and 15d-15(f) under the Exchange Act) have occurred during the three months ended March 31, 2024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pPr>
      <w:r>
        <w:rPr>
          <w:rFonts w:ascii="Times New Roman;sans-serif" w:hAnsi="Times New Roman;sans-serif"/>
          <w:b/>
          <w:color w:val="000000"/>
          <w:sz w:val="20"/>
        </w:rPr>
        <w:t>Item 1</w:t>
      </w:r>
      <w:r>
        <w:rPr>
          <w:rFonts w:ascii="Times New Roman;sans-serif" w:hAnsi="Times New Roman;sans-serif"/>
          <w:b/>
          <w:color w:val="000000"/>
          <w:sz w:val="20"/>
          <w:shd w:fill="FFFFFF" w:val="clear"/>
        </w:rPr>
        <w:t>. Legal Proceedings</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28, 2022 (“Original Complaint”), the Company and certain of its current and former officers were named as defendants in a proposed class-action lawsuit filed in the United States District Court for the Central District of California. The complaint generally alleges that the Company violated Sections 10(b) and 20(a) and Sections 11 and 15 of the Securities Act of 1933, as amended (the “Securities Act”) by allegedly making materially false and/or misleading statements, as well as allegedly failing to disclose material adverse facts relating to the safety profile and future clinical and commercial prospects of each of its lixivaptan and ZF874 programs, which caused the Company’s securities to trade at artificially inflated prices. On October 12, 2022, by order, the lawsuit was transferred to the United States District Court for the Southern District of New York. On February 10, 2023, an amended complaint was filed (“Amended Complaint”) in which our IPO underwriters were added as co-defendants. A number of the claims set forth in the Original Complaint have been abandoned including with respect to intentional fraud theory and claims pursuant to Sections 10(b) or 20(a) of the Securities Exchange Act of 1934. The only claims alleged in the Amended Complaint are violations of Sections 11 and 15 of the Securities Act based on alleged misstatements in the S-1 filed by the Company in connection with its Initial Public Offering. The Amended Complaint also abandoned any claims concerning ZF874 and focuses entirely on lixivaptan. The Amended Complaint seeks damages and attorneys’ fees, among other things. On August 23, 2023, the Company submitted its motion to dismiss all claims, which remains pending. The Company believes this lawsuit is without merit and intends to defend the case vigorously. Litigation is subject to inherent uncertainty and a court could ultimately rule against the Company. In addition, the defense of litigation and related matters are costly and may divert the attention of the Company’s management and other resources that would otherwise be engaged in other activities. The Company has not recorded an estimate of the possible loss associated with this legal proceeding due to the uncertainties related to both the likelihood and the amount of any possible loss or range of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Our business involves significant risks, some of which are described below. You should carefully consider the risks described below, as well as the other information in this Quarterly Report on Form 10-Q and in other documents we file with the SEC, including our financial statements and the related notes and “Management’s Discussion and Analysis of Financial Condition and Results of Operations.” The occurrence of any of the events or developments described below could have a material adverse effect on our business, financial condition, results of operations, growth prospects and stock price. In such an event, the market price of our ADSs could decline, and you may lose all or part of your investment. Additional risks and uncertainties not presently known to us or that we currently deem immaterial may also impair our business operations and the market price of our ADSs.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Risks Related to our Business Model and Structure</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We may not be successful in our efforts to use our differentiated asset-centric approach to drug discovery and development to build a pipeline of product candidates with commercial value.</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key element of Centessa’s strategy is to use our differentiated asset-centric approach to drug discovery and development to develop high conviction programs, product candidates, technologies or intellectual property that we believe are novel, employ differentiated mechanisms of action, or have a combination of these attributes to ultimately deliver transformational medicines to patients. We face significant competition in sourcing high conviction programs, product candidates, technologies or intellectual property, strategic partnerships and licensing and acquisition opportunities, and the negotiation process is time-consuming, costly and complex. We may not be successful in our efforts in building a pipeline of high conviction product candidates for the treatment of various diseases and disorders through acquisitions, licensing or through internal development or in progressing these product candidates through clinical development. Although our research and development efforts to date have resulted in our identification, discovery and preclinical and clinical development of certain of our product candidates, these product candidates may not be safe or effective treatments or therapies in humans, and we may not be able to develop any other product candidates. Although we analyze whether we can replicate scientific results observed prior to our acquisition or investment in a product candidate, we may not be successful in doing so after our investment. Our asset-centric approach to drug discovery and development is evolving and may not succeed in building a pipeline of product candidates. Even if we are successful in building our pipeline of product candidates, the potential product candidates that we identify may not be suitable for clinical development or generate acceptable clinical data in humans, including as a result of unacceptable toxicity or other characteristics that indicate that they are unlikely to receive marketing approval from the FDA, or other regulatory authorities or achieve market acceptance. If we do not successfully develop and commercialize product candidates, we will not be able to generate product revenue in the future, which likely would result in significant harm to our financial position and adversely affect the price of our ADSs.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part of our business strategy, we may expand our product candidate pipeline through in-licenses or acquisitions of discovery or development-stage assets or programs, which entails additional risk to us. While we believe our asset-centric approach offers an attractive platform for these transactions and for founder subject-matter experts and potential partners, our approach is unique and we may not be able to attract or execute transactions with founder-subject matter experts, sellers, licensors or collaborators who may choose to divest to or grant license to companies that employ more traditional licensing and collaboration approaches. Identifying, selecting, and acquiring promising product candidates requires substantial technical, financial and human resources expertise. Efforts to do so may not result in the actual acquisition or license of a successful product candidate, potentially resulting in a diversion of our management’s time and the expenditure of our resources with no resulting benefit. For example, if we are unable to identify programs that ultimately result in approved products, we may spend material amounts of our capital and other resources evaluating, acquiring, and developing product candidates that ultimately do not provide a return on our investment. We may terminate programs in the future if they do not meet our criteria for advancement.</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A single or limited number of programs, developmental assets or product candidates may comprise a large proportion of our value.</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large proportion of our value may at any time reside in a limited number of our programs and/or developmental assets or product candidates. Our consolidated financial condition and prospects may be materially diminished if the clinical development or potential commercialization prospects of one of our product candidates or programs or one or more of the intellectual property rights held by us become impaired. Furthermore, a large proportion of our consolidated revenue may at any time be derived from one, or a small number of, licensed technologies, and termination or expiration of licenses to these technologies would likely have a material adverse effect on our consolidated revenue. Any material adverse impact on the value of intellectual property rights or the clinical development of product candidates or programs, could have a material adverse effect on our consolidated business, financial condition, results of operations or prospects.</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We may expend our limited resources to pursue a particular product candidate or indication and fail to capitalize on product candidates or indications that may be more profitable or for which there is a greater likelihood of success.</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Because we have limited financial and managerial resources, we must focus on a limited number of research programs and product candidates and on specific indications. As a result, we may forego or delay pursuit of opportunities with other product candidates or for other indications that later prove to have greater commercial potential, or we may fail to recognize or acquire assets that may be more promising than those we acquire. Our resource allocation decisions may cause us to fail to capitalize on viable commercial products or profitable market opportunities. Our spending on current and future identification, discovery, and preclinical development programs and product candidates for specific indications may not yield any commercially viable products.</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We face challenges, risks and expenses related to the operations of our Centessa Subsidiaries, as well as the management of the expected growth in the scale and complexity of our operations.</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January 2021, we acquired the ownership interests of our Centessa Subsidiaries. These Centessa Subsidiaries historically operated as independent entities with generally separate management and operational teams. As a result, we have needed to expend significant resources and efforts in integrating the operations of these Centessa Subsidiaries into our larger organization, and such integration activities may be challenging due to the number of Centessa Subsidiaries acquired and the heterogeneity of their historical operations. For example, these Centessa Subsidiaries’ programs span a range of therapeutic modalities and are designed to address a variety of disease areas. In addition, the Centessa Subsidiaries have conducted their business in a variety of jurisdictions in the U.S. and Europe. All of our Centessa Subsidiaries have had historical relationships with different licensors, contract organizations and other third-party vendors.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Each Centessa Subsidiary historically had its own operational, legal, financial and management controls, reporting systems and procedures and integrating such controls, reporting systems and procedures may be challenging and we may not be successful in doing so. We believe certain synergies may be achieved by harmonizing the operational, legal, financial and management controls, reporting systems and procedures but we may not be successful in our harmonization efforts and this may result in not only being unable to take advantage of synergies but expose us to additional operational, legal and financial risks and exposures associated with several levels of disparate systems and procedures. With limited resources, historically the Centessa Subsidiaries may not have dedicated sufficient resources to ensure its operational, legal, financial and management controls, reporting systems, compliance and other procedures met required standards and this may expose us to historical non-compliance investigations and liabilities, which may have a material adverse effect on our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mid-2023, we implemented a corporate consolidation of our U.S. and UK businesses in order to simplify our administrative operations, obtain operational efficiencies, generate administrative cost savings and improve the overall control environment. This reorganization transferred the business operations and assets of our UK subsidiaries (Z Factor Limited, Centessa Pharmaceuticals (Morphogen-IX) Limited, Capella Bioscience Ltd, LockBody Therapeutics Ltd, Inexia Limited, Centessa Pharmaceuticals (Orexia) Limited and Janpix Limited) to Centessa Pharmaceuticals (UK) Limited. Subsequently, on December 26, 2023, Inexia Limited, Janpix Limited, Ultrahuman Two Limited and Ultrahuman Four Limited were dissolved using the voluntary strike off procedure in sections 1003 to 1011 of the UK Companies Act 2006. We intend to dissolve Z Factor Limited, Centessa Pharmaceuticals (Morphogen-IX) Limited, Capella Bioscience Ltd, LockBody Therapeutics Ltd, and Centessa Pharmaceuticals (Orexia) Limited over the coming months using the voluntary strike off procedure in sections 1003 to 1011 of the UK Companies Act 2006. Centessa Pharmaceuticals (UK) Limited, a wholly owned subsidiary of Centessa Pharmaceuticals plc, was incorporated in 2020 under the laws of England and Wales with primary operations in the United Kingdom. ApcinteX Limited was incorporated in 2014 under the laws of England and Wales with primary operations in the United Kingdom.</w:t>
      </w:r>
    </w:p>
    <w:p>
      <w:pPr>
        <w:pStyle w:val="TextBody"/>
        <w:bidi w:val="0"/>
        <w:spacing w:lineRule="auto" w:line="288" w:before="240" w:after="283"/>
        <w:ind w:left="0" w:right="0" w:firstLine="720"/>
        <w:jc w:val="both"/>
        <w:rPr/>
      </w:pPr>
      <w:r>
        <w:rPr>
          <w:rFonts w:ascii="Times New Roman;sans-serif" w:hAnsi="Times New Roman;sans-serif"/>
          <w:b w:val="false"/>
          <w:color w:val="000000"/>
          <w:sz w:val="20"/>
          <w:shd w:fill="FFFFFF" w:val="clear"/>
        </w:rPr>
        <w:t xml:space="preserve">As of </w:t>
      </w:r>
      <w:r>
        <w:rPr>
          <w:rFonts w:ascii="Times New Roman;sans-serif" w:hAnsi="Times New Roman;sans-serif"/>
          <w:b w:val="false"/>
          <w:color w:val="000000"/>
          <w:sz w:val="20"/>
        </w:rPr>
        <w:t>May 3, 2024</w:t>
      </w:r>
      <w:r>
        <w:rPr>
          <w:color w:val="000000"/>
          <w:shd w:fill="FFFFFF" w:val="clear"/>
        </w:rPr>
        <w:t xml:space="preserve"> </w:t>
      </w:r>
      <w:r>
        <w:rPr>
          <w:rFonts w:ascii="Times New Roman;sans-serif" w:hAnsi="Times New Roman;sans-serif"/>
          <w:b w:val="false"/>
          <w:color w:val="000000"/>
          <w:sz w:val="20"/>
          <w:shd w:fill="FFFFFF" w:val="clear"/>
        </w:rPr>
        <w:t xml:space="preserve">we had </w:t>
      </w:r>
      <w:r>
        <w:rPr>
          <w:rFonts w:ascii="Times New Roman;sans-serif" w:hAnsi="Times New Roman;sans-serif"/>
          <w:b w:val="false"/>
          <w:color w:val="000000"/>
          <w:sz w:val="20"/>
        </w:rPr>
        <w:t>77</w:t>
      </w:r>
      <w:r>
        <w:rPr>
          <w:color w:val="000000"/>
          <w:shd w:fill="FFFFFF" w:val="clear"/>
        </w:rPr>
        <w:t xml:space="preserve"> </w:t>
      </w:r>
      <w:r>
        <w:rPr>
          <w:rFonts w:ascii="Times New Roman;sans-serif" w:hAnsi="Times New Roman;sans-serif"/>
          <w:b w:val="false"/>
          <w:color w:val="000000"/>
          <w:sz w:val="20"/>
          <w:shd w:fill="FFFFFF" w:val="clear"/>
        </w:rPr>
        <w:t xml:space="preserve">full-time equivalent employees. We </w:t>
      </w:r>
      <w:r>
        <w:rPr>
          <w:rFonts w:ascii="Times New Roman;sans-serif" w:hAnsi="Times New Roman;sans-serif"/>
          <w:b w:val="false"/>
          <w:color w:val="000000"/>
          <w:sz w:val="20"/>
        </w:rPr>
        <w:t>may not be successful in retaining employees or finding replacements which could have a material adverse effect on our ability to develop and commercialize our programs and product candidates. As our development and commercialization plans and strategies develop, and as we refine our operations as a public company, we expect to need additional managerial, operational, sales, marketing, legal, financial and other personnel. Future growth would impose significant added responsibilities on members of management, including:</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identifying, recruiting, integrating, maintaining and motivating additional employees;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managing our internal development efforts effectively, including the clinical and FDA review process for our product candidates, while complying with our contractual obligations to contractors and other third parties;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improving our operational, legal, financial and management controls, reporting systems and procedures.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future financial performance and our ability to commercialize any product candidates that are approved for marketing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currently rely, and for the foreseeable future will continue to rely, in substantial part on certain independent organizations, advisors and consultants to provide certain services, including substantially all aspects of regulatory approval, clinical trial management and manufacturing. There can be no assurance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consultants is compromised for any reason, our clinical trials may be extended, delayed or terminated, and we may not be able to obtain regulatory approval of our product candidates or otherwise advance our business. There can be no assurance that we will be able to manage our existing consultants or find other competent outside contractors and consultants on economically reasonable terms, or at all.</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we are not able to effectively expand our organization by hiring new employees and expanding our groups of consultants and contractors, we may not be able to successfully implement the tasks necessary to further develop and potentially commercialize our product candidates and, accordingly, may not achieve our research, development and commercialization goals. We may not have sufficient funding to support our expansion. </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Our reliance on a small team of employees located in different geographies who provide services (including administrative, research and development, and other services) across our organization presents operational challenges that may adversely affect our business.</w:t>
      </w:r>
    </w:p>
    <w:p>
      <w:pPr>
        <w:pStyle w:val="TextBody"/>
        <w:bidi w:val="0"/>
        <w:spacing w:lineRule="auto" w:line="288" w:before="120" w:after="283"/>
        <w:ind w:left="0" w:right="0" w:firstLine="720"/>
        <w:jc w:val="both"/>
        <w:rPr/>
      </w:pPr>
      <w:r>
        <w:rPr>
          <w:rFonts w:ascii="Times New Roman;sans-serif" w:hAnsi="Times New Roman;sans-serif"/>
          <w:b w:val="false"/>
          <w:color w:val="000000"/>
          <w:sz w:val="20"/>
          <w:shd w:fill="FFFFFF" w:val="clear"/>
        </w:rPr>
        <w:t xml:space="preserve">As of </w:t>
      </w:r>
      <w:r>
        <w:rPr>
          <w:rFonts w:ascii="Times New Roman;sans-serif" w:hAnsi="Times New Roman;sans-serif"/>
          <w:b w:val="false"/>
          <w:color w:val="000000"/>
          <w:sz w:val="20"/>
        </w:rPr>
        <w:t>May 3, 2024</w:t>
      </w:r>
      <w:r>
        <w:rPr>
          <w:rFonts w:ascii="Times New Roman;sans-serif" w:hAnsi="Times New Roman;sans-serif"/>
          <w:b w:val="false"/>
          <w:color w:val="000000"/>
          <w:sz w:val="20"/>
          <w:shd w:fill="FFFFFF" w:val="clear"/>
        </w:rPr>
        <w:t xml:space="preserve">, we had </w:t>
      </w:r>
      <w:r>
        <w:rPr>
          <w:rFonts w:ascii="Times New Roman;sans-serif" w:hAnsi="Times New Roman;sans-serif"/>
          <w:b w:val="false"/>
          <w:color w:val="000000"/>
          <w:sz w:val="20"/>
        </w:rPr>
        <w:t>77</w:t>
      </w:r>
      <w:r>
        <w:rPr>
          <w:color w:val="000000"/>
          <w:shd w:fill="FFFFFF" w:val="clear"/>
        </w:rPr>
        <w:t xml:space="preserve"> </w:t>
      </w:r>
      <w:r>
        <w:rPr>
          <w:rFonts w:ascii="Times New Roman;sans-serif" w:hAnsi="Times New Roman;sans-serif"/>
          <w:b w:val="false"/>
          <w:color w:val="000000"/>
          <w:sz w:val="20"/>
          <w:shd w:fill="FFFFFF" w:val="clear"/>
        </w:rPr>
        <w:t>full-time equivalent employees who are located in different geographies across the U.S., U.K. and the European Union who provide services across our organization (including</w:t>
      </w:r>
      <w:r>
        <w:rPr>
          <w:color w:val="000000"/>
        </w:rPr>
        <w:t xml:space="preserve"> </w:t>
      </w:r>
      <w:r>
        <w:rPr>
          <w:rFonts w:ascii="Times New Roman;sans-serif" w:hAnsi="Times New Roman;sans-serif"/>
          <w:b w:val="false"/>
          <w:color w:val="000000"/>
          <w:sz w:val="20"/>
        </w:rPr>
        <w:t>operational, administrative, research and development, and other support services). We also have consultants who we rely on for research and development, business development, and other services. While we believe this structure enables us to reduce certain infrastructure costs, the small size of our team may limit our ability to devote adequate personnel, time, and resources to support our operational, research and development activities, and the management of compliance, financial, accounting, and reporting matters. If our team fails to provide adequate operational, administrative, research and development, or other services across our entire organization, our business, financial condition, and results of operations could be harmed.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Some of our officers currently serve, and in the future may serve, as directors or officers of our Centessa Subsidiaries, and, as a result, have and may continue to have, statutory, fiduciary and other duties to our subsidiaries causing conflicts of interest with respect to their duties to us and their duties to our subsidiaries and in determining how to devote themselves to our affairs and the affairs of our subsidiaries. Our subsidiaries’ partners may also disagree with the sufficiency of resources that we provide to each Centessa Subsidiary.</w:t>
      </w:r>
    </w:p>
    <w:p>
      <w:pPr>
        <w:pStyle w:val="TextBody"/>
        <w:bidi w:val="0"/>
        <w:spacing w:lineRule="auto" w:line="288" w:before="120" w:after="283"/>
        <w:ind w:left="0" w:right="0" w:firstLine="720"/>
        <w:jc w:val="both"/>
        <w:rPr/>
      </w:pPr>
      <w:r>
        <w:rPr>
          <w:rFonts w:ascii="Times New Roman;sans-serif" w:hAnsi="Times New Roman;sans-serif"/>
          <w:b w:val="false"/>
          <w:color w:val="000000"/>
          <w:sz w:val="20"/>
        </w:rPr>
        <w:t>Certain of our officers, including Iqbal Hussain, our General Counsel, Gregory Weinhoff, our Chief Financial Officer and David Chao, PhD, our Chief Administrative Officer are directors and/or officers of certain Centessa Subsidiaries and, as a result, have fiduciary or other duties both to us and our subsidiaries.</w:t>
      </w:r>
      <w:r>
        <w:rPr>
          <w:color w:val="000000"/>
          <w:shd w:fill="FFFFFF" w:val="clear"/>
        </w:rPr>
        <w:t xml:space="preserve"> </w:t>
      </w:r>
      <w:r>
        <w:rPr>
          <w:rFonts w:ascii="Times New Roman;sans-serif" w:hAnsi="Times New Roman;sans-serif"/>
          <w:b w:val="false"/>
          <w:color w:val="000000"/>
          <w:sz w:val="20"/>
          <w:shd w:fill="FFFFFF" w:val="clear"/>
        </w:rPr>
        <w:t xml:space="preserve">Drs. Weinhoff and Chao </w:t>
      </w:r>
      <w:r>
        <w:rPr>
          <w:rFonts w:ascii="Times New Roman;sans-serif" w:hAnsi="Times New Roman;sans-serif"/>
          <w:b w:val="false"/>
          <w:color w:val="000000"/>
          <w:sz w:val="20"/>
        </w:rPr>
        <w:t>and Mr. Hussain do not receive any additional compensation for their service as directors of our Centessa Subsidiaries. The conflicts of interest that arise from such duties could interfere with the management of our subsidiaries and their programs and product candidates, or result in disagreements with our subsidiaries’ partners. For example, an individual who is both a director of one of our subsidiaries and an officer of Centessa owes statutory and fiduciary duties to the Centessa Subsidiary and to us, and such individual may encounter circumstances in which his or her decision or action may benefit the Centessa Subsidiary while having a detrimental impact on Centessa, or vice versa, or on another Centessa Subsidiary, including one for which he or she also serves as a director. Further, in the future, certain of our officers may serve as officers and directors of our Centessa Subsidiaries. Any such individual would need to allocate his or her time to responsibilities owed to Centessa and each of the Centessa Subsidiaries for which he or she serves as an officer or director, and would make decisions on behalf of one entity that may negatively impact others. In addition, disputes could arise between us and our Centessa Subsidiary’s partners regarding a conflict of interest or perceived conflict of interest arising from the overlap between the officers and directors of the Centessa Subsidiary and those of Centessa. These partners also may disagree with the amount and quality of resources that are devoted to the Centessa Subsidiary they are invested in. Any such disputes or disagreements could distract our management, interfere with our relations with our partners, and take significant time to resolve, which could disrupt the development of our product candidates, delay our potential commercialization efforts, result in increased costs or make it less likely that other third parties will choose to partner with us in the future.</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Certain of our programs are subject to certain agreements that provide our licensors and/or collaborators with rights that could delay or impact our ability to sell assets, or enter into strategic alliances, collaborations or licensing arrangements with other third parties or the potential sale of our Centessa Subsidiaries.</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of our programs are subject to licenses of intellectual property from third parties and we expect such practice to continue in the future. These third parties have certain rights that could delay collaboration, licensing or other arrangements with another third party, and the existence of these rights may adversely impact our ability to attract an acquirer or partner. These rights include rights of negotiation and fees payable upon a sale of assets or change of control of a Centessa Subsidiary that are contained in license agreements, payments upon satisfaction of milestones, royalty payments, diligence obligations and other customary terms contained in agreements for the in-license of programs and their intellectual property.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may incorporate, form or otherwise acquire additional subsidiaries and enter into similar agreements with future counterparties, or our Centessa Subsidiaries may enter into further agreements, that in each case may contain similar provisions or other terms that are not favorable to us.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Preclinical and clinical development is a long, expensive and uncertain process, and we may terminate one or more of our current preclinical and/or clinical development programs.</w:t>
      </w:r>
    </w:p>
    <w:p>
      <w:pPr>
        <w:pStyle w:val="TextBody"/>
        <w:bidi w:val="0"/>
        <w:spacing w:lineRule="auto" w:line="288" w:before="120" w:after="283"/>
        <w:ind w:left="0" w:right="0" w:firstLine="720"/>
        <w:jc w:val="both"/>
        <w:rPr/>
      </w:pPr>
      <w:r>
        <w:rPr>
          <w:rFonts w:ascii="Times New Roman;sans-serif" w:hAnsi="Times New Roman;sans-serif"/>
          <w:b w:val="false"/>
          <w:color w:val="000000"/>
          <w:sz w:val="20"/>
        </w:rPr>
        <w:t>We may determine that certain product candidates or programs (preclinical and/or clinical) do not have sufficient potential to warrant the continued allocation of resources toward them. Accordingly, we may elect to terminate our programs for and, in certain cases, our licenses to, such product candidates or programs. If we terminate programs in which we have invested significant resources, we will have expended resources on a program that will not provide a full return on our investment and missed the opportunity to have allocated those resources to potentially more productive uses. In addition, program termination may result in significant additional wind-down related costs being incurred including penalties, redundancy and severance and professional fees and may expose us to additional risks including contractual breach and employment termination claims and may divert a disproportionate amount of management time. For example, in 2022, we determined to discontinue the lixivaptan program for the treatment of Autosomal Dominant Polycystic Kidney Disease (“ADPKD”), the small molecule EGFR Exon20 insertion mutation inhibitor program, the C797S mutation inhibitor program for</w:t>
      </w:r>
      <w:r>
        <w:rPr>
          <w:color w:val="000000"/>
          <w:shd w:fill="FFFFFF" w:val="clear"/>
        </w:rPr>
        <w:t xml:space="preserve"> </w:t>
      </w:r>
      <w:r>
        <w:rPr>
          <w:rFonts w:ascii="Times New Roman;sans-serif" w:hAnsi="Times New Roman;sans-serif"/>
          <w:b w:val="false"/>
          <w:color w:val="000000"/>
          <w:sz w:val="20"/>
          <w:shd w:fill="FFFFFF" w:val="clear"/>
        </w:rPr>
        <w:t xml:space="preserve">the treatment of NSCLC, the ZF874 program for the treatment of AATD, and the dual-STAT3/5 degrader program in </w:t>
      </w:r>
      <w:r>
        <w:rPr>
          <w:rFonts w:ascii="Times New Roman;sans-serif" w:hAnsi="Times New Roman;sans-serif"/>
          <w:b w:val="false"/>
          <w:color w:val="000000"/>
          <w:sz w:val="20"/>
        </w:rPr>
        <w:t>Acute Myeloid Leukemia (“</w:t>
      </w:r>
      <w:r>
        <w:rPr>
          <w:rFonts w:ascii="Times New Roman;sans-serif" w:hAnsi="Times New Roman;sans-serif"/>
          <w:b w:val="false"/>
          <w:color w:val="000000"/>
          <w:sz w:val="20"/>
          <w:shd w:fill="FFFFFF" w:val="clear"/>
        </w:rPr>
        <w:t>AML”). Additionally, in December 2022, as a result of protocol defined stopping criterion having been met, we suspended dosing in the multiple ascending dose (“MAD”) stage of the Phase 1 study of CBS001, a neutralizing therapeutic mAb to the inflammatory membrane form of LIGHT for inflammatory / fibrotic diseases. I</w:t>
      </w:r>
      <w:r>
        <w:rPr>
          <w:rFonts w:ascii="Times New Roman;sans-serif" w:hAnsi="Times New Roman;sans-serif"/>
          <w:b w:val="false"/>
          <w:color w:val="000000"/>
          <w:sz w:val="20"/>
        </w:rPr>
        <w:t xml:space="preserve">n the first half of 2023, we deprioritized and paused all development activities associated with CBS001, a neutralizing therapeutic mAb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pPr>
      <w:r>
        <w:rPr>
          <w:rFonts w:ascii="Times New Roman;sans-serif" w:hAnsi="Times New Roman;sans-serif"/>
          <w:b w:val="false"/>
          <w:color w:val="000000"/>
          <w:sz w:val="20"/>
        </w:rPr>
        <w:t>inflammatory membrane form of LIGHT for inflammatory / fibrotic diseases, CBS004, a therapeutic mAb targeting BDCA-2 for the potential treatment of autoimmune diseases, and MGX292, a protein-engineered variant of human bone morphogenetic protein 9 (“BMP9”) for the treatment of pulmonary arterial hypertension (“PAH”).</w:t>
      </w:r>
      <w:r>
        <w:rPr>
          <w:color w:val="000000"/>
          <w:shd w:fill="FFFFFF" w:val="clear"/>
        </w:rPr>
        <w:t xml:space="preserve"> </w:t>
      </w:r>
      <w:r>
        <w:rPr>
          <w:rFonts w:ascii="Times New Roman;sans-serif" w:hAnsi="Times New Roman;sans-serif"/>
          <w:b w:val="false"/>
          <w:color w:val="000000"/>
          <w:sz w:val="20"/>
          <w:shd w:fill="FFFFFF" w:val="clear"/>
        </w:rPr>
        <w:t>We subsequently terminated MGX292, and in late 2023, we out-licensed CBS004 to AnaptysBio</w:t>
      </w:r>
      <w:r>
        <w:rPr>
          <w:rFonts w:ascii="Times New Roman;sans-serif" w:hAnsi="Times New Roman;sans-serif"/>
          <w:b w:val="false"/>
          <w:color w:val="000000"/>
          <w:sz w:val="20"/>
        </w:rPr>
        <w:t xml:space="preserve">, </w:t>
      </w:r>
      <w:r>
        <w:rPr>
          <w:rFonts w:ascii="Times New Roman;sans-serif" w:hAnsi="Times New Roman;sans-serif"/>
          <w:b w:val="false"/>
          <w:color w:val="000000"/>
          <w:sz w:val="20"/>
          <w:shd w:fill="FFFFFF" w:val="clear"/>
        </w:rPr>
        <w:t>Inc. We may not be able to terminate a clinical program with an ongoing clinical trial on medical and other grounds and, to the extent</w:t>
      </w:r>
      <w:r>
        <w:rPr>
          <w:color w:val="000000"/>
        </w:rPr>
        <w:t xml:space="preserve"> </w:t>
      </w:r>
      <w:r>
        <w:rPr>
          <w:rFonts w:ascii="Times New Roman;sans-serif" w:hAnsi="Times New Roman;sans-serif"/>
          <w:b w:val="false"/>
          <w:color w:val="000000"/>
          <w:sz w:val="20"/>
        </w:rPr>
        <w:t xml:space="preserve">we are able to terminate, such termination may expose us to additional risks including regulatory risk.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Risks Related to our Financial Position, Need for Additional Capital and Growth Strategy</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We, and our Centessa Subsidiaries, have incurred net losses since inception, and we expect to continue to incur losses for the foreseeable future and may never achieve or maintain profitability.</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and our Centessa Subsidiaries have incurred significant net losses since inception, have not generated any revenue from product sales to date, and financed operations primarily through equity and debt financing. Centessa Pharmaceuticals plc has a limited operating history, and we expect to incur significant losses for the foreseeable future. As an organization, we have devoted substantially all of our efforts to research and development, including clinical and preclinical development of our product candidates, as well as to building out our team. We expect that it could be several years, if ever, before we have a commercialized product candidate. We expect to continue to incur significant expenses and operating losses for the foreseeable future. The net losses we incur may fluctuate significantly from quarter to quarter each financial year. In addition, inflation could adversely impact our financial results. We anticipate that our expenses will increase substantially if, and as, we: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continue our research and the preclinical and clinical development of our product candidates, including our ongoing and planned clinical trials;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initiate additional clinical trials and preclinical studies for our other product candidates, including those in our pipeline that are expected to advance into the clinic in the near future; if any of our product candidates advance through and complete late-stage development, prepare and submit marketing applications with the FDA and comparable regulatory authorities;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experience any delays or encounter any issues with any of the above, including but not limited to failed studies, complex results, safety issues or other regulatory challenges;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seek to discover and develop additional product candidates;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establish a sales, marketing and distribution infrastructure to commercialize any product candidates for which we may obtain marketing approval;</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maintain, expand and protect our intellectual property portfolio;</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fulfill future potential payment obligations under our incentivization agreements with each Centessa Subsidiary;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acquire or in-license other product candidates and technologies.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To become and remain profitable, we must develop and eventually commercialize product candidates with significant market potential. This will require us to be successful in a range of challenging activities, including completing preclinical testing and clinical trials of our product candidates, obtaining marketing approval for these product candidates, manufacturing, marketing and selling those products for which we may obtain marketing approval and satisfying any post-marketing requirements. We may never succeed in any or all of these activities and, even if we do, we may never generate revenues that are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and expand our business or continue our operations. A decline in the value of our company could cause you to lose all or part of your investment.</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Our limited operating history may make it difficult for investors to evaluate our business, operations and prospects.</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operations to date have been limited to organizing and staffing our company, business planning, developing our operating model, raising capital, acquiring our technology, identifying potential product candidates, establishing collaborations and undertaking preclinical studies and clinical trials of our most advanced product candidates. As an organization, we have not yet demonstrated a track record of completing pivotal and/or Phase 3 trials of our product candidates, obtaining marketing approvals, manufacturing a commercial-scale product or conducting sales and marketing activities necessary for successful commercialization. Consequently, any predictions made about our future success or viability may not be as accurate as they could be if we had a longer operating history.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as a new business, we may encounter unforeseen expenses, difficulties, complications, delays and other known and unknown factors. We will need to transition from a company with a research focus to a company that is also capable of supporting commercial activities. We may not be successful in such a transition.</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We have never generated revenue from product sales and may never be profitable.</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generate revenue from product sales and achieve profitability depends on our ability, alone or with collaborative partners, to successfully complete the development of, and obtain the regulatory approvals necessary to commercialize, our product candidates. We do not anticipate generating revenues from product sales for the next several years, if ever. Our ability to generate future revenues from product sales depends heavily on our, or our collaborators’, success in:</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completing research and preclinical and clinical development of our product candidates;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seeking and obtaining regulatory and marketing approvals for product candidates for which we complete clinical trials;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in-licensing, acquiring, discovering or otherwise expanding our pipeline of product candidates for clinical development;</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launching and commercializing product candidates for which we obtain regulatory and marketing approval by establishing a sales force, marketing and distribution infrastructure or, alternatively, collaborating with a commercialization partner;</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qualifying for adequate coverage and reimbursement by government and third-party payors for our product candidates;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maintaining and enhancing a sustainable, scalable, reproducible and transferable manufacturing process for our product candidates;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establishing and maintaining supply and manufacturing relationships with third parties that can provide adequate, in both amount and quality, products and services to support clinical development and the market demand for our product candidates, if approved;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obtaining market acceptance of our product candidates as a viable treatment option;</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addressing any competing technological and market developments;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implementing additional internal systems and infrastructure, as needed;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negotiating favorable terms in any collaboration, licensing or other arrangements into which we may enter and performing our obligations in such collaborations;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maintaining, protecting and expanding our portfolio of intellectual property rights, including patents, trade secrets and know-how;</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avoiding and defending against third-party interference or infringement claims;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attracting, hiring and retaining qualified personnel.</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Even if one or more of the product candidates that we develop is approved for commercial sale, we anticipate incurring significant costs associated with commercializing any approved product candidate. Our expenses could increase beyond expectations if we are required by the FDA, the EMA, the MHRA, or other regulatory authorities to perform clinical and other studies in addition to those that we currently anticipate. Even if we are able to generate revenues from the sale of any approved products, we may not become profitable and may need to obtain additional funding to continue operations.</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We will need substantial additional funds to advance development of our product candidates, and we cannot guarantee that we will have sufficient funds available in the future to develop and commercialize our current or future product candidates.</w:t>
      </w:r>
    </w:p>
    <w:p>
      <w:pPr>
        <w:pStyle w:val="TextBody"/>
        <w:bidi w:val="0"/>
        <w:spacing w:lineRule="auto" w:line="288" w:before="120" w:after="283"/>
        <w:ind w:left="0" w:right="0" w:firstLine="720"/>
        <w:jc w:val="both"/>
        <w:rPr/>
      </w:pPr>
      <w:r>
        <w:rPr>
          <w:rFonts w:ascii="Times New Roman;sans-serif" w:hAnsi="Times New Roman;sans-serif"/>
          <w:b w:val="false"/>
          <w:color w:val="000000"/>
          <w:sz w:val="20"/>
        </w:rPr>
        <w:t xml:space="preserve">Developing pharmaceutical products, including conducting preclinical studies and clinical trials, is a very time-consuming, expensive and uncertain process that takes years to complete. We will need substantial additional funds to expand our development, regulatory, manufacturing, marketing and sales capabilities or contract with other organizations in order to enter and advance our product candidates through preclinical studies and clinical trials. For example, in October 2021 we entered into the Oberland Capital Financing Agreement (See </w:t>
      </w:r>
      <w:hyperlink w:anchor="if4c434fe772b446ca7e94b1dd2bc86c4_49">
        <w:r>
          <w:rPr>
            <w:rStyle w:val="InternetLink"/>
            <w:rFonts w:ascii="Times New Roman;sans-serif" w:hAnsi="Times New Roman;sans-serif"/>
            <w:b w:val="false"/>
            <w:color w:val="0000FF"/>
            <w:sz w:val="20"/>
            <w:u w:val="single"/>
          </w:rPr>
          <w:t>Note 5</w:t>
        </w:r>
      </w:hyperlink>
      <w:r>
        <w:rPr>
          <w:color w:val="000000"/>
        </w:rPr>
        <w:t xml:space="preserve"> – “</w:t>
      </w:r>
      <w:r>
        <w:rPr>
          <w:rFonts w:ascii="Times New Roman;sans-serif" w:hAnsi="Times New Roman;sans-serif"/>
          <w:b w:val="false"/>
          <w:color w:val="000000"/>
          <w:sz w:val="20"/>
        </w:rPr>
        <w:t xml:space="preserve">Debt” for more information). In January 2023, we entered into </w:t>
      </w:r>
      <w:r>
        <w:rPr>
          <w:rFonts w:ascii="Times New Roman;sans-serif" w:hAnsi="Times New Roman;sans-serif"/>
          <w:b w:val="false"/>
          <w:color w:val="000000"/>
          <w:sz w:val="20"/>
          <w:shd w:fill="FFFFFF" w:val="clear"/>
        </w:rPr>
        <w:t xml:space="preserve">an Open Market Sale Agreement (the “2023 Sale Agreement”) with Leerink, under which Leerink is able to offer and sell, from time to time in “at-the-market” (“ATM”) offerings, shares of the Company’s ADSs having aggregate gross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pPr>
      <w:r>
        <w:rPr>
          <w:rFonts w:ascii="Times New Roman;sans-serif" w:hAnsi="Times New Roman;sans-serif"/>
          <w:b w:val="false"/>
          <w:color w:val="000000"/>
          <w:sz w:val="20"/>
          <w:shd w:fill="FFFFFF" w:val="clear"/>
        </w:rPr>
        <w:t>proceeds of up to $125 million. In the event of a sale of Company shares under the ATM, t</w:t>
      </w:r>
      <w:r>
        <w:rPr>
          <w:rFonts w:ascii="Times New Roman;sans-serif" w:hAnsi="Times New Roman;sans-serif"/>
          <w:b w:val="false"/>
          <w:color w:val="000000"/>
          <w:sz w:val="20"/>
        </w:rPr>
        <w:t>he Company is obligated to pay to Leerink cash commissions of up to 3.0% of the gross proceeds of sales of ADSs under the 2023 Sale Agreement.</w:t>
      </w:r>
      <w:r>
        <w:rPr>
          <w:color w:val="000000"/>
          <w:shd w:fill="FFFFFF" w:val="clear"/>
        </w:rPr>
        <w:t xml:space="preserve"> </w:t>
      </w:r>
      <w:r>
        <w:rPr>
          <w:rFonts w:ascii="Times New Roman;sans-serif" w:hAnsi="Times New Roman;sans-serif"/>
          <w:b w:val="false"/>
          <w:color w:val="000000"/>
          <w:sz w:val="20"/>
        </w:rPr>
        <w:t>Our Centessa Subsidiaries have used substantial funds in their research and development programs and will continue to expend significant resources to advance their programs and product candidates.</w:t>
      </w:r>
    </w:p>
    <w:p>
      <w:pPr>
        <w:pStyle w:val="TextBody"/>
        <w:bidi w:val="0"/>
        <w:spacing w:lineRule="auto" w:line="288" w:before="240" w:after="283"/>
        <w:ind w:left="0" w:right="0" w:firstLine="720"/>
        <w:jc w:val="both"/>
        <w:rPr/>
      </w:pPr>
      <w:r>
        <w:rPr>
          <w:rFonts w:ascii="Times New Roman;sans-serif" w:hAnsi="Times New Roman;sans-serif"/>
          <w:b w:val="false"/>
          <w:color w:val="000000"/>
          <w:sz w:val="20"/>
        </w:rPr>
        <w:t>As of March 31, 2024, we had $230.2 million in cash and cash equivalents and short-term investments. Based on our current operating model and development plans, which include certain assumptions, the Company expects cash and cash equivalents and short-term investments plus the net proceeds from our offering of ADSs in April 2024</w:t>
      </w:r>
      <w:r>
        <w:rPr>
          <w:color w:val="000000"/>
          <w:shd w:fill="FFFFFF" w:val="clear"/>
        </w:rPr>
        <w:t xml:space="preserve"> </w:t>
      </w:r>
      <w:r>
        <w:rPr>
          <w:rFonts w:ascii="Times New Roman;sans-serif" w:hAnsi="Times New Roman;sans-serif"/>
          <w:b w:val="false"/>
          <w:color w:val="000000"/>
          <w:sz w:val="20"/>
          <w:shd w:fill="FFFFFF" w:val="clear"/>
        </w:rPr>
        <w:t>to fund its operations into mid-2026 without d</w:t>
      </w:r>
      <w:r>
        <w:rPr>
          <w:rFonts w:ascii="Times New Roman;sans-serif" w:hAnsi="Times New Roman;sans-serif"/>
          <w:b w:val="false"/>
          <w:color w:val="000000"/>
          <w:sz w:val="20"/>
        </w:rPr>
        <w:t>rawing on the remaining available tranches under the Oberland Capital financing agreement. Our future capital requirements and the period for which we project our existing resources to support our operations may vary significantly from what we currently expect, and changing circumstances, some of which may be beyond our control, could cause us to consume capital significantly faster than we currently anticipate, and we may need to seek additional funds sooner than planned. Our monthly spending levels vary based on new and ongoing development and corporate activities. Because the length of time and activities associated with successful development of our product candidates is highly uncertain, we are unable to estimate the actual funds we will require for development and any approved marketing and commercialization activities.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to use our cash resources to fund the continued development and pre-commercialization costs of our clinical-stage product candidates; to fund continued development of the other assets in our pipeline, including designing and conducting preclinical studies and clinical trials, as well as funding discovery, manufacturing, research and development; to fund the acquisition of and drug development activities related to new programs; although we have no material agreements, commitments or understandings with respect to any in-license or acquisition, we have and plan to continue to evaluate such opportunities and engage in related discussions with other business entities from time to time; and the remainder for working capital and other general corporate purposes.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To execute our business plan, we will need, among other things, to:</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obtain the human and financial resources necessary to develop, test, obtain regulatory approval for, manufacture and market our product candidates;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build and maintain a strong intellectual property portfolio and avoid infringing intellectual property of third parties;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establish and maintain successful licenses, collaborations and alliances;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satisfy the requirements of clinical trial protocols, including patient enrollment;</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establish and demonstrate the clinical efficacy and safety of our product candidates;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obtain regulatory approvals;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manage our spending as costs and expenses increase due to preclinical studies and clinical trials, regulatory approvals, commercialization, legal and regulatory compliance, and increased operations;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obtain additional capital to support and expand our operations;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market our products to achieve acceptance and use by the medical community in general.</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do not expect to realize revenue from product sales, milestone payments or royalties in the foreseeable future, if at all. Our revenue sources are, and will remain, extremely limited unless and until our product candidates are clinically tested, approved for commercialization and successfully marketed and/or we sell, out-license or otherwise divest certain of our assets.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will be required to seek additional funding in the future and intend to do so through either public or private equity offerings or debt financings, credit or loan facilities or a combination of one or more of these funding sources. Attempting to secure additional financing may divert management from day-to-day activities, which may adversely affect our ability to develop our product candidates. Our ability to raise additional funds will depend on financial, economic and other factors, many of which are beyond our control. Additional funds may not be available to us on acceptable terms or at all. If we raise additional funds by issuing equity securities, our shareholders will suffer dilution and the terms of any financing may adversely affect the rights of our shareholders. In addition, as a condition to providing additional funds to us, future investors may demand, and may be granted, rights superior to those of existing shareholders. Debt financing, if available, may involve restrictive covenants limiting our flexibility in conducting future business activities, and, in the event of insolvency, debt holders would be repaid before holders of equity securities received any distribution of corporate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we raise additional funds through collaborations, strategic alliances or licensing arrangements with third parties, we may have to relinquish valuable rights to our technologies, future revenue streams, research programs or product candidates or to grant licenses on terms that may not be favorable to us. Certain amounts of such additional funds raised may need to be used to pay third parties in respect of obligations we owe to them including to our licensors, under Incentivization Agreements (see Contractual Obligations and Other Commitments) and Oberland Capital. If we are unable to raise additional funds through equity or debt financings when needed, we may be required to delay, reduce or terminate our product development or future commercialization efforts or grant rights to third parties to develop and market product candidates that we would otherwise prefer to develop and market ourselves.</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Our credit facility and payment obligations under the Note Purchase Agreement, as amended (“NPA”), with Oberland Capital contain operating and financial covenants that restrict our business and financing activities, are subject to acceleration in specified circumstances and may adversely affect our financial position or results of operations and our ability to raise additional capital which in turn may increase our vulnerability to adverse regulatory developments or economic or business downturns or which may result in Oberland Capital taking possession of our assets and disposing of any collateral.</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credit facility with Oberland Capital contains restrictions that limit our flexibility in operating our business. Under the terms of the credit facility, we must maintain, and cause our subsidiaries to maintain, certain covenants, including with respect to limitations on new indebtedness, restrictions on the payment of dividends and maintenance of revenue levels. Our credit facility is collateralized by all of our assets including, among other things, our intellectual property.</w:t>
      </w:r>
    </w:p>
    <w:p>
      <w:pPr>
        <w:pStyle w:val="TextBody"/>
        <w:bidi w:val="0"/>
        <w:spacing w:lineRule="auto" w:line="288" w:before="240" w:after="283"/>
        <w:ind w:left="0" w:right="0" w:firstLine="720"/>
        <w:jc w:val="both"/>
        <w:rPr/>
      </w:pPr>
      <w:r>
        <w:rPr>
          <w:rFonts w:ascii="Times New Roman;sans-serif" w:hAnsi="Times New Roman;sans-serif"/>
          <w:b w:val="false"/>
          <w:color w:val="000000"/>
          <w:sz w:val="20"/>
          <w:shd w:fill="FFFFFF" w:val="clear"/>
        </w:rPr>
        <w:t xml:space="preserve">Under the NPA, as amended, the Purchasers agreed to purchase, and the Company agreed to sell, tranches of secured notes in the aggregate principal amount of up to $300,000,000 as follows: (a) a secured note in the aggregate principal amount of $75,000,000 (the “First Purchase Note”), (b) on and after the Signing Date until September 30, 2024, at the Company’s option, a secured note in the aggregate principal amount of $75,000,000 (the “Second Purchase Note”), (c) on and after the Signing Date until December 31, 2023, at the Company’s option, a secured note in the aggregate principal amount of $50,000,000 (the “Third Purchase Note”), which the Company did not exercise, and (d) one or more secured notes in the aggregate principal amount of up to $100,000,000 at any time at the Company’s and Purchasers’ option, to be used to finance certain permitted acquisitions as described in the NPA (the “Fourth Purchase Notes” and collectively with the First Purchase Note, the Second Purchase Note and the Third Purchase Note, the “Notes”). The obligations of the Purchasers to purchase the Notes are subject to certain conditions precedent. On October 4, 2021 (the “First Purchase Date”), the Company issued the First Purchase Note. The Notes will mature on the six-year anniversary of the First Purchase Date, unless earlier accelerated under the terms of the NPA. At maturity, the Company must repay the outstanding principal amount of the Notes, together with any accrued and unpaid interest thereon and other outstanding obligations thereunder. Interest is payable quarterly during the term of the Notes at a rate per annum equal to the sum of (a) the greater of (i) </w:t>
      </w:r>
      <w:r>
        <w:rPr>
          <w:rFonts w:ascii="Times New Roman;sans-serif" w:hAnsi="Times New Roman;sans-serif"/>
          <w:b w:val="false"/>
          <w:color w:val="000000"/>
          <w:sz w:val="20"/>
        </w:rPr>
        <w:t>the Secured Overnight Financing Rate (“SOFR”)</w:t>
      </w:r>
      <w:r>
        <w:rPr>
          <w:color w:val="000000"/>
          <w:shd w:fill="FFFFFF" w:val="clear"/>
        </w:rPr>
        <w:t xml:space="preserve"> </w:t>
      </w:r>
      <w:r>
        <w:rPr>
          <w:rFonts w:ascii="Times New Roman;sans-serif" w:hAnsi="Times New Roman;sans-serif"/>
          <w:b w:val="false"/>
          <w:color w:val="000000"/>
          <w:sz w:val="20"/>
          <w:shd w:fill="FFFFFF" w:val="clear"/>
        </w:rPr>
        <w:t xml:space="preserve">(which may be subject to replacement as contemplated by the NPA) and (ii) 0.25% and (b) 7.75% (which percentage is subject to adjustment as described in the NPA); provided that the interest rate shall never be less than 8.00%. The interest rate for the Notes at </w:t>
      </w:r>
      <w:r>
        <w:rPr>
          <w:rFonts w:ascii="Times New Roman;sans-serif" w:hAnsi="Times New Roman;sans-serif"/>
          <w:b w:val="false"/>
          <w:color w:val="000000"/>
          <w:sz w:val="20"/>
        </w:rPr>
        <w:t>March 31, 2024</w:t>
      </w:r>
      <w:r>
        <w:rPr>
          <w:color w:val="000000"/>
          <w:shd w:fill="FFFFFF" w:val="clear"/>
        </w:rPr>
        <w:t xml:space="preserve"> </w:t>
      </w:r>
      <w:r>
        <w:rPr>
          <w:rFonts w:ascii="Times New Roman;sans-serif" w:hAnsi="Times New Roman;sans-serif"/>
          <w:b w:val="false"/>
          <w:color w:val="000000"/>
          <w:sz w:val="20"/>
          <w:shd w:fill="FFFFFF" w:val="clear"/>
        </w:rPr>
        <w:t xml:space="preserve">was </w:t>
      </w:r>
      <w:r>
        <w:rPr>
          <w:rFonts w:ascii="Times New Roman;sans-serif" w:hAnsi="Times New Roman;sans-serif"/>
          <w:b w:val="false"/>
          <w:color w:val="000000"/>
          <w:sz w:val="20"/>
        </w:rPr>
        <w:t>13.34%</w:t>
      </w:r>
      <w:r>
        <w:rPr>
          <w:color w:val="000000"/>
          <w:shd w:fill="FFFFFF" w:val="clear"/>
        </w:rPr>
        <w:t xml:space="preserve"> </w:t>
      </w:r>
      <w:r>
        <w:rPr>
          <w:rFonts w:ascii="Times New Roman;sans-serif" w:hAnsi="Times New Roman;sans-serif"/>
          <w:b w:val="false"/>
          <w:color w:val="000000"/>
          <w:sz w:val="20"/>
          <w:shd w:fill="FFFFFF" w:val="clear"/>
        </w:rPr>
        <w:t xml:space="preserve">per annum. Given the floating interest rate, the Company is subject to volatility and additional expense in the current increasing interest rate environment. The Company’s obligations under the facility are secured by a first priority security interest in all assets of the Company and Guarantors, subject to variation in accordance with local law with respect to assets held by the Company and the Guarantors outside of the United States.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upon the first regulatory approval of any of the Company’s product candidates by either the FDA or EMA, the Company is obligated to pay the Purchasers an amount equal to 30% of the aggregate principal amount issued under the Notes by the Company (the “Milestone Payment”). The Milestone Payment shall be paid in quarterly installments over five years beginning on the earlier of (i) the date of the first commercial sale following such regulatory approval; and (ii) the six month anniversary of such regulatory approval. The Milestone Payment is triggered one time only, and applies only to the Company’s first product to obtain regulatory approval.</w:t>
      </w:r>
    </w:p>
    <w:p>
      <w:pPr>
        <w:pStyle w:val="TextBody"/>
        <w:bidi w:val="0"/>
        <w:spacing w:lineRule="auto" w:line="288" w:before="240" w:after="283"/>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may redeem all, but not less than all, of the outstanding Notes (if any) and pay all other outstanding obligations under the NPA. On the applicable date, the Company shall repurchase the Notes by paying an amount of up to (i) 175% of the principal amount issued under the Notes if such repurchase occurs on or prior to the third anniversary of the First Purchase Date, (ii) 185% of the principal amount issued under the Notes if such repurchase occurs between the third and sixth anniversaries of the First Purchase Date, and (iii) 205% of the principal amount issued under the Notes if such repurchase occurs thereafter, in each case less specified deductions and exclusions described in the NPA, including amounts paid by the Company to the Purchasers in respect of certain asset sale or strategic transactions, the interest payments, the Revenue Participation Payments and the Milestone Payments (the “Final Payment Amount”).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On February 11, 2022, we entered into an Amendment to Note Purchase Agreement and Waiver (“Amendment”). The Amendment contains a waiver of certain events of default and associated penalty interests under the NPA. The Amendment also provides that the Company is required to maintain a cash balance in an amount equal to 75% of the aggregate principal amount of all Notes, that have been issued on and from February 11, 2022. Also pursuant to the Amendment, the date for the Third Purchase Date to occur and the Commitment Termination Date are extended to December 31, 2023. The Amendment also provides that upon the sale of any of the Company’s or any of its subsidiary's assets, if the Purchaser Agent elects to have the Company repurchase the Notes, such repurchase amounts will be subject to a $100 million deductible such that the Purchaser Agent will not collect any repurchase amounts until $100 million has been received by the Company from such sale event. In addition, the reduced payment cap that is triggered by the Purchaser Agent opting into a repayment in the event of an asset sale extends to the second loan tranche, if drawn. </w:t>
      </w:r>
    </w:p>
    <w:p>
      <w:pPr>
        <w:pStyle w:val="TextBody"/>
        <w:bidi w:val="0"/>
        <w:spacing w:lineRule="auto" w:line="288" w:before="240" w:after="283"/>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November 2022, we entered into a Second Amendment to Note Purchase Agreement (the “Second Amendment”) that, among other terms, (i) waives the requirement to complete a restructuring of Pega-One or establish a blocked deposit account in favor of the Purchaser Agent, (ii) provides that the Company is required to maintain a cash balance in an amount equal to 90% (increased from 75%) of the aggregate principal amount of all Notes, and (iii) upon the sale of the assets of any of PearlRiver Bio, Pega-One or Janpix, the Purchaser Agent shall be deemed to have exercised the right to have the Company repurchase the Notes, and any contingent amounts from such asset sales shall not be counted toward the $100 million deductible such that the Purchaser Agent will not collect any repurchase amounts until $100 million has been actually received by the Company from such sale events. We divested PearlRiver in December 2022 and Pega-One in January 2023. In July 2023, we entered into a Consent, Release and Amendment to Note Purchase Agreement pursuant to which the Purchaser Agent consented to the Company undertaking a reorganization of its UK group and agreed to release its security interest over certain assets.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we breach certain of our debt covenants and are unable to cure such breach within the prescribed period, or are not granted waivers in relation to such breach, it may constitute an event of default under the credit facility, giving Oberland Capital the right to require us to repay the then outstanding debt immediately, and Oberland Capital could, among other things, foreclose on the collateral granted to them to collateralize such indebtedness, if we are unable to pay the outstanding debt immediately. A breach of the covenants contained in the credit facility documents and the acceleration of its repayment obligations by Oberland Capital could have a material adverse effect on our business, financial condition, results of operations and prospects.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credit facility and the Revenue Participation Payments and Milestone Payments contained therein could have important negative consequences to the holders of our securities. For example, a portion of our cash flow from operations will be needed to make payments to Oberland Capital and will not be available to fund future operations. Additionally, we may have increased vulnerability to adverse general economic and industry conditions. Payment requirements under the credit facility will increase our cash outflows if and when the conditions for payment are triggered. Our future operating performance is subject to market conditions and business factors that are beyond our control. If our cash inflows and capital resources are insufficient to allow us to make required payments, we may have to reduce or delay capital expenditures, sell assets or seek additional capital. If we raise funds by selling additional equity, such sale would result in dilution to our stockholders. There is no assurance that if we are required to secure funding, we can do so on terms acceptable to us, or at all.</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If we engage in acquisitions or strategic partnerships, this may increase our capital requirements, dilute our shareholders, cause us to incur debt or assume contingent liabilities, and subject us to other risks.</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may engage in various acquisitions and strategic partnerships in the future, including licensing or acquiring new or complementary products, intellectual property rights, technologies, or businesses. Any acquisition or strategic partnership may entail numerous risks, including:</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increased operating expenses and cash requirements;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assumption of indebtedness or contingent liabilities;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issuance of our equity securities which would result in dilution to our shareholders;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assimilation of operations, intellectual property, products and product candidates of an acquired company, including difficulties associated with integrating new personnel;</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diversion of our management’s attention from our existing product programs and initiatives in pursuing such an acquisition or strategic partnership;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retention of key employees, the loss of key personnel, and uncertainties in our ability to maintain key business relationships;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risks and uncertainties associated with the other party to such a transaction, including the prospects of that party and their existing products or product candidates and regulatory approvals;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our inability to generate revenue from acquired intellectual property, technology and/or products sufficient to meet our objectives or even to offset the associated transaction and maintenance costs;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our assumption of liabilities of the acquired subsidiary or acquired assets.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if we undertake such a transaction, we may issue dilutive securities, assume or incur debt obligations, incur large one-time expenses and acquire intangible assets that could result in significant future amortization expense.</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If we acquire additional assets and/or companies in the future, it could adversely affect our operating results and the value of our ADSs.</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part of our asset-centric business model and strategy, we may acquire additional assets and/or companies. Investments in our existing and any future subsidiaries and developmental assets involve numerous risks, including, but not necessarily limited to:</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risk of conducting research and development activities in new therapeutic areas or treatment modalities in which we have little to no experience;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diversion of financial and managerial resources from existing operations;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successfully negotiating a proposed acquisition, in-license or investment in a timely manner and at a price or on terms and conditions favorable to us;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successfully combining and integrating a potential acquisition into our existing business to fully realize the benefits of such acquisition;</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impact of regulatory reviews on a proposed acquisition, in-license or investment;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assumption of liabilities of acquired subsidiaries and outcome of any legal proceedings that may be instituted with respect to the proposed acquisition, in-license or investment.</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we fail to properly evaluate potential acquisitions, in-licenses, investments or other transactions associated with the creation of new research and development programs or the maintenance of existing ones, we might not achieve the anticipated benefits of any such transaction, we might incur costs in excess of what we anticipate, and management resources and attention might be diverted from other necessary or valuable activities.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Risks Related to Our Business and the Clinical Development, Regulatory Review and Approval</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Our product candidates are in various stages of development, including several in discovery and preclinical stages, and may fail in development or suffer delays that materially adversely affect their commercial viability and we may fail to differentiate our molecules from other available treatment options including other molecules in development.</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no products on the market and most of the product candidates in our pipeline are in the early stages of development. For example, across our organization, we currently have three product candidates that are in clinical development— SerpinPC, LB101, and ORX750. The remainder of our programs are in preclinical development. Our ability to achieve and sustain profitability depends on obtaining regulatory approvals for, and successfully commercializing, our product candidates, either alone or with third parties. Before obtaining regulatory approval for the commercial distribution of our product candidates, we or a collaborator must conduct extensive preclinical tests and clinical trials to demonstrate the safety and efficacy of our drug product candidates and the safety, purity, and potency or efficacy, of our biologic product candidates. Preclinical testing and clinical trials are expensive, difficult to design and implement, can take many years to complete and are uncertain as to outcome. Our current or future product candidates may cause undesirable or clinically unmanageable side effects, toxicities or have other properties when used alone or in combination with other approved products or investigational new drugs that could halt their clinical development, delay or prevent their marketing approval, limit their commercial potential, result in a more restrictive label or result in significant negative consequences. Historical results of preclinical studies or clinical studies will not be fully predictive of future results in ongoing or future studies, which is particularly pertinent in the case of our orexin agonist program. For example, certain other orexin agonist programs have reported visual disturbances, drug induced liver injury (“DILI”) and other side-effects during clinical trials. There is no guarantee that ORX750 will 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demonstrate the same or other serious and unexpected drug-related side effects which could materially and adversely impact our ability to develop and advance ORX750. The start or end of a clinical study is often delayed or halted due to changing regulatory requirements, manufacturing challenges, required clinical trial administrative actions, slower than anticipated patient enrollment, changing standards of care, availability or prevalence of use of a comparative drug or required prior therapy, clinical outcomes or financial constraints. For instance, delays or difficulties in patient enrollment or difficulties in retaining trial participants can result in increased costs, longer development times or termination of a clinical trial. Clinical trials of a new product candidate require the enrollment of a sufficient number of patients, including patients who are suffering from the disease the product candidate is intended to treat and who meet other eligibility criteria. Rates of patient enrollment are affected by many factors, including the size of the patient population, the eligibility criteria for the clinical trial, the age and condition of the patients, the stage and severity of disease, the nature of the protocol, the proximity of patients to clinical sites and the availability of effective treatments for the relevant disease.</w:t>
      </w:r>
    </w:p>
    <w:p>
      <w:pPr>
        <w:pStyle w:val="TextBody"/>
        <w:bidi w:val="0"/>
        <w:spacing w:lineRule="auto" w:line="288" w:before="240" w:after="283"/>
        <w:ind w:left="0" w:right="0" w:firstLine="720"/>
        <w:jc w:val="both"/>
        <w:rPr/>
      </w:pPr>
      <w:r>
        <w:rPr>
          <w:rFonts w:ascii="Times New Roman;sans-serif" w:hAnsi="Times New Roman;sans-serif"/>
          <w:b w:val="false"/>
          <w:color w:val="000000"/>
          <w:sz w:val="20"/>
        </w:rPr>
        <w:t>A product candidate can unexpectedly fail at any stage of preclinical and clinical development. For example, in 2022, we chose to discontinue the lixivaptan program for the treatment of ADPKD, the small molecule EGFR Exon20 insertion mutation inhibitor program, the C797S mutation inhibitor program for the treatment of NSCLC, the ZF874 program for the treatment of AATD, and the dual-STAT3/5 degrader program in AM</w:t>
      </w:r>
      <w:r>
        <w:rPr>
          <w:rFonts w:ascii="Times New Roman;sans-serif" w:hAnsi="Times New Roman;sans-serif"/>
          <w:b w:val="false"/>
          <w:color w:val="000000"/>
          <w:sz w:val="20"/>
          <w:shd w:fill="FFFFFF" w:val="clear"/>
        </w:rPr>
        <w:t>L. Additionally, in December 2022, as a result of protocol defined stopping criterion having been met, we suspended dosing in the MAD stage of the Phase 1 study of CBS001, a neutralizing therapeutic mAb to the inflammatory membrane form of LIGHT for inflammatory/fibrotic diseases. I</w:t>
      </w:r>
      <w:r>
        <w:rPr>
          <w:rFonts w:ascii="Times New Roman;sans-serif" w:hAnsi="Times New Roman;sans-serif"/>
          <w:b w:val="false"/>
          <w:color w:val="000000"/>
          <w:sz w:val="20"/>
        </w:rPr>
        <w:t xml:space="preserve">n the first half of 2023, we deprioritized and paused all development activities associated with CBS001, CBS004, a therapeutic mAb targeting BDCA-2 for the potential treatment of autoimmune diseases, and MGX292, a protein-engineered variant of human bone morphogenetic protein 9 (“BMP9”) for the treatment of pulmonary arterial hypertension (“PAH”). </w:t>
      </w:r>
      <w:r>
        <w:rPr>
          <w:rFonts w:ascii="Times New Roman;sans-serif" w:hAnsi="Times New Roman;sans-serif"/>
          <w:b w:val="false"/>
          <w:color w:val="000000"/>
          <w:sz w:val="20"/>
          <w:shd w:fill="FFFFFF" w:val="clear"/>
        </w:rPr>
        <w:t>We subsequently terminated MGX292, and in late 2023, we out-licensed CBS004 to AnaptysBio Inc. The historical failure rate for product candidates is high due to scientific feasibility, safety, efficacy, changing standards of medical c</w:t>
      </w:r>
      <w:r>
        <w:rPr>
          <w:rFonts w:ascii="Times New Roman;sans-serif" w:hAnsi="Times New Roman;sans-serif"/>
          <w:b w:val="false"/>
          <w:color w:val="000000"/>
          <w:sz w:val="20"/>
        </w:rPr>
        <w:t>are and other variables. The results from preclinical testing or early clinical trials of a product candidate may not predict the results that will be obtained in later phase clinical trials of the product candidate. We, the FDA or other applicable regulatory authorities may suspend clinical trials of a product candidate at any time for various reasons, including a belief that subjects participating in such trials are being exposed to unacceptable health risks or adverse side effects. We may not be able to submit INDs or IND amendments to commence additional clinical trials on the timelines we expect, and even if we are able to, the FDA may not permit us to proceed. We may not have the financial resources to continue development of, or to enter into collaborations for, a product candidate if we experience any problems or other unforeseen events that delay or prevent regulatory approval of, or our ability to commercialize, product candidates, including:</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negative or inconclusive results from our clinical trials or the clinical trials of others for product candidates similar to ours, leading to a decision or requirement to conduct additional preclinical testing or clinical trials or abandon a program;</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serious and unexpected drug-related side effects experienced by participants in our clinical trials or by individuals using drugs similar to our product candidates;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delays in submitting Investigational New Drug applications (“INDs”), Clinical Trial Applications (“CTAs”), or comparable foreign applications or delays or failure in obtaining the necessary approvals from regulators to commence a clinical trial, or a suspension or termination of a clinical trial once commenced;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conditions imposed by the FDA or comparable foreign authorities regarding the scope or design of our clinical trials;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delays in enrolling or our inability to enroll research subjects in clinical trials;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high drop-out rates of research subjects;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inadequate supply or quality of product candidate components or materials or other supplies necessary for the conduct of our clinical trials;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greater than anticipated clinical trial costs;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poor effectiveness of our product candidates during clinical trials;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unfavorable FDA or other regulatory agency inspection and review of a clinical trial site;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failure of our third-party contractors or investigators to comply with regulatory requirements or otherwise meet their contractual obligations in a timely manner, or at all;</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delays and changes in regulatory requirements, policy and guidelines, including the imposition of additional regulatory oversight around clinical testing generally or with respect to our technology in particular; or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varying interpretations of data by the FDA and similar foreign regulatory agencies.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Some of the clinical trials performed to date were, and in the future we may conduct, open-label studies involving only a limited number of clinical sites and a limited number of patients.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Moreover, patients selected for early clinical studies often include the most severe sufferers and their symptoms may have been bound to improve notwithstanding the new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trial may not be predictive of future clinical trial results with any of our product candidates for which we include an open-label clinical trial when studied in a controlled environment with a placebo or active control. Given that our development program for SerpinPC has included open-label clinical trials, the results from these clinical trials, and any future open-label studies, may not be predictive of future clinical trial results with this or other product candidates when studied in a controlled environment with a placebo or active control.</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We may not be successful in our efforts to identify, discover, in-license or otherwise acquire additional product candidates and may fail to capitalize on programs or product candidates that may be a greater commercial opportunity or for which there is a greater likelihood of success.</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success of our business depends upon our ability to identify, develop and commercialize product candidates. Research programs to identify new product candidates require substantial technical, financial and human resources. Although certain of our product candidates are currently in clinical or preclinical development, we may fail to identify other potential product candidates for clinical development for several reasons. For example, our research may be unsuccessful in identifying potential product candidates or our potential product candidates may be shown to have harmful side effects, may be commercially impracticable to manufacture or may have other characteristics that may make the products unmarketable or unlikely to receive marketing approval.</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because we have limited resources, we may forego or delay pursuit of opportunities with certain programs or product candidates or for indications that later prove to have greater commercial potential. Our spending on current and future research and development programs may not yield any commercially viable products. If we do not accurately evaluate the commercial potential for a particular product candidate, we may relinquish valuable rights to that product candidate through strategic collaboration, licensing or other arrangements in cases in which it would have been more advantageous for us to retain sole development and commercialization rights to such product candidate. Alternatively, we may allocate internal resources to a product candidate in a therapeutic area in which it would have been more advantageous to enter into a partnering arrangement.</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any of these events occur, we may be forced to abandon our development efforts with respect to a particular product candidate or fail to develop a potentially successful product candidate, which could have a material adverse effect on our business, financial condition, results of operations and prospects.</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Success in preclinical studies or early clinical trials may not be indicative of results obtained in later trials.</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Results from preclinical studies or previous clinical trials are not necessarily predictive of future clinical trial results, and interim results of a clinical trial are not necessarily indicative of final results. The results generated to date in preclinical studies or clinical trials for our product candidates do not ensure that later preclinical studies or clinical trials will demonstrate similar results. Our product candidates may fail to show the desired safety and efficacy in clinical development despite demonstrating positive results in preclinical studies or having successfully advanced through initial clinical trials. Product candidates in later stages of clinical trials may fail to show the desired safety and efficacy traits despite having progressed through preclinical and earlier stage clinical trials. In later-stage clinical trials, we will likely be subject to more rigorous statistical analyses than in completed earlier stage clinical trials. In some instances, there can be significant variability in safety or efficacy results between different clinical trials of the same product candidate due to numerous factors, including changes in clinical trial procedures set forth in protocols, differences in the size and type of the patient populations, adherence to the dosing regimen and other clinical trial protocols, and the rate of dropout among clinical trial participants. We cannot guarantee that any of our clinical trials will be conducted as planned or completed on schedule, or at all. Clinical trials can fail at any stage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testing and failure may result from a multitude of factors, including, among other things, flaws in study design, dose selection issues, placebo effects, patient enrollment criteria and failure to demonstrate favorable safety or efficacy traits.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There is a high failure rate for small molecule drugs and biologic products proceeding through clinical development. Many companies in the pharmaceutical and biotechnology industries have suffered significant setbacks in late-stage clinical trials even after achieving promising results in preclinical testing and earlier-stage clinical trials. Data obtained from preclinical and clinical activities are subject to varying interpretations, which may delay, limit or prevent regulatory approval, and many companies that have believed their product candidates performed satisfactorily in preclinical studies and clinical trials have nonetheless failed to obtain marketing approval of their products. In addition, we may experience regulatory delays or rejections as a result of many factors, including due to changes in regulatory policy during the period of our product candidate development. Furthermore, the failure of any of our product candidates to demonstrate safety and efficacy in any clinical trial could negatively impact the perception of our other product candidates and/or cause the FDA or other regulatory authorities to require additional testing before approving any of our product candidates. Any such delays could materially and adversely affect our business, financial condition, results of operations and prospects.</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We may encounter substantial delays or challenges in the initiation, conduct or completion of our clinical trials, and the results of clinical development are uncertain.</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Before obtaining marketing approval from regulatory authorities for the sale of our product candidates, we must conduct extensive clinical trials to demonstrate the safety and efficacy of the product candidate for its intended indications. Clinical trials are expensive, time-consuming and uncertain as to outcome. We cannot guarantee that any clinical trials will be conducted as planned or completed on schedule, if at all. A failure of one or more clinical trials can occur at any stage of testing. Events that may prevent successful or timely completion of clinical development include, without limitation:</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delay in completing preclinical studies;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delays in reaching a consensus with regulatory authorities on trial design;</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delays in obtaining authorizations of INDs to commence a clinical trial;</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delays in reaching agreement or failing to agree on acceptable terms with prospective CROs, and clinical trial sites, the terms of which can be subject to extensive negotiation and may vary significantly among different CROs and clinical trial sites;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delays in obtaining or failure to obtain Institutional Review Board (“IRB”), or independent ethics committee approval at each clinical trial site;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delays in opening or failure to open a sufficient number of clinical trial sites and recruiting an adequate number of suitable patients to participate in our clinical trials;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imposition of a clinical hold by regulatory authorities as a result of a serious adverse event, concerns with a class of product candidates or after an inspection of our clinical trial operations or trial sites;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delays in having patients complete participation in a trial or return for post-treatment follow-up;</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occurrence of clinical trial sites deviating from clinical trial protocol or dropping out of a clinical trial;</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obtaining sufficient product supply of product candidate for use in preclinical studies or clinical trials from third-party suppliers;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occurrence of serious adverse events associated with the product candidate that are viewed to outweigh its potential benefits;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changes in regulatory requirements and guidance that require amending or submitting new clinical protocols;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failure to recruit and maintain a sufficient number of, or any, subjects in our existing and anticipated studies or clinical trials including PRESent-5, the observational feeder study, PRESent-2 and PRESent-3 and studies or trials of LB101 and any other LockBody candidates, ORX750 and other orexin agonist molecules and failure to meet expectations on executing our research and clinical development plans and the timing thereof; or</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geopolitical or macro factors such as the ongoing Russia-Ukraine war, the Middle East conflict(s) and tensions in U.S.-China relations.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Any inability to successfully complete preclinical and clinical development could result in additional costs to us or impair our ability to generate revenue from future drug sales and regulatory and commercialization milestones. In addition, if we make manufacturing or formulation changes to our product candidates, we may need to conduct additional testing to bridge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modified product candidate to earlier versions. Clinical trial delays could also shorten any periods during which we may have the exclusive right to commercialize our product candidates, if approved, or allow our competitors to bring comparable drugs to market before we do, which could impair our ability to successfully commercialize our product candidates and may harm our business, financial condition, results of operations and prospects.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if the results of our clinical trials are inconclusive or if there are safety concerns or serious adverse events associated with our product candidates, we may:</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be delayed in obtaining marketing approval, if at all;</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obtain approval for indications or patient populations that are not as broad as intended or desired;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obtain approval with labeling that includes significant use or distribution restrictions or safety warnings;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be subject to additional post-marketing testing requirements;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be required to perform additional clinical trials to support approval or be subject to additional post-marketing testing requirements;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have regulatory authorities withdraw, or suspend, their approval of the drug or impose restrictions on its distribution in the form of a modified risk evaluation and mitigation strategy (“REMS”) plan;</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be subject to the addition of labeling statements, such as warnings or contraindications;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be sued; or</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experience damage to our reputation.</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drug development costs will also increase if we experience delays in testing or obtaining marketing approvals. We do not know whether any of our preclinical studies or clinical trials will begin as planned, need to be restructured or be completed on schedule, if at all.</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Further, we, the FDA or other regulatory authorities, or an IRB or ethics committee of the institutions in which our clinical trials are being conducted, or the Data Safety Monitoring Board for such trials, if any, may suspend or terminate our clinical trials. Such authorities may suspend or terminate a clinical trial at any time due to a number of factors, including if it appears that we or our collaborators are failing to conduct a trial in accordance with regulatory requirements, including the FDA’s current Good Clinical Practice (“GCP”), regulations, unforeseen safety issues or unacceptable health risks, failure to demonstrate a benefit from the product candidates, or if the FDA finds deficiencies in our INDs or the conduct of these trials. Therefore, we cannot predict with any certainty the schedule for commencement and completion of future clinical trials. If we experience delays in the commencement or completion of our clinical trials, or if we terminate a clinical trial prior to completion, the commercial prospects of our product candidates could be negatively impacted, and our ability to generate revenues from our product candidates may be delayed or eliminated entirely.</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Even if we complete the necessary preclinical studies and clinical trials, the marketing approval process is expensive, time-consuming and uncertain and may prevent us from obtaining approvals for the commercialization of our product candidates.</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Any product candidate we develop and the activities associated with its development and commercialization, including its design, testing, manufacture, safety, efficacy, recordkeeping, labeling, storage, approval, advertising, promotion, sale, and distribution, are subject to comprehensive regulation by the FDA and other regulatory authorities in the United States and by comparable authorities in other countries. Failure to obtain marketing approval for a product candidate will prevent us from commercializing the product candidate in a given jurisdiction. We have not received approval to market any product candidates from regulatory authorities in any jurisdiction and it is possible that none of the product candidates we are developing or may seek to develop in the future will ever obtain regulatory approval. We have no experience in submitting and supporting the applications necessary to gain marketing approvals and expect to rely on third-party CROs or regulatory consultants to assist us in this process. Securing regulatory approval requires the submission of extensive preclinical and clinical data and supporting information to the various regulatory authorities for each therapeutic indication to establish the product candidate’s safety and efficacy. Securing regulatory approval also requires the submission of information about the product manufacturing process to, and inspection of manufacturing facilities by, the relevant regulatory authority. Any product candidates we develop may not be effective, may be only moderately effective, or may prove to have undesirable or unintended side effects, toxicities or other characteristics that may preclude its obtaining marketing approval or prevent or limit commercial use.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process of obtaining marketing approvals is expensive, may take many years if additional clinical trials are required,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The FDA and comparable authorities in other countries have substantial discretion in the approval process and may refuse to accept any application or may decide that our data are insufficient for approval and require additional preclinical, clinical or other studies. This is particularly true for clinical trials in rare diseases, where the very small patient population makes it difficult or impossible to conduct traditional, adequate and well-controlled studies, and therefore the FDA or comparable foreign regulatory authorities are often required to exercise flexibility in approving therapies for such diseases. To the extent that the results of the trials are not satisfactory to the FDA or comparable foreign regulatory authorities for support of a marketing application, we may be required to expend significant resources, which may not be available to us, to conduct additional trials in support of potential approval of our product candidates. In addition, varying interpretations of the data obtained from preclinical and clinical testing could delay, limit, or prevent marketing approval of a product candidate. Any marketing approval that we may ultimately obtain could be limited or subject to restrictions or post-approval commitments that render the approved product not commercially viable.</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we experience delays in obtaining approval or if we fail to obtain approval of any product candidates we may develop, the commercial prospects for those product candidates may be harmed, and our ability to generate revenues may be materially impaired.</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We may find it difficult to enroll patients in our clinical trials, which could delay or prevent us from proceeding with clinical trials of our product candidates.</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Identifying and qualifying patients to participate in clinical trials of our product candidates is critical to our success. The timing of our clinical trials depends on our ability to recruit patients to participate in such trials as well as the completion of any required follow-up periods. Some of our product candidates are designed to target orphan indications. For example, SerpinPC is being developed for the treatment of hemophilia. Trials in orphan indications often take longer to enroll than trials for other indications due to the smaller patient population from which subjects can be recruited. We may experience delays in any of our future clinical trials. If patients are unwilling to participate in our studies because of negative publicity from adverse events related to certain modalities utilized in one or more of our product candidates, competitive clinical trials for similar patient populations or for other reasons, the timeline for recruiting patients, conducting studies and obtaining regulatory approval of our product candidates may be delayed. delays could result in increased costs, delays in advancing our product candidates, delays in testing the effectiveness of our product candidates or termination of the clinical trials altogether.</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may not be able to identify, recruit and enroll a sufficient number of patients, or those with required or desired characteristics, to complete our clinical trials in a timely manner. Patient enrollment and trial completion is affected by factors including:</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size of the patient population and process for identifying subjects;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design of the trial protocol;</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eligibility and exclusion criteria;</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perceived risks and benefits of the product candidate under study;</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perceived risks and benefits of approaches utilized by one or more of our product candidates to treatment of diseases;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availability of competing therapies and clinical trials;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severity of the disease under investigation;</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proximity and availability of clinical trial sites for prospective subjects;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ability to recruit clinical trial investigators with the appropriate competencies and experience;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ability to obtain and maintain subject consent;</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risk that enrolled subjects will drop out before completion of the trial;</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patient referral practices of physicians;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ability to monitor subjects adequately during and after treatment;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factors we may not be able to control, such as current or potential pandemics that may limit patients, principal investigators or staff or clinical site availability and geopolitical conflicts such as the Russia-Ukraine war, the Middle East conflict(s) and tensions in U.S.-China relations.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plan to seek initial marketing approval in the United States and certain other major markets such as major countries in the EU, and the United Kingdom. We may not be able to initiate or continue clinical trials if we cannot enroll a sufficient number of eligible patients to participate in the clinical trials required by FDA, EMA, MHRA or other regulatory authorities. Our ability to successfully initiate, enroll and complete a clinical trial in any foreign country is subject to numerous risks unique to conducting business in foreign countries, including:</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difficulty in establishing or managing relationships with CROs, and physicians;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difficulty in obtaining local regulatory approval to conduct clinical trials;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different standards for the conduct of clinical trials;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our inability to locate qualified local consultants, physicians and partners;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potential burden of complying with a variety of foreign laws, medical standards and regulatory requirements, including the regulation of pharmaceutical and biotechnology products and treatment.</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we have difficulty enrolling a sufficient number of patients to conduct our clinical trials as planned, we may need to delay, limit or terminate ongoing or planned clinical trials, any of which would have an adverse effect on our business, financial condition, results of operations and prospects.</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We are dependent on third parties having accurately generated, collected, interpreted and reported data from certain preclinical studies and clinical trials that were previously conducted for our product candidates.</w:t>
      </w:r>
    </w:p>
    <w:p>
      <w:pPr>
        <w:pStyle w:val="TextBody"/>
        <w:bidi w:val="0"/>
        <w:spacing w:lineRule="auto" w:line="288" w:before="120" w:after="283"/>
        <w:ind w:left="0" w:right="0" w:firstLine="720"/>
        <w:jc w:val="both"/>
        <w:rPr/>
      </w:pPr>
      <w:r>
        <w:rPr>
          <w:rFonts w:ascii="Times New Roman;sans-serif" w:hAnsi="Times New Roman;sans-serif"/>
          <w:b w:val="false"/>
          <w:color w:val="000000"/>
          <w:sz w:val="20"/>
        </w:rPr>
        <w:t>We have licensed patent and other intellectual property rights from third parties and we may continue to seek and enter into similar licenses for future programs. In certain cases, we inte</w:t>
      </w:r>
      <w:r>
        <w:rPr>
          <w:rFonts w:ascii="Times New Roman;sans-serif" w:hAnsi="Times New Roman;sans-serif"/>
          <w:b w:val="false"/>
          <w:color w:val="000000"/>
          <w:sz w:val="20"/>
          <w:shd w:fill="FFFFFF" w:val="clear"/>
        </w:rPr>
        <w:t>nd to rely on results of studies previously conducted by third parties to support our own development of these candidates. In such cases, we may have no involvement with or control over the preclinical and clinical development of any of such product candidates prior to obtaining the in-license. Therefore</w:t>
      </w:r>
      <w:r>
        <w:rPr>
          <w:rFonts w:ascii="Times New Roman;sans-serif" w:hAnsi="Times New Roman;sans-serif"/>
          <w:b w:val="false"/>
          <w:color w:val="000000"/>
          <w:sz w:val="20"/>
        </w:rPr>
        <w:t>, we would be dependent on these third parties having conducted their research and development in accordance with the applicable protocols, legal and regulatory requirements, and scientific standards; having accurately reported the results of all preclinical studies and clinical trials conducted with respect to such product candidates and having correctly collected and interpreted the data from these studies and trials. If these activities were not compliant, accurate or correct, the clinical development, regulatory approval or commercialization of our product candidates will be adversely affected.</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We may be unable to obtain U.S. or foreign regulatory approval and, as a result, unable to commercialize our product candidates.</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product candidates are subject to extensive governmental regulations relating to, among other things, research, testing, development, manufacturing, safety, efficacy, approval, recordkeeping, reporting, labeling, storage, packaging, advertising and promotion, pricing, marketing and distribution of drugs. Rigorous preclinical testing and clinical trials and an extensive regulatory approval process are required to be successfully completed in the U.S. and in many foreign jurisdictions before a new drug can be marketed. Satisfaction of these and other regulatory requirements is costly, time consuming, uncertain and subject to unanticipated delays. Regulatory agencies may also impose restrictions or conditions on the development of our product candidates which may delay or adversely impact their planned development. For example, we might need to exceed the current maximum exposure limit set by FDA for our Phase 1 first-in-human clinical trial of ORX750, and this might result in a material delay to the current planned development of ORX750, or add significant additional cost, or require that we make significant adjustments including protocol changes, or we might not be successful in having the maximum exposure limit amended or removed by the FDA at all, in each case, which may materially and adversely impact our ability to develop or commercialize ORX750 in a timely manner or at all and consequently, our business could be substantially harmed. It is possible that none of the product candidates we may develop will obtain the regulatory approvals necessary for us or our collaborators to begin selling them. Regulatory authorities may also fail to approve the facilities or processes used to manufacture a product candidate, our dosing or delivery methods.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very limited experience in conducting and managing the clinical trials necessary to obtain regulatory approvals, including approval by the FDA. The time required to obtain FDA and other approvals is unpredictable but typically takes many years following the commencement of clinical trials, depending upon the type, complexity and novelty of the product candidate. The standards that the FDA and its foreign counterparts use when regulating us are not always applied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pPr>
      <w:r>
        <w:rPr>
          <w:rFonts w:ascii="Times New Roman;sans-serif" w:hAnsi="Times New Roman;sans-serif"/>
          <w:b w:val="false"/>
          <w:color w:val="000000"/>
          <w:sz w:val="20"/>
        </w:rPr>
        <w:t>predictably or uniformly and can chan</w:t>
      </w:r>
      <w:r>
        <w:rPr>
          <w:rFonts w:ascii="Times New Roman;sans-serif" w:hAnsi="Times New Roman;sans-serif"/>
          <w:b w:val="false"/>
          <w:color w:val="000000"/>
          <w:sz w:val="20"/>
          <w:shd w:fill="FFFFFF" w:val="clear"/>
        </w:rPr>
        <w:t xml:space="preserve">ge. </w:t>
      </w:r>
      <w:r>
        <w:rPr>
          <w:rFonts w:ascii="Times New Roman;sans-serif" w:hAnsi="Times New Roman;sans-serif"/>
          <w:b w:val="false"/>
          <w:color w:val="000000"/>
          <w:sz w:val="20"/>
        </w:rPr>
        <w:t>Any analysis we perform on data from preclinical and clinical activities is subject to confirmation and interpretation by regulatory authorities, which could delay, limit or prevent regulatory approval. We may also encounter unexpected delays or increased costs due to new government regulations, for example, from future legislation or administrative action, or from changes in FDA policy during the period of product development, clinical trials and FDA regulatory review. It is impossible to predict whether legislative changes will be enacted, or whether FDA or foreign regulations, guidance or interpretations will be changed, or what the impact of such changes, if any, may be.</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certain cases in the future, we may develop therapies that may represent a new class of drug for which the FDA and its foreign counterparts have not yet established any definitive policies, practices or guidelines in relation to these drugs. For example, we may in the future develop product candidates that we believe are regulated as new drugs under the Federal Food, Drug, and Cosmetic Act, but the FDA could decide to regulate them or other products we may develop as biologics under the Public Health Service Act. The lack of policies, practices or guidelines may hinder or slow review by the FDA of any regulatory filings that we may submit. Moreover, the FDA may respond to these submissions by defining requirements we may not have anticipated. Such responses could lead to significant delays in the clinical development of our product candidates. In addition, because there may be approved treatments for some of the diseases for which we may seek approval, in order to receive regulatory approval, we may need to demonstrate through clinical trials that the product candidates we develop to treat these diseases, if any, are not only safe and effective, but safer or more effective than existing products.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Any delay or failure in obtaining required approvals could have a material adverse effect on our ability to generate revenues from the particular product candidate for which we are seeking approval. Furthermore, any regulatory approval to market a product may be subject to limitations on the approved uses for which we may market the product or the labeling or other restrictions. In addition, the FDA has the authority to require a REMS plan as part of a new drug application (“NDA”), or biologics license application (“BLA”), or after approval, which may impose further requirements or restrictions on the distribution or use of an approved drug or biologic, such as limiting prescribing to certain physicians or medical centers that have undergone specialized training, limiting treatment to patients who meet certain safe-use criteria and requiring treated patients to enroll in a registry. These limitations and restrictions may limit the size of the market for the product and affect reimbursement by third-party payors.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also subject to numerous foreign regulatory requirements governing, among other things, the conduct of clinical trials, manufacturing and marketing authorization, pricing and third-party reimbursement. The foreign regulatory approval process varies among countries and may include all of the risks associated with FDA approval described above as well as risks attributable to the satisfaction of local regulations in foreign jurisdictions. Moreover, the time required to obtain approval may differ from that required to obtain FDA approval. Approval by the FDA does not ensure approval by regulatory authorities outside the U.S. and vice versa.</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Interim, “top-line,” and preliminary data from our clinical trials that we announce or publish from time to time may change as more patient data become available or as additional analyses are conducted, and as the data are subject to audit and verification procedures, there could be material changes in the final data.</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may publish interim, “top-line,” or preliminary data from our clinical studies. Interim data from clinical trials that we may complete are subject to the risk that one or more of the clinical outcomes may materially change as patient enrollment continues and more patient data become available. Preliminary or “top-line” data also remain subject to audit and verification procedures that may result in the final data being materially different from the preliminary data we previously published. As a result, interim and preliminary data should be viewed with caution until the final data are available. Material adverse changes between preliminary, “top-line,” or interim data and final data could significantly harm our business prospects.</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We may be unable to obtain orphan drug designation or exclusivity. If our competitors are able to obtain orphan drug exclusivity for products that constitute the same drug and treat the same indications as our product candidates, we may not be able to have competing products approved by the applicable regulatory authority for a significant period of time.</w:t>
      </w:r>
    </w:p>
    <w:p>
      <w:pPr>
        <w:pStyle w:val="TextBody"/>
        <w:bidi w:val="0"/>
        <w:spacing w:lineRule="auto" w:line="288" w:before="120" w:after="283"/>
        <w:ind w:left="0" w:right="0" w:firstLine="720"/>
        <w:jc w:val="both"/>
        <w:rPr/>
      </w:pPr>
      <w:r>
        <w:rPr>
          <w:rFonts w:ascii="Times New Roman;sans-serif" w:hAnsi="Times New Roman;sans-serif"/>
          <w:b w:val="false"/>
          <w:color w:val="000000"/>
          <w:sz w:val="20"/>
          <w:shd w:fill="FFFFFF" w:val="clear"/>
        </w:rPr>
        <w:t>We have received orphan drug designation for SerpinPC in the United States for the treatment of HB, with or without inhibitors, and may in the future seek orphan drug designation for certain of our other product candidates, but we may be unable to maintain orphan drug designation or obtain any benefits associated with orphan drug designation, including market exclusivity. Regulatory authorities in some jurisdictions, including the United States and the European Union, may designate drugs and biologics intended to treat relatively small patient populations as orphan drugs. Under the Orphan D</w:t>
      </w:r>
      <w:r>
        <w:rPr>
          <w:rFonts w:ascii="Times New Roman;sans-serif" w:hAnsi="Times New Roman;sans-serif"/>
          <w:b w:val="false"/>
          <w:color w:val="000000"/>
          <w:sz w:val="20"/>
        </w:rPr>
        <w:t xml:space="preserve">rug Act of 1983, FDA may designate a product candidate as an orphan drug if it is intended to treat a rare disease or condition, which is defined as a disease or condition having a patient population of fewer than 200,000 individuals in the United States, or a patient population greater than 200,000 in the United States where there is no reasonable expectation that the cost of developing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drug will be recovered from sales in the United States. In the EU, the European Commission, after recommendation from the EMA’s Committee for Orphan Medicinal Products, grants orphan designation in respect of products that are intended for the diagnosis, prevention or treatment of a life-threatening or chronically debilitating condition which either affects not more than 5 in 10,000 persons in the EU when the application for orphan designation is made, or products intended for the diagnosis, prevention or treatment of a life-threatening, seriously debilitating or serious and chronic condition when, without incentives, it is unlikely that sales of the product in the EU would be sufficient to justify the necessary investment in developing the product. In each case, there must be no satisfactory method of diagnosis, prevention or treatment which is authorized for marketing in the EU, or, if such a method exists, the product would be of significant benefit to those affected by the condition.</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Certain of our current product candidates, and our future potential product candidates may target patient populations that are smaller than the numbers described above. If we request orphan drug designation for our product candidates, there can be no assurances that FDA or the European Commission will grant any of our product candidates such designation. Additionally, the designation of any of our product candidates as an orphan product does not guarantee that any regulatory agency will accelerate regulatory review of, or ultimately approve, that product candidate, nor does it limit the ability of any regulatory agency to grant orphan drug designation to product candidates of other companies that treat the same indications as our product candidates prior to our product candidates receiving exclusive marketing approval.</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Generally, if a product candidate with an orphan drug designation receives the first marketing approval for the indication for which it has such designation, the product is entitled to a period of marketing exclusivity, which precludes the FDA or the European Commission from approving another marketing application for a product that constitutes the same drug (or a “similar medicinal product” in the EU) treating the same indication for that marketing exclusivity period, except in limited circumstances. If another sponsor receives such approval before we do (regardless of our orphan drug designation), we will be precluded from receiving marketing approval for our product for the applicable exclusivity period. The applicable period is seven years in the United States and 10 years in the European Union. The exclusivity period in the United States can be extended by six months if the sponsor submits pediatric data that fairly respond to a written request from the FDA for such data, and the exclusivity period in the EU can be extended by two years when the results of pediatric studies are completed in accordance with a fully compliant pediatric investigation plan and reflected in the summary of product characteristics (SmPC). The exclusivity period in the European Union can be reduced to six years if a product no longer meets the criteria for orphan drug designation or if the product is sufficiently profitable so that market exclusivity is no longer justified. Proposed amendments to EU legislation regarding orphan medicines are under consideration that, if implemented following the conclusion of the legislative process, have the potential to shorten the ten-year period of marketing exclusivity. Orphan drug exclusivity may be revoked if any regulatory agency determines that the request for designation was materially defective or if the manufacturer is unable to assure sufficient quantity of the product to meet the needs of patients with the rare disease or condition.</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Even if we obtain orphan drug exclusivity for a product candidate, that exclusivity may not effectively protect the product candidate from competition because different drugs can be approved for the same condition. In the United States, even after an orphan drug is approved, the FDA may subsequently approve another drug for the same condition if the FDA concludes that the latter drug is not the same drug or is clinically superior in that it is shown to be safer, more effective or makes a major contribution to patient care. In the EU, a marketing authorization may be granted to a similar medicinal product for the same orphan indication if:</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second applicant can establish in its application that its medicinal product, although similar to the orphan medicinal product already authorized, is safer, more effective or otherwise clinically superior;</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holder of the marketing authorization for the original orphan medicinal product consents to a second orphan medicinal product application; or</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holder of the marketing authorization for the original orphan medicinal product cannot supply sufficient quantities of orphan medicinal product.</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We face significant competition in an environment of rapid technological change and the possibility that our competitors may achieve regulatory approval before us or develop therapies that are more advanced or effective than ours, which may adversely affect our ability to successfully market or commercialize our product candidates and our financial condition.</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biotechnology and pharmaceutical industries are characterized by rapidly changing technologies, significant competition and a strong emphasis on intellectual property. We face substantial competition from many different sources, including large and specialty pharmaceutical and biotechnology companies, academic research institutions, government agencies and public and private research institutions. In addition, we face competition from other companies that have adopted business models that are similar to ours in which they establish strategic alliances, create joint ventures or collaborations,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enter into licensing arrangements with third parties for programs, product candidates, technologies or intellectual property. We may not be able to compete effectively with such companies. See “—We may not be successful in our efforts to use our differentiated asset-centric approach to drug discovery and development to build a pipeline of product candidates with commercial value.”</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example, for our clinical-stage product candidates, our main competitors include: </w:t>
      </w:r>
    </w:p>
    <w:p>
      <w:pPr>
        <w:pStyle w:val="TextBody"/>
        <w:bidi w:val="0"/>
        <w:spacing w:lineRule="auto" w:line="288" w:before="120" w:after="283"/>
        <w:ind w:left="0" w:right="0" w:hanging="360"/>
        <w:jc w:val="both"/>
        <w:rPr/>
      </w:pPr>
      <w:r>
        <w:rPr>
          <w:color w:val="000000"/>
          <w:shd w:fill="FFFFFF" w:val="clear"/>
        </w:rPr>
        <w:t>•</w:t>
      </w:r>
      <w:r>
        <w:rPr>
          <w:rFonts w:ascii="Times New Roman;sans-serif" w:hAnsi="Times New Roman;sans-serif"/>
          <w:b w:val="false"/>
          <w:color w:val="000000"/>
          <w:sz w:val="20"/>
          <w:shd w:fill="FFFFFF" w:val="clear"/>
        </w:rPr>
        <w:t xml:space="preserve">For SerpinPC, approved treatments include recombinant factor replacement therapies, emicizumab for HA, and newly approved gene therapies for both HB and HA. Alternative approaches are in development to reduce the efficiency of natural anticoagulant mechanisms. Additional gene therapies for HA and HB are being developed by various sponsors.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shd w:fill="FFFFFF" w:val="clear"/>
        </w:rPr>
        <w:t>For LB101, there are many products in development for solid tumors, several of which target CD-47 with or without concomitant PD-L1 dosing. In addition, there are several bi-specific PD-L1xCD47 programs</w:t>
      </w:r>
      <w:r>
        <w:rPr>
          <w:rFonts w:ascii="Times New Roman;sans-serif" w:hAnsi="Times New Roman;sans-serif"/>
          <w:b w:val="false"/>
          <w:color w:val="008080"/>
          <w:sz w:val="20"/>
        </w:rPr>
        <w:t>.</w:t>
      </w:r>
      <w:r>
        <w:rPr>
          <w:color w:val="000000"/>
          <w:shd w:fill="FFFFFF" w:val="clear"/>
        </w:rPr>
        <w:t xml:space="preserve">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Many of our potential competitors, alone or with their strategic partners, may have substantially greater financial, technical and other resources, such as larger research and development, clinical, marketing and manufacturing organizations. Mergers and acquisitions in the biotechnology and pharmaceutical industries may result in even more resources being concentrated among a smaller number of competitors. Our commercial opportunity could be reduced or eliminated if competitors develop and commercialize products that are safer, more effective, have fewer or less severe side effects, are more convenient or are less expensive than any products that we may develop. Competitors also may obtain FDA or other regulatory approval for their products more rapidly or earlier than we may obtain approval for ours, which could result in our product being prevented from being marketed for significant periods (for example, where our competitor has secured regulatory exclusivity) or our competitors establishing a strong market position before we are able to enter the market. Additionally, technologies developed by our competitors may render our potential product candidates uneconomical or obsolete, and we may not be successful in marketing our product candidates against competitors.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as a result of the expiration or successful challenge of our patent rights, we could face more litigation with respect to the validity and/or scope of patents relating to our competitors’ products. The availability of our competitors’ products could limit the demand, and the price we are able to charge, for any products that we may develop and commercialize.</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Our product candidates and the process for administering our product candidates may cause undesirable side effects or have other properties that could delay or prevent their regulatory approval, limit the commercial potential or result in significant negative consequences following any potential marketing approval. </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product candidates may cause undesirable side effects. Additionally, the administration process or related procedures also can cause adverse side effects. Adverse events that occur in our trials may cause us, or cause regulatory authorities or others to order us to halt, delay or amend preclinical development or clinical development of our product candidates and could result in more restrictive labeling or the denial of regulatory approval of our product candidates for any or all targeted indications. Even if serious adverse events are unrelated to study treatment, such occurrences could affect patient enrollment or the ability of enrolled patients to complete the trial. In addition, if any of our product candidates are tested or used in combination with other drugs, these combinations may have additional side effects, which could be more severe than those caused by either therapy alone.</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June 2022, we announced our strategic decision to discontinue development of lixivaptan for ADPKD including both the Phase 3 ACTION Study and the open-label ALERT Study. The decision was based on a thorough reassessment of the commercial potential of lixivaptan as a potential best-in-class therapy for patients with ADPKD, and the incremental development challenges and associated costs, following a recent observation of ALT and AST elevations in one subject in the ALERT Study.</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also decided to discontinue development of ZF874 for the treatment of AATD following a report of an adverse event involving elevated liver enzymes in a PiMZ subject dosed with 5 mg/kg BID of ZF874 in our Phase 1 study. In November 2021, we reported that elevated liver enzymes were observed in a subject dosed with 15 mg/kg BID of ZF874 in the first cohort of patients within Part B of the Phase 1 study. Based on the results of the Phase 1 study observed to date, we concluded that ZF874 was unlikely to achieve the desired target product profile.</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certain of our product candidates could cause undesirable side effects in clinical trials related to on-target toxicity. If on-target toxicity is observed, or if our product candidates have characteristics that are unexpected, we may need to abandon their development or limit development to more narrow uses or subpopulations in which the undesirable side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effects or other characteristics are less prevalent, less severe or more acceptable from a risk-benefit perspective. Many compounds that initially showed promise in early stage testing for treating cancer have later been found to cause side effects that prevented further development of the compound.</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clinical trials by their nature utilize a sample of the potential patient population. With a limited number of patients and limited duration of exposure, rare and severe side effects of our product candidates or those of our competitors may only be uncovered when a significantly larger number of patients have been exposed to the drug. While we believe that our product candidates have demonstrated manageable tolerability profiles thus far in the target indications, there can be no assurance that it or any of our other product candidates will not cause more severe side effects in a greater proportion of patients. In addition, some of our product candidates are intended to address limitations in current treatment approaches by offering potentially greater tolerability. If we do not observe a favorable tolerability profile in testing of such product candidates that differentiate them from competitors in the market, we may decide to suspend or terminate development of such candidates.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certain of our product candidates target diseases that are life-threatening or are associated with significant co-morbidities. For example, some of our product candidates are designed to address cancers, an indication in which patients may undergo treatment with other therapies such as chemotherapy, radiation, and/or other high dose or myeloablative treatments in the course of treatment of their disease, and may therefore experience side effects or AEs, including death, that are unrelated to our product candidates. While these side effects or AEs may be unrelated to our product candidates, they may still affect the success of our clinical trials. The inclusion of critically ill patients in our clinical trials may also result in deaths or other adverse medical events due to underlying disease or to other therapies or medications that such patients may receive.</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if any of our product candidates receives marketing approval, FDA could require us to adopt a REMS to ensure that the benefits outweigh its risks, which may include, among other things, a medication guide outlining the risks of the product for distribution to patients and a communication plan to health care practitioners. Furthermore, if we or others later identify undesirable side effects caused by our product candidate, several potentially significant negative consequences could result, including:</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regulatory authorities may suspend or withdraw approvals of such product candidate;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regulatory authorities may require additional warnings on the label;</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we may be required to change the way a product candidate is administered or conduct additional clinical trials;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we could be sued and held liable for harm caused to patients;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our reputation may suffer.</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Any of these events could prevent us from achieving or maintaining market acceptance of our product candidates and could significantly harm our business, prospects, financial condition and results of operations.</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We may not be able to submit INDs or IND amendments to commence additional clinical trials on the timelines we expect, and even if we are able to, the FDA may not permit us to proceed or may subject its approval to certain conditions.</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Currently, certain of the product candidates in our pipeline have not yet commenced clinical trials, and are in preclinical development. We may not be able to submit INDs for our product candidates on the timelines we expect. For example, we may experience manufacturing delays or other delays with IND-enabling studies. Moreover, we cannot be sure that submission of an IND will result in the FDA allowing further clinical trials to begin, or that, once begun, issues will not arise that suspend or terminate clinical trials. Additionally, even if such regulatory authorities agree with the design and implementation of the clinical trials set forth in an IND, we cannot guarantee that such regulatory authorities will not change their requirements in the future. These considerations also apply to new clinical trials we may submit as amendments to existing INDs or to a new IND. Any failure to file INDs on the timelines we expect or to obtain regulatory approvals for our trials may prevent us from completing our clinical trials or commercializing our products on a timely basis, if at all. The FDA may also impose restrictions or conditions on the development of our product candidates which may delay or adversely impact their planned development. For example, we might need to exceed the current maximum exposure limit set by the FDA for our Phase 1 first-in-human, clinical trial of ORX750, and this might result in a material delay to the current planned development of ORX750, or add significant additional cost, or require that we make significant adjustments including protocol changes, or we might not be successful in having the maximum exposure limit amended or removed by the FDA at all, in each case, which may materially and adversely impact our ability to conduct our ORX750 clinical trials and/or develop or commercialize ORX750 in a timely manner or at all and consequently, our business could be substantially harmed.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We are currently conducting and plan to conduct future clinical trials for certain product candidates outside the United States, and the FDA and comparable foreign regulatory authorities may not accept data from such trials.</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currently conducting and plan to conduct future clinical trials for certain product candidates outside the United States, including in Europe. The acceptance of study data from clinical trials conducted outside the United States or another jurisdiction by the FDA or comparable foreign regulatory authority may be subject to certain conditions or may not be accepted at all. The FDA will generally not consider the data from a foreign clinical trial not conducted under an IND unless (i) the trial was well-designed and well-conducted in accordance with GCP requirements, including requirements for the design, conduct, performance, monitoring, auditing, recording, analysis, and reporting of clinical trials in a way that provides assurance that the data and reported results are credible and accurate and that the rights, safety, and well-being of trial subjects are protected; and (ii) the FDA is able to validate the data from the trial through an on-site inspection, if necessary. In cases where data from foreign clinical trials are intended to serve as the basis for marketing approval in the United States, the FDA will generally not approve the application on the basis of foreign data alone unless (i) the data are applicable to the U.S. population and U.S. medical practice; (ii) the trials were performed by clinical investigators of recognized competence; and (iii) the data may be considered valid without the need for an on-site inspection by the FDA or, if the FDA considers such as inspection to be necessary, the FDA is able to validate the data through an on-site inspection or other appropriate means. Additionally, the FDA’s clinical trial requirements, including sufficient size of patient populations and statistical powering, must be met.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United States or the applicable jurisdiction. If the FDA or any comparable foreign regulatory authority does not accept such data, it would result in the need for additional trials, which could be costly and time-consuming, and which may result in product candidates that we may develop not receiving approval for commercialization in the applicable jurisdiction.</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Even if we obtain and maintain approval for our product candidates from the FDA, we may never obtain approval for our product candidates outside of the United States, which would limit our market opportunities and adversely affect our business.</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Approval of a product candidate in the United States by the FDA does not ensure approval of such product candidate by regulatory authorities in other countries or jurisdictions, and approval by one foreign regulatory authority does not ensure approval by regulatory authorities in other foreign countries or by the FDA. Sales of our product candidates outside of the United States will be subject to foreign regulatory requirements governing clinical trials and marketing approval. Even if the FDA grants marketing approval for a product candidate, comparable regulatory authorities of foreign countries also must approve the manufacturing and marketing of the product candidates in those countries. Approval procedures vary among jurisdictions and can involve requirements and administrative review periods different from, and more onerous than, those in the United States, including additional preclinical studies or clinical trials. In many countries outside the United States, a product candidate must be approved for reimbursement before it can be approved for sale in that country. In some cases, the price that we intend to charge for our products, if approved, is also subject to approval. We intend to submit a marketing authorization application to the EMA for approval of our product candidates in the European Union, but obtaining such approval from the European Commission following the opinion of the EMA is a lengthy and expensive process. We may also submit marketing applications to regulators in other jurisdictions, such as to the MHRA in the United Kingdom. Even if a product candidate is approved, the FDA, the European Commission, the MHRA and other foreign regulatory authorities, as the case may be, may limit the indications for which the product may be marketed, require extensive warnings on the product labeling or require expensive and time-consuming additional clinical trials or reporting as conditions of approval. Regulatory authorities in countries outside of the United States and the European Union also have requirements for approval of product candidates with which we must comply prior to marketing in those countries. Obtaining foreign regulatory approvals and compliance with foreign regulatory requirements could result in significant delays, difficulties and costs for us and could delay or prevent the introduction of our product candidates in certain countries.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Further, clinical trials conducted in one country may not be accepted by regulatory authorities in other countries. Also, regulatory approval for any of our product candidates may be withdrawn. If we fail to comply with the regulatory requirements, our target market will be reduced and our ability to realize the full market potential of our product candidates will be harmed and our business, financial condition, results of operations and prospects will be adversely affected.</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have received Fast Track designation for SerpinPC for the treatment of hemophilia B. We may seek Fast Track designation for any of our other current or future product candidates. This designation may not lead to a faster development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or regulatory review or approval process, and does not increase the likelihood that our product candidates will receive marketing approval.</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a drug or biologic is intended for the treatment of a serious or life-threatening condition and the product demonstrates the potential to address unmet medical needs for this condition, the product sponsor may apply for FDA Fast Track designation for a particular indication. In May 2023, we received Fast Track designation from the FDA for SerpinPC for the treatment of hemophilia B, with or without inhibitors. We may seek Fast Track designation for certain of our other current and future product candidates, but there is no assurance that the FDA will grant this status to any of our proposed product candidates. The FDA has broad discretion whether or not to grant Fast Track designation, so even if we believe a particular product candidate is eligible for this designation, there can be no assurance that the FDA would decide to grant it. Even for SerpinPC and any other product candidate that may receive Fast Track designation, we may not experience a faster development process, regulatory review or approval compared to conventional FDA procedures, and receiving a Fast Track designation does not provide assurance of ultimate FDA approval. In addition, the FDA may withdraw Fast Track designation if it believes that the designation is no longer supported by data from our clinical development program. In addition, the FDA may withdraw any Fast Track designation at any time.</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We may seek accelerated approval for any of our current or future product candidates. Accelerated approval, even if granted, may not lead to a faster commercial launch of the product and does not increase the likelihood that our product candidates will receive marketing approval.</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may seek approval of our product candidates, where applicable, under the FDA’s accelerated approval program. A product may be eligible for accelerated approval if it treats a serious or life-threatening condition, generally provides a meaningful advantage over available therapies, and demonstrates an effect on a surrogate endpoint that is reasonably likely to predict clinical benefit or on a clinical endpoint that can be measured earlier than irreversible morbidity or mortality, or IMM, that is reasonably likely to predict an effect on IMM or other clinical benefit. As a condition of accelerated approval, the FDA likely would require that we perform adequate and well-controlled post-marketing clinical trials to confirm the product’s clinical benefit. These confirmatory trials must be completed with due diligence. Under FDORA, the FDA is permitted to require, as appropriate, that a post-approval confirmatory study or studies be underway prior to approval or within a specified time period after the date of approval for a product granted accelerated approval. FDORA also requires sponsors to send updates to the FDA every 180 days on the status of such studies, including progress toward enrollment targets, and the FDA must promptly post this information publicly. FDORA also gives the FDA increased authority to withdraw approval of a drug or biologic granted accelerated approval on an expedited basis if the sponsor fails to conduct such studies in a timely manner, send the necessary updates to the FDA, or if such post-approval studies fail to verify the drug’s predicted clinical benefit. Under FDORA, the FDA is empowered to take action, such as issuing fines, against companies that fail to conduct with due diligence any post-approval confirmatory study or submit timely reports to the agency on their progress. In addition, the FDA currently requires, unless otherwise informed by the agency, pre-approval of promotional materials for products receiving accelerated approval, which could adversely impact the timing of the commercial launch of the product. Thus, even if we seek to utilize the accelerated approval program, we may not be able to obtain accelerated approval and, even if we do, we may not experience a faster commercial launch of the product. In addition, receiving accelerated approval does not assure that the product’s accelerated approval will eventually be converted to a traditional approval.</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may seek designation for a current or future platform as a designated platform technology, but we might not receive such designation, and even if we do, such designation may not lead to a faster regulatory review or approval process. </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may seek designation for our current or future platform as a designated platform technology. Under FDORA, a platform technology incorporated within or utilized by a drug or biological product is eligible for designation as a designated platform technology if (1) the platform technology is incorporated in, or utilized by, a drug approved under an NDA or a biologic licensed under a BLA; (2) preliminary evidence submitted by the sponsor of the approved drug or licensed biologic, or a sponsor that has been granted a right of reference to data submitted in the application for such drug or biologic, demonstrates that the platform technology has the potential to be incorporated in, or utilized by, more than one drug or biologic without an adverse effect on quality, manufacturing, or safety; and (3) data or information submitted by the applicable person indicates that incorporation or utilization of the platform technology has a reasonable likelihood to bring significant efficiencies to the drug or biologic development or manufacturing process and to the review process. A sponsor may request the FDA to designate a platform technology as a designated platform technology concurrently with, or at any time after, submission of an IND application for a drug or biologic that incorporates or utilizes the platform technology that is the subject of the request. If so designated, the FDA may expedite the development and review of any subsequent original NDA for a drug or BLA for a biologic that uses or incorporates the platform technology. Even if we believe our current or future platform technology meets the criteria for such designation, the FDA may disagree and instead determine not to grant such designation. In addition, the receipt of such designation for a platform technology does not ensure that a drug or biologic will be developed more quickly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receive FDA approval. Moreover, the FDA may revoke a designation if the FDA determines that a designated platform technology no longer meets the criteria for such designation.</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Even if we receive regulatory approval of one or more of our product candidates, we would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Any regulatory approvals that we receive for our product candidates will require surveillance to monitor the safety and efficacy of the product candidate. The FDA may also require a REMS in order to approve our product candidates, which could entail requirements for a medication guide, physician communication plans or additional elements to ensure safe use, such as restricted distribution methods, patient registries and other risk minimization tools. In addition, if the FDA or a comparable foreign regulatory authority approves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continued compliance with cGMP for product manufacturing and compliance with GLP and GCP requirements for any studies that we conduct post-approval. In addition, manufacturers are required to comply with applicable product tracking and tracing requirements. Manufacturers and other parties involved in the drug supply chain for prescription drug products must also notify the FDA of counterfeit, diverted, stolen and intentionally adulterated products or products that are otherwise unfit for distribution in the United States. Later discovery of previously unknown problems with our product candidates, including adverse events of unanticipated severity or frequency, or with our third-party manufacturers or manufacturing processes, or failure to comply with regulatory requirements, may result in, among other things: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restrictions on the marketing or manufacturing of our product candidates, withdrawal of the product from the market or voluntary or mandatory product recalls;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manufacturing delays and supply disruptions where regulatory inspections identify observations of noncompliance requiring remediation;</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revisions to the labeling, including limitation on approved uses or the addition of additional warnings, contraindications or other safety information, including boxed warnings;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imposition of a REMS, which may include distribution or use restrictions;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requirements to conduct additional post-market clinical trials to assess the safety of the product;</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fines, warning letters or holds on clinical trials;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refusal by the FDA to approve pending applications or supplements to approved applications filed by us or suspension or revocation of approvals;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product seizure or detention, or refusal to permit the import or export of our product candidates;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injunctions or the imposition of civil or criminal penalties.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under FDORA, sponsors of approved drugs and biologics must provide 6 months’ notice to the FDA of any changes in marketing status, such as the withdrawal of a drug, and failure to do so could result in the FDA placing the product on a list of discontinued products, which would revoke the product’s ability to be marketed.</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FDA’s and other regulatory authorities’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The market opportunities for our oncology product candidates may be relatively small since the patients who may potentially be treated with our oncology product candidates are those who are ineligible for or have failed prior treatments, and our estimates of the prevalence of our target patient populations may be inaccurate.</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Cancer therapies are sometimes characterized by line of therapy (first line, second line, third line, fourth line, etc.), and the FDA often approves new therapies initially only for a particular line or lines of use. When cancer is detected early enough,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first line therapy is sometimes adequate to cure the cancer or prolong life without a cure. Whenever first line therapy, usually chemotherapy, antibody drugs, tumor-targeted small molecules, hormone therapy, radiation therapy, surgery, or a combination of these, proves unsuccessful, second line therapy may be administered. Second line therapies often consist of more chemotherapy, radiation, antibody drugs, tumor-targeted small molecules, or a combination of these. Third line therapies can include chemotherapy, antibody drugs and small molecule tumor-targeted therapies, more invasive forms of surgery, and new technologies. There is no guarantee that our product candidates, even if approved as a second or third or subsequent line of therapy, would be approved for an earlier line of therapy, and, prior to any such approvals, we may have to conduct additional clinical trials.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projections of both the number of people who have the cancers we are targeting, who may have their tumors genetically sequenced, as well as the subset of people with these cancers in a position to receive a particular line of therapy and who have the potential to benefit from treatment with our product candidates, are based on our beliefs and estimates. These estimates have been derived from a variety of sources, including scientific literature, surveys of clinics, patient foundations or market research, and may prove to be incorrect. Further, new therapies may change the estimated incidence or prevalence of the cancers that we are targeting. Consequently, even if our product candidates are approved for a second or third line of therapy, the number of patients that may be eligible for treatment with our product candidates may turn out to be much lower than expected. In addition, we have not yet conducted market research to determine how treating physicians would expect to prescribe a product that is approved for multiple tumor types if there are different lines of approved therapies for each such tumor type.</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If we decide in the future to develop our product candidates in combination with other therapies, such strategy may expose us to additional risks.</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may in the future develop one or more of our product candidates in combination with one or more approved or unapproved therapies. Even if any product candidate we develop were to receive marketing approval for use in combination with other approved therapies, the FDA, the EMA, the MHRA or comparable foreign regulatory authorities outside of the United States could still revoke approval of the therapy used in combination with our product. If the therapies used in combination with our product candidates are replaced as the standard of care for the indications we choose for any of our product candidates, the FDA, the EMA, the MHRA or comparable foreign regulatory authorities may require us to conduct additional clinical trials. The occurrence of any of these risks could result in our own products, if approved, being removed from the market or being less successful commercially.</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Further, we will not be able to market and sell any product candidate we develop in combination with an unapproved cancer therapy for a combination indication if that unapproved therapy does not ultimately obtain marketing approval either alone or in combination with our product. In addition, unapproved cancer therapies face the same risks described with respect to our product candidates currently in development and clinical trials, including the potential for serious adverse effects, delay in their clinical trials and lack of FDA approval.</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the FDA, EMA, MHRA or comparable foreign regulatory authorities do not approve these other products or revoke their approval of, or if safety, efficacy, quality, manufacturing or supply issues arise with, the products we choose to evaluate in combination with the product candidate we develop, we may be unable to obtain approval of or market such combination therapy.</w:t>
      </w:r>
    </w:p>
    <w:p>
      <w:pPr>
        <w:pStyle w:val="TextBody"/>
        <w:bidi w:val="0"/>
        <w:spacing w:lineRule="auto" w:line="288" w:before="36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Certain of our product candidates are expected to be used with a drug delivery system and thus may be regulated as a combination product and may face additional challenges, risks and delays in the product development and regulatory approval process.</w:t>
      </w:r>
    </w:p>
    <w:p>
      <w:pPr>
        <w:pStyle w:val="TextBody"/>
        <w:bidi w:val="0"/>
        <w:spacing w:lineRule="auto" w:line="288" w:before="120" w:after="283"/>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Certain of our product candidates may be used with a drug delivery system and thus may be regulated as a combination product. When evaluating product candidates that utilize a specific drug delivery system or device, the FDA will evaluate the characteristics of that delivery system and its functionality, as well as the potential for undesirable interactions between the drug and the delivery system, including the potential to negatively impact the safety or effectiveness of the drug. The FDA review process can be more complicated for combination products, and may result in delays, particularly if novel delivery systems are involved. Additionally, quality or design concerns with the delivery system could delay or prevent regulatory approval and commercialization of devices.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Risks Related to our Reliance on Third Parties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We rely, and expect to continue to rely, on third parties to conduct our preclinical studies and clinical trials and if these third parties perform in an unsatisfactory manner, our business could be substantially harmed.</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currently conduct and expect to continue to rely on third parties such as contract development and manufacturing organizations, or CMOs, and contract research organizations, or CROs, to manufacture our products and conduct our clinical trials. We do not currently have the ability to independently conduct large-scale clinical trials, such as a Phase 3 clinical trial, without assistance of third parties.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relied upon and plan to continue to rely upon medical institutions, clinical investigators, contract laboratories and other third parties, such as CROs, to conduct or assist us in conducting GCP-compliant clinical trials on our product candidates properly and on time, and may not currently have all of the necessary contractual relationships in place to do so. Once we have established contractual relationships with such third-party CROs, we will have only limited control over their actual performance of these activities.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and our CMOs, CROs and other vendors are required to comply with cGMP, GCP and GLP which are regulations and guidelines enforced by the FDA, the Competent Authorities of the Member States of the European Union and any comparable foreign regulatory authorities for all of our product candidates in preclinical and clinical development. Regulatory authorities enforce these regulations through periodic inspections of trial sponsors, principal investigators, clinical trial sites and other contractors. Although we rely on CROs to conduct any current or planned GLP-compliant preclinical studies and GCP-compliant clinical trials and have limited influence over their actual performance, we remain responsible for ensuring that each of our preclinical studies and clinical trials is conducted in accordance with its investigational plan and protocol and applicable laws and regulations, and our reliance on the CROs does not relieve us of our regulatory responsibilities. If we or any of our CROs or vendors fail to comply with applicable regulations, the data generated in our preclinical studies and clinical trials may be deemed unreliable and the FDA, EMA, MHRA or any comparable foreign regulatory agency may require us to perform additional preclinical studies and clinical trials before approving our marketing applications. We cannot assure you that upon inspection by a given regulatory agency, such regulatory agency will determine that all of our clinical trials comply with GCP regulations. In addition, our clinical trials must be conducted with products produced under cGMP requirements. Our failure to comply with these requirements may require us to repeat clinical trials, which would delay the regulatory approval process.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While we will have agreements governing their activities, our CROs will not be our employees, and we will not be able to control whether or not they devote sufficient time and resources to our future preclinical and clinical programs. These CROs may also have relationships with other commercial entities, including our competitors, for whom they may also be conducting clinical trials, or other drug development activities which could harm our business. We face the risk of potential unauthorized disclosure or misappropriation of our intellectual property by CROs, which may reduce our trade secret protection and allow our potential competitors to access and exploit our proprietary technology. CROs also may use our proprietary information and intellectual property in such a way as to result in litigation or other intellectual property-related proceedings that could jeopardize or invalidate our proprietary information and intellectual property. If our CROs do not successfully carry out their contractual duties or obligations, fail to meet expected deadlines, or if the quality or accuracy of the clinical data they obtain is compromised due to the failure to adhere to our clinical protocols or regulatory requirements or for any other reason, our clinical trials may be extended, delayed or terminated, the clinical data generated in our clinical trials may be deemed unreliable, and we may not be able to obtain regulatory approval for, or successfully commercialize any product candidate that we develop. If our CROs become subject to regulatory investigations or sanctions or are otherwise prevented or restricted from performing their business, this may result in a material delay to our development and/or commercial activities, add significant additional cost, require that we move our non-clinical and/or clinical development activities to alternative vendors, in each case, which may materially and adversely impact our ability to conduct our clinical trials and/or develop or commercialize our products in a timely manner or at all. As a result, our financial results and the commercial prospects for any product candidate that we develop would be harmed, our costs could increase, and our ability to generate revenue could be delayed.</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our relationships with these CROs terminate, we may not be able to enter into arrangements with alternative CROs or do so on commercially reasonable terms. Switching or adding additional CROs involves substantial cost and requires management time and focus, and could delay development and commercialization of our product candidates. In addition, there is a natural transition period when a new CRO commences work. As a result, delays occur, which can negatively impact our ability to meet our desired clinical development timelines. Though we intend to carefully manage our relationships with our CROs, there can be no assurance that we will not encounter challenges or delays in the future or that these delays or challenges will not have a negative impact on our business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We could experience manufacturing problems that result in delays or other material disruptions in our development or commercialization of our programs or otherwise harm our business.</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manufacturing processes our CMOs use to produce our and our affiliates’ product candidates are complex. Several factors could cause production interruptions, including inability to develop novel manufacturing processes, equipment malfunctions, facility contamination, raw material shortages or contamination, natural disasters, disruption in utility services, human error or disruptions in the operations of our suppliers, including acquisition of the supplier by a third party or declaration of bankruptcy. The expertise required to manufacture these product candidates may be unique to a particular CMO, and as a result, it would be difficult and time consuming to find an alternative CMO. If our CMOs become subject to regulatory investigations or sanctions or are otherwise prevented or restricted from performing their business, this may result in material delay or other disruption to our development and / or commercial activities, add significant additional cost, require that we move our non-clinical and/or clinical development and/or manufacturing activities to alternative vendors, in each case, which may materially and adversely impact our ability to develop and manufacture our product candidates, conduct our clinical trials and/or commercialize our products in a timely manner, or at all, or result in unacceptable additional costs.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Some of our product candidates include biologics, some of which have physical and chemical properties that cannot be fully characterized. As a result, assays of the finished product may not be sufficient to ensure that the product is consistent from lot-to-lot or will perform in the intended manner. Accordingly, our CMOs must employ multiple steps to control the manufacturing process to assure that the process is reproducible and the product candidate is made strictly and consistently in compliance with the process. Problems with the manufacturing process, even minor deviations from the normal process, could result in product defects or manufacturing failures that result in lot failures, product recalls, product liability claims or insufficient inventory to conduct clinical trials or supply commercial markets. We may encounter problems achieving adequate quantities and quality of clinical-grade materials that meet the FDA, the EMA, the MHRA or other applicable standards or specifications with consistent and acceptable production yields and costs.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FDA, the EMA, the MHRA and other foreign regulatory authorities may require us to submit samples of any lot of any approved product together with the protocols showing the results of applicable tests at any time. Under some circumstances, the FDA, the EMA, the MHRA or other foreign regulatory authorities may require that we not distribute a lot until the agency authorizes its release. Slight deviations in the manufacturing process, including those affecting quality attributes and stability, may result in unacceptable changes in the product that could result in lot failures or product recalls. Lot failures or product recalls could cause us to delay product launches or clinical trials, which could be costly to us and otherwise harm our business, financial condition, results of operations and prospects.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CMOs also may encounter problems hiring and retaining the experienced scientific, quality assurance, quality-control and manufacturing personnel needed to operate our manufacturing processes, which could result in delays in production or difficulties in maintaining compliance with applicable regulatory requirements.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Any problems in our CMOs’ supply chain, manufacturing process or facilities could result in delays in planned clinical trials and increased costs, and could make us a less attractive collaborator for potential partners, including larger biotechnology companies and academic research institutions, which could limit access to additional attractive development programs. Problems in our manufacturing process could restrict our ability to meet potential future market demand for products.</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We currently rely and expect to rely in the future on the use of third parties to manufacture our product candidates. Our business could be harmed if the third party manufacturers experience supply chain shortages, fail to provide us with sufficient quantities of our product candidates or fail to do so at acceptable quality levels or prices or deliver defective products.</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do not currently own any facility that may be used as our clinical-scale manufacturing and processing facility and must currently rely on outside vendors to manufacture our product candidates. We will need to negotiate and maintain contractual arrangements with these outside vendors for the supply of our product candidates and we may not be able to do so on favorable terms. We have not yet caused our product candidates to be manufactured on a commercial scale and may not be able to do so for any of our product candidates.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reliance on a limited number of third-party manufacturers exposes us to a number of risks, including the following:</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a contract manufacturer may fail to perform its obligations, and we may be forced to enter into an agreement with a different CMO, which we may not be able to do on reasonable terms, if at all, and our clinical supply could be delayed significantly as we establish alternative supply sources;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we may be unable to identify manufacturers on acceptable terms or at all because the number of potential manufacturers is limited and the FDA must inspect any manufacturers for current cGMP compliance as part of our marketing application;</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a new manufacturer would have to be educated in, or develop substantially equivalent processes for, the production of our product candidates and in some cases, the technical skills required to manufacture our product candidates may be unique or proprietary to the original CMO and we may have difficulty, or there may be contractual restrictions prohibiting us from, transferring such skills to a back-up or alternate supplier, or we may be unable to transfer such skills at all;</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 change in manufacturer will require us to verify that the new CMO maintains facilities and procedures that comply with quality standards and with all applicable regulations and such verification may result in material delays to our programs;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 change in manufacturers or certain changes in manufacturing processes/procedures will require that we conduct a manufacturing comparability study to verify that any new manufacturer or manufacturing process/procedures will produce our product candidate according to the specifications previously submitted to the FDA or other regulatory authority, and such study may be unsuccessful and could require the conduct of additional clinical trials;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our third-party manufacturers might be unable to timely manufacture our product candidates or produce the quantity and quality required to meet our clinical and commercial needs, if any;</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contract manufacturers may not be able to execute our manufacturing procedures and other logistical support requirements appropriately;</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our future contract manufacturers may not perform as agreed, may not devote sufficient resources to our product candidates or may not remain in the contract manufacturing business for the time required to supply our clinical trials or to successfully produce, store, and distribute our products, if any;</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manufacturers are subject to ongoing periodic unannounced inspection by the FDA and corresponding state agencies to ensure strict compliance with cGMP and other government regulations and corresponding foreign standards and we have no control over third-party manufacturers’ compliance with these regulations and standards;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we may not own, or may have to share, or obtain a license to, the intellectual property rights to any improvements made by our third-party manufacturers in the manufacturing process for our product candidates;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our third-party manufacturers could breach or terminate their agreements with us;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raw materials and components used in the manufacturing process, particularly those for which we have no other source or supplier, may not be available or may not be suitable or acceptable for use due to material or component defects;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our contract manufacturers and critical reagent suppliers may be subject to inclement weather, as well as natural or man-made disasters; and</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our contract manufacturers may have unacceptable or inconsistent product quality success rates and yields, and we have no direct control over our contract manufacturers’ ability to maintain adequate quality control, quality assurance and qualified personnel.</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Each of these risks could delay or prevent the completion of our clinical trials or the approval of any of our product candidates by the FDA or any other regulatory authority, result in higher costs (including resulting from batch failures) or adversely impact commercialization of our product candidates. In addition, we will rely on third parties to perform certain specification tests on our product candidates prior to delivery to patients. If these tests are not appropriately done and test data are not reliable, patients could be put at risk of serious harm and the FDA could place significant restrictions on our company until deficiencies are remedied. Moreover, because each of our Centessa Subsidiaries has a separate manufacturing process for their programs, we will not benefit from any synergies related to manufacturing costs. We may also face logistical problems in managing different CMOs and processes for all of our Centessa Subsidiaries.</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Certain third parties upon whom we rely for the supply of the active pharmaceutical ingredient used in our product candidates are our sole source of supply, and the loss of any of these suppliers could significantly harm our business.</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of the third parties upon whom we rely for the supply of the active pharmaceutical ingredient used in our product candidates are our sole source of supply, and the loss of any of these suppliers could significantly harm our business. The active pharmaceutical ingredients (“API”) used in certain of our product candidates are supplied to us from single-source suppliers. Our ability to successfully develop our product candidates, and to ultimately supply our commercial products in quantities sufficient to meet the market demand, depends in part on our ability to obtain the API for these products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accordance with regulatory requirements and in sufficient quantities for clinical testing and commercialization. We do not currently have arrangements in place for a redundant or second-source supply of any such API in the event any of our current suppliers of such API cease their operations for any reason. We are also unable to predict how changing global economic conditions or potential global health concerns will affect our third-party suppliers and manufacturers. Any negative impact of such matters on our third-party suppliers and manufacturers may also have an adverse impact on our results of operations or financial condition. For all of our product candidates, we intend to identify and qualify additional manufacturers to provide such API prior to submission of an NDA or BLA (as applicable) to the FDA and/or EMA, MHRA or other applicable regulatory bodies. We are not certain, however, that our single-source suppliers will be able to meet our demand for their products, either because of the nature of our agreements with those suppliers, our limited experience with those suppliers or our relative importance as a customer to those suppliers. It may be difficult for us to assess their ability to timely meet our demand in the future based on past performance. While our suppliers have generally met our demand for their products on a timely basis in the past, they may subordinate our needs in the future to their other customers. Establishing additional or replacement suppliers for the API used in our product candidates, if required, may not be accomplished quickly. If we are able to find a replacement supplier, such replacement supplier would need to be qualified and may require additional regulatory inspection or approval, which could result in further delay. While we seek to maintain adequate inventory of the API used in our product candidates, any interruption or delay in the supply of components or materials, or our inability to obtain such API from alternate sources at acceptable prices in a timely manner could impede, delay, limit or prevent our development efforts, which could harm our business, results of operations, financial condition and prospects.</w:t>
      </w:r>
    </w:p>
    <w:p>
      <w:pPr>
        <w:pStyle w:val="TextBody"/>
        <w:bidi w:val="0"/>
        <w:spacing w:lineRule="auto" w:line="288" w:before="240" w:after="283"/>
        <w:ind w:left="0" w:right="0" w:firstLine="720"/>
        <w:jc w:val="both"/>
        <w:rPr/>
      </w:pPr>
      <w:r>
        <w:rPr>
          <w:rFonts w:ascii="Times New Roman;sans-serif" w:hAnsi="Times New Roman;sans-serif"/>
          <w:b w:val="false"/>
          <w:color w:val="000000"/>
          <w:sz w:val="20"/>
        </w:rPr>
        <w:t>In the U.S., legislative proposals are pending that, if enacted, could negatively impact U.S. funding for certain biotechnology providers that have relationships with certain foreign governments or which pose a threat to national security. If these proposals become law, the potential downstream adverse impacts on entities having commercial relationships with any impacted biotechnology provider is unknown but may include supply chain disruptions or delays. If these proposals become law and any of our vendors become subject to any such laws, this may result in material delays or other disruptions to our development and/or commercial activities, add significant additional cost, require that we move our non-clinical and/or clinical development and/or manufacturing activities to alternative vendors, in each case, which may materially and adversely impact our ability to develop and manufacture our product candidates, conduct our clinical trials and/or commercialize our products in a timely manner, or at all, or result in unacceptable additional c</w:t>
      </w:r>
      <w:r>
        <w:rPr>
          <w:rFonts w:ascii="Times New Roman;sans-serif" w:hAnsi="Times New Roman;sans-serif"/>
          <w:b w:val="false"/>
          <w:color w:val="000000"/>
          <w:sz w:val="20"/>
          <w:shd w:fill="FFFFFF" w:val="clear"/>
        </w:rPr>
        <w:t>osts.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If our third-party manufacturers use hazardous and biological materials in a manner that causes injury or violates applicable law, we may be liable for damages.</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research and development activities involve the controlled use of potentially hazardous substances, including chemical and biological materials, by our third-party manufacturers. Our manufacturers are subject to federal, state and local laws and regulations in the United States governing the use, manufacture, storage, handling and disposal of medical and hazardous materials. Although we believe that our manufacturers’ procedures for using, handling, storing and disposing of these materials comply with legally prescribed standards, we cannot completely eliminate the risk of contamination or injury resulting from medical or hazardous materials. As a result of any such contamination or injury, we may incur liability or local, city, state or federal authorities may curtail the use of these materials and interrupt our business operations. In the event of an accident, we could be held liable for damages or penalized with fines, and the liability could exceed our resources. We do not have any insurance for liabilities arising from medical or hazardous materials. Compliance with applicable environmental laws and regulations is expensive, and current or future environmental regulations may impair our research, development and production efforts, which could harm our business, prospects, financial condition or results of operations.</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If we are unable to obtain licenses from third parties on commercially reasonable terms or fail to comply with our obligations under such agreements, our business could be harmed.</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It may be necessary for us to use the patented or proprietary technology of third parties to commercialize our products, in which case we would be required to obtain a license from these third parties. If we are unable to license such technology, or if we are forced to license such technology, on unfavorable terms, our business could be materially harmed. If we are unable to obtain a necessary license, we may be unable to develop or commercialize the affected product candidates, which could materially harm our business, and the third parties owning such intellectual property rights could seek either an injunction prohibiting our sales, or, with respect to our sales, an obligation on our part to pay royalties and/or other forms of compensation. Even if we are able to obtain a license, it may be non-exclusive, thereby giving our competitors access to the same technologies licensed to us.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we fail to comply with our obligations under our license agreements, our counterparties may have the right to terminate these agreements, in which event we might not be able to develop, manufacture or market, or may be forced to cease developing, manufacturing or marketing, any product that is covered by these agreements or may face other penalties under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such agreements. Such an occurrence could materially adversely affect the value of the product candidate being developed under any such agreement. Termination of these agreements or reduction or elimination of our rights under these agreements may result in our having to negotiate new or reinstated agreements with less favorable terms, cause us to lose our rights under these agreements, including our rights to important intellectual property or technology, or impede, delay or prohibit the further development or commercialization of one or more product candidates that rely on such agreements.</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Risks Related to Non-Human Primate (“NHP”) Supply</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Consistent with various rules, regulations and cGMP requirements, our ability to advance our preclinical programs and successfully develop our product candidates requires access to animal research models sufficient to assess safety and in some cases to establish the rationale for therapeutic use. Failure to access or a significant delay in accessing animal research models that meet our needs or that fulfil regulatory requirements may materially adversely affect our ability to advance our preclinical programs and successfully develop our product candidates and this could result in significant harm to our business. During the COVID-19 pandemic, researchers and CROs (including those engaged by us) experienced significant limitations in their access to animal research models, specifically including a sharp reduction in the availability of NHPs originating from breeding farms in Southeast Asia and limited access to the generation of genetically-modified rodent models used in efficacy evaluations. Prior to the pandemic, China was the leading exporter of NHPs employed in basic and applied research; however, early in 2020, China ceased exportation of cynomolgus monkeys, the species most commonly involved in pharmaceutical product development. This change in the world supply of a critical research model has resulted in increased demand from breeding farms principally located in Cambodia, Vietnam, and Mauritius Island, with a resultant marked increase in unit pricing. Consequently, this has further exacerbated an already constrained NHP supply for research purposes. If we are unable to obtain NHPs in sufficient quantities and in a timely manner to meet the needs of our preclinical research programs, if the price of NHPs that are available increases significantly, or if our suppliers are unable to ship the NHPs in their possession that are reserved for us, our ability to advance our preclinical programs and successfully develop our preclinical candidates may be materially adversely affected or significantly delayed.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Risks Related to Intellectual Property</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If we are unable to obtain and maintain sufficient patent and other intellectual property protection for our product candidates and technology or other product candidates that may be identified, or if the scope of the intellectual property protection obtained is not sufficiently broad, our competitors could develop and commercialize product candidates similar or identical to the product candidates, and our ability to successfully commercialize the product candidates and other product candidates that we may pursue may be impaired.</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is the case with other pharmaceutical and biopharmaceutical companies, our success depends in significant part on our ability and the ability of our licensors and collaborators to obtain, maintain, enforce and defend patents and other intellectual property rights with respect to our product candidates and technology and to operate our business without infringing, misappropriating, or otherwise violating the intellectual property rights of others. We have and expect to continue to maintain and expand our own patent estate.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also licensed patent and other intellectual property rights to and from our partners. Some of these licenses give us the right to prepare, file and prosecute patent applications and maintain and enforce patents we have licensed, whereas other licenses may not give us such rights. In some circumstances, we may not have the right to control the preparation, filing and prosecution of patent applications or to maintain the patents covering technology that we license to or from our partners, and we may have to rely on our partners to fulfill these responsibilities. Consequently, these patents and applications may not be prosecuted and enforced in a manner consistent with the best interests of our business. If our current or future licensors, licensees or collaborators fail to establish, maintain or protect such patents and other intellectual property rights, such rights may be reduced or eliminated. If our licensors, licensees or collaborators are not fully cooperative or disagree with us as to the prosecution, maintenance or enforcement of any patent rights, such patent rights could be compromised.</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patent prosecution process is expensive and time-consuming. We and our current or future licensors, licensees or collaborators may not be able to prepare, file and prosecute all necessary or desirable patent applications at a reasonable cost or in a timely manner. It is also possible that we or our licensors will fail to file patent applications covering inventions made in the course of development and commercialization activities before a competitor or another third party files a patent application covering, or publishes information disclosing, a similar, independently-developed invention. Such competitor’s patent application may pose obstacles to our ability to obtain or limit the scope of patent protection we may obtain. Although we enter into non-disclosure and confidentiality agreements with parties who have access to confidential or patentable aspects of our research and development output, such as our employees, collaborators, CROs, contract manufacturers, consultants, advisors and other third parties, any of these parties may breach the agreements and disclose such output before a patent application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filed, thereby jeopardizing our ability to seek patent protection. In addition,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or our licensors were the first to make the inventions claimed in our owned or licensed patents or pending patent applications, or were the first to file for patent protection of such inventions, or if such licensed patents rights may otherwise become invalid.</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patent position of biotechnology and pharmaceutical companies generally is uncertain, involves complex legal and factual questions and is the subject of much litigation. As a result, the issuance, scope, validity, enforceability and commercial value of our and our current or future licensors’ patent rights are uncertain. Our and our licensors’ pending and future patent applications may not result in patents being issued that protect our technology or products, in whole or in part, or which effectively exclude others from commercializing competitive technologies and products. The patent examination process may require us or our licensors to narrow the scope of the claims of our pending and future patent applications, and therefore, even if such patent applications issue as patents, they may not issue in a form that will provide us with any meaningful protection, prevent competitors or other third parties from competing with us, or otherwise provide us with any competitive advantage. Our and our licensors’ patent applications cannot be enforced against third parties practicing the technology claimed in such applications unless and until a patent issues from such applications, and then only to the extent the issued claims cover such technology. Any of the foregoing could harm our competitive position, business, financial condition, results of operations and prospects.</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If our trademarks and trade names are not adequately protected, then we may not be able to build name recognition in our marks of interest and our business may be adversely affected.</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trademarks or trade names may be challenged, infringed, diluted, circumvented or declared generic or determined to be infringing on other marks. We intend to rely on both registration and common law protection for our trademarks. We may not be able to protect our rights to these trademarks and trade names or may be forced to stop using these names, which we need for name recognition by potential partners or customers in our markets of interest. During the trademark registration process, we may receive Office Actions from the United States Patent and Trademark Office (“USPTO”), objecting to the registration of our trademark. Although we would be given an opportunity to respond to those objections, we may be unable to overcome such rejections. In addition, in the USPTO and in comparable agencies in many foreign jurisdictions, third parties are given an opportunity to oppose pending trademark applications and/or to seek the cancellation of registered trademarks. Opposition or cancellation proceedings may be filed against our trademarks, and our trademarks may not survive such proceedings. If we are unable to obtain a registered trademark or establish name recognition based on our trademarks and trade names, we may not be able to compete effectively and our business may be adversely affected.</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If we are unable to protect the confidentiality of our trade secrets, our business and competitive position would be harmed.</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rely on trade secrets and confidentiality agreements to protect our unpatented know-how, technology and other proprietary information and to maintain our competitive position. Trade secrets and know-how can be difficult to protect. We seek to protect these trade secrets and other proprietary technology, in part, by entering into non-disclosure and confidentiality agreements with parties who have access to them, such as our employees, collaborators, CROs, contract manufacturers, consultants, advisors and other third parties. We also enter into confidentiality and invention or patent assignment agreements with our employees and consultants. We cannot guarantee that we have entered into such agreements with each party that may have or has had access to our trade secrets or proprietary technology and processes. Despite these efforts, any of these parties may breach the agreements and disclose our proprietary information, including our trade secrets, and we may not be able to obtain adequate remedies for such breaches. These risks are heightened due to our reliance on third parties, including third party consultants, CROs and CMOs, for certain aspects of our business. The activities conducted by our third party vendors require us to share our trade secrets with them, which increases the possibility that a competitor will discover them or that our trade secrets will be misappropriated or disclosed.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 party, we would have no right to prevent them from using that technology or information to compete with us. If any of our trade secrets were to be disclosed to or independently developed by a competitor or other third party, our competitive position would be materially and adversely harmed.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Third-party claims of intellectual property infringement, misappropriation or other violations may be costly and time consuming and may prevent or delay our product discovery and development efforts.</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Third parties may initiate legal proceedings alleging that we are infringing, misappropriating, or otherwise violating their intellectual property rights, the outcome of which would be uncertain and could have a material adverse effect on the success of our business. Our commercial success depends upon our ability to develop, manufacture, market and sell our current and future product candidates and use our proprietary technologies without infringing, misappropriating or otherwise violating the intellectual property rights of third parties. There is a substantial amount of litigation involving patents and other intellectual property rights in the biotechnology and pharmaceutical industries, as well as administrative proceedings for challenging patents, including derivation, interference, reexamination, inter partes review, and post grant review proceedings before the USPTO or oppositions and other comparable proceedings in foreign jurisdictions. We or any of our future licensors or strategic partners may be party to, exposed to, or threatened with, future adversarial proceedings or litigation by third parties having patent or other intellectual property rights alleging that our current or future product candidates and/or proprietary technologies infringe, misappropriate or otherwise violate their intellectual property rights. Even if we believe third-party intellectual property claims are without merit, there is no assurance that a court would find in our favor on questions of infringement, validity, enforceability, or priority.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cannot assure that our product candidates and other technologies that we have developed, are developing or may develop in the future do not or will not infringe, misappropriate or otherwise violate existing or future patents or other intellectual property rights owned by third parties. Numerous U.S. and foreign issued patents and pending patent applications, which are owned by third parties, exist in the fields in which we are developing our product candidates. As the biotechnology and pharmaceutical industries expand and more patents are issued, the risk increases that our product candidates may give rise to claims of infringement of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product candidates, technologies or methods.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a third party claims that we infringe, misappropriate or otherwise violate its intellectual property rights, we may face a number of issues, including, but not limited to:</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infringement, misappropriation and other intellectual property claims which, regardless of merit, may be expensive and time-consuming to litigate and may divert our management’s attention from our core business and may impact our reputation;</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substantial damages for infringement, misappropriation or other violations, which we may have to pay if a court decides that the product candidate or technology at issue infringes, misappropriates or violates the third party’s rights, and, if the court finds that the infringement was willful, we could be ordered to pay treble damages and the patent owner’s attorneys’ fees;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 court prohibiting us from developing, manufacturing, marketing or selling our product candidates, or from using our proprietary technologies, unless the third party licenses its product rights to us, which it is not required to do, on commercially reasonable terms or at all;</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if a license is available from a third party, we may have to pay substantial royalties, upfront fees and other amounts, and/or grant cross-licenses to intellectual property rights for our products, or the license to us may be non-exclusive, which would permit third parties to use the same intellectual property to compete with us;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redesigning our product candidates or processes so they do not infringe, misappropriate or violate third party intellectual property rights, which may not be possible or may require substantial monetary expenditures and time;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there could be public announcements of the results of hearings, motions or other interim proceedings or developments, and, if securities analysts or investors perceive these results to be negative, it could have a substantial adverse effect on the price of our ADSs.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 The occurrence of any of the foregoing could have a material adverse effect on our business, financial condition, results of operations or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may choose to challenge the patentability of claims in a third party’s U.S. patent by requesting that the USPTO review the patent claims in an ex parte re-exam, inter partes review or post-grant review proceedings. These proceedings are expensive and may consume our time or other resources. We may choose to challenge a third party’s patent in patent opposition proceedings in the European Patent Office (“EPO”), or other foreign patent office. The costs of these opposition proceedings could be substantial, and may consume our time or other resources. If we fail to obtain a favorable result at the USPTO, EPO or other patent office then we may be exposed to litigation by a third party alleging that the patent may be infringed by our product candidates or proprietary technologies.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Third parties may assert that we are employing their proprietary technology without authorization. Patents issued in the United States by law enjoy a presumption of validity that can be rebutted only with evidence that is “clear and convincing,” a heightened standard of proof. There may be issued third-party patents of which we are currently unaware with claims to compositions, formulations, methods of manufacture or methods for treatment related to the use or manufacture of our product candidates. Patent applications can take many years to issue. In addition, because some patent applications in the United States may be maintained in secrecy until the patents are issued, patent applications in the United States and many foreign jurisdictions are typically not published until 18 months after filing, and publications in the scientific literature often lag behind actual discoveries, we cannot be certain that others have not filed patent applications covering our product candidates or technology. If any such patent applications issue as patents, and if such patents have priority over our patent applications or patents we may own or in-license, we may be required to obtain rights to such patents owned by third parties which may not be available on commercially reasonable terms or at all, or may only be available on a non-exclusive basis. There may be currently pending patent applications which may later result in issued patents that our product candidates may infringe. It is also possible that patents owned by third parties of which we are aware, but which we do not believe are relevant to our product candidates or other technologies, could be found to be infringed by our product candidates or other technologies. In addition, third parties may obtain patents in the future and claim that use of our technologies infringes upon these patents. Moreover, we may fail to identify relevant patents or incorrectly conclude that a patent is invalid, not enforceable, exhausted, or not infringed by our activities. If any third-party patents were held by a court of competent jurisdiction to cover the manufacturing process of our product candidates, molecules used in or formed during the manufacturing process, or any final product itself, the holders of any such patents may be able to block our ability to commercialize the product candidate unless we obtained a license under the applicable patents, or until such patents expire or they are finally determined to be held invalid or unenforceable. Similarly, if any third-party patent were held by a court of competent jurisdiction to cover aspects of our formulations, processes for manufacture or methods of use, including combination therapy or patient selection methods, the holders of any such patent may be able to block our ability to develop and commercialize the product candidate unless we obtained a license or until such patent expires or is finally determined to be held invalid or unenforceable. In either case, such a license may not be available on commercially reasonable terms or at all. If we are unable to obtain a necessary license to a third-party patent on commercially reasonable terms, or at all, our ability to commercialize our product candidates may be impaired or delayed, which could in turn significantly harm our business. Even if we obtain a license, it may be nonexclusive, thereby giving our competitors access to the same technologies licensed to us. In addition, if the breadth or strength of protection provided by our patent applications or any patents we may own or in-license in the future is threatened, it could dissuade companies from collaborating with us to license, develop or commercialize current or future product candidates.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Parties making claims against us may seek and obtain injunctive or other equitable relief, which could effectively block our ability to further develop and commercialize our product candidates. Defense of these claims, regardless of their merit, could involve substantial litigation expense and would be a substantial diversion of employee resources from our business. In the event of a successful claim of infringement, misappropriation or other violation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or may choose to obtain licenses from third parties to advance our research or allow commercialization of our product candidates. We may fail to obtain any of these licenses at a reasonable cost or on reasonable terms, if at all. In that event, we would be unable to further develop and commercialize our product candidates, which could harm our business significantly.</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We may become involved in lawsuits to protect or enforce our patents or other intellectual property, which could be expensive, time-consuming and unsuccessful, and issued patents covering our technology and product candidates could be found invalid or unenforceable if challenged.</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Competitors and other third parties may infringe or otherwise violate our issued patents or other intellectual property or the patents or other intellectual property of our licensors. In addition, our patents or the patents of our licensors may become involved in inventorship or priority disputes. Our pending patent applications cannot be enforced against third parties practicing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technology claimed in such applications unless and until a patent issues from such applications. To counter infringement or other unauthorized use, we may be required to file infringement claims, which can be expensive and time-consuming. Any claims we assert against perceived infringers could provoke these parties to assert counterclaims against us alleging that we infringe their patents or that our patents or our licensed patents are invalid or unenforceable. In a patent infringement proceeding, a court may decide that a patent of ours or a licensed patent is invalid or unenforceable, in whole or in part, construe the patent’s claims narrowly or refuse to stop the other party from using the technology at issue on the grounds that our patents do not cover the technology. An adverse result in any litigation proceeding could put one or more of our owned or licensed patents at risk of being invalidated, held unenforceable or interpreted narrowly. We may find it impractical or undesirable to enforce our intellectual property against some third parties.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we were to initiate legal proceedings against a third party to enforce a patent directed to our product candidates, or one of our future product candidates, the defendant could counterclaim that our patent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non-enablement or insufficient written description. Grounds for an unenforceability assertion could be an allegation that someone connected with prosecution of the patent withheld relevant information from the USPTO or made a misleading statement during prosecution. Third parties may also raise similar claims before the USPTO or an equivalent foreign body, even outside the context of litigation. Potential proceedings include re-examination, post-grant review, inter partes review, interference proceedings, derivation proceedings and equivalent proceedings in foreign jurisdictions (e.g., opposition proceedings). Such proceedings could result in the revocation of, cancellation of, or amendment to our patents in such a way that they no longer cover our technology or any product candidates that we may develop. The outcome following legal assertions of invalidity and unenforceability is unpredictable. With respect to the validity question, for example, we cannot be certain that there is no invalidating prior art of which we and the patent examiner were unaware during prosecution. If a defendant were to prevail on a legal assertion of invalidity or unenforceability, we would lose at least part, and perhaps all, of the patent protection on the applicable product candidates or technology covered by the patent rendered invalid or unenforceable. Such a loss of patent protection would materially harm our business, financial condition, results of operations and prospects.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Interference proceedings provoked by third parties or brought by us or declared by the USPTO may be necessary to determine the priority of inventions with respect to our patents or patent applications. An unfavorable outcome could require us to cease using the related technology or to attempt to license rights to it from the prevailing party. Our business could be materially harmed if the prevailing party does not offer us a license on commercially reasonable terms.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because of the substantial amount of discovery required in connection with intellectual property litigation, there is a risk that some of our confidential information could be compromised by disclosure during this type of litigation.</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competitors maybe larger than we are and may have substantially greater resources. They are, therefore, likely to be able to sustain the costs of complex patent litigation or proceedings more effectively than we can because of their greater financial resources and more mature and developed intellectual property portfolios. Accordingly, despite our efforts, we may not be able to prevent third parties from infringing upon, misappropriating or otherwise violating our intellectual property. Even if resolved in our favor, litigation or other legal proceedings relating to intellectual property claims could result in substantial costs and diversion of management resources, which could harm our business. In addition, the uncertainties associated with litigation could compromise our ability to raise the funds necessary to continue our clinical trials, continue our internal research programs, or in-license needed technology or other product candidates. There could also be public announcements of the results of the hearing, motions, or other interim proceedings or developments. If securities analysts or investors perceive those results to be negative, it could cause the price of shares of our ADSs to decline. Any of the foregoing events could harm our business, financial condition, results of operation and prospects.</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Intellectual property litigation could cause us to spend substantial resources and distract our personnel from their normal responsibilities.</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ADSs. Such litigation or proceedings could substantially increase our operating losses and reduce the resources available for development activities or any future sales, marketing or distribution activities. We may not have sufficient financial or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 including compromising our ability to raise the funds necessary to continue our clinical trials, continue our research programs, license necessary technology from third parties, or enter into development collaborations that would help us commercialize our product candidates, if approved. Any of the foregoing events would harm our business, financial condition, results of operations and prospects.</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The patent protection we obtain for our product candidates and technology may be challenged or not sufficient enough to provide us with any competitive advantage.</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Even if our owned or licensed patent applications issue as patents, the issuance of any such patents is not conclusive as to their inventorship, scope, validity, or enforceability, and such patents may be challenged, invalidated or held to be unenforceable, including in the courts or patent offices in the United States and abroad, or circumvented. We may be subject to a third party pre-issuance submission of prior art to the USPTO, or equivalent foreign bodies, or become involved in opposition, derivation, revocation, re-examination, post-grant and inter partes review, or interference proceedings challenging our patent rights or the patent rights of others.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products without infringing third-party patent rights. Moreover, we, or one of our licensors, may have to participate in interference proceedings declared by the USPTO to determine priority of invention or in post-grant challenge proceedings, such as oppositions in a foreign patent office, that challenge priority of invention or other features of patentability. Such proceedings and any other patent challenges may result in loss of patent rights, loss of exclusivity, loss of priority, or in patent claims being narrowed, invalidated, or held unenforceable, which could limit our ability to stop others from using or commercializing similar or identical technology and products, or limit the duration of the patent protection of our technology and product candidates. Such proceedings also may result in substantial cost and require significant time from our scientists and management, even if the eventual outcome is favorable to us. Any of the foregoing could harm our business, financial condition, results of operations and prospects.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given the amount of time required for the development, testing and regulatory review of new product candidates, patents protecting such candidates might expire before or shortly after such candidates are commercialized. As a result, our owned and licensed patent portfolios may not provide us with adequate protection against third parties seeking to commercialize products similar or identical to ours. We expect to request extensions of patent terms to the extent available in countries where we obtain issued patents. In the United States, the Drug Price Competition and Patent Term Restoration Act of 1984 permits a patent term extension of up to five years beyond the expiration of the patent. However, there are no assurances that the FDA or any comparable foreign regulatory authority or national patent office will grant such extensions, in whole or in part. In such case, our competitors may launch their products earlier than might otherwise be anticipated. Moreover, some of our owned or in-licensed patents and patent applications are, and may in the future be, co-owned with third parties. If we are unable to obtain an exclusive license to any such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in order to enforce such patents against third parties, and such cooperation may not be provided to us.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our owned and in-licensed patents may be subject to a reservation of rights by the licensor, its affiliates and one or more third parties. When new technologies are developed with government funding, the government generally obtains certain rights in any resulting patents, including a non-exclusive license authorizing the government to use the invention for noncommercial purposes. These rights may permit the government to disclose our confidential information to third parties or allow third parties to use our licensed technology. The government can also exercise its march-in rights if it determines that action is necessary because we fail to achieve practical application of the government-funded technology,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United States. Any of the foregoing could harm our competitive position, business, financial condition, results of operations and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We may be subject to claims by third parties asserting that we or our employees have infringed upon, misappropriated or otherwise violated their intellectual property rights, or claiming ownership of what we regard as our own intellectual property.</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Many of our employees were previously employed at other biotechnology or pharmaceutical companies.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former employer. Litigation may be necessary to defend against these claims.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or our licensors may be subject to claims that former employees, collaborators, or other third parties have an interest in our owned or in-licensed patents or other intellectual property as an inventor or co-inventor. While it is our policy to require our employees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and their assignment agreements may not be self-executing or may be breached, and we may be forced to bring claims against third parties, or defend claims they may bring against us, to determine the ownership of what we regard as our intellectual property.</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we fail in prosecuting or defending any such claims, in addition to paying monetary damages, we may lose valuable intellectual property rights or personnel. Even if we are successful in prosecuting or defending against such claims, litigation could result in substantial costs, delay development of our product candidates and be a distraction to management. Any of the foregoing events would harm our business, financial condition, results of operations and prospects.</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We may not be able to protect our intellectual property rights throughout the world.</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Filing, prosecuting, maintaining, defending and enforcing patents on our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drugs and may export otherwise infringing drugs to territories where we have patent protection, but enforcement rights are not as strong as those in the United States. These drugs may compete with our product candidates and our patents or other intellectual property rights may not be effective or sufficient to prevent them from competing.</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Many companies have encountered significant problems in protecting and defending intellectual property rights in foreign jurisdictions. The legal systems of some countries do not favor the enforcement of patents and other intellectual property protection, which could make it difficult for us to stop the infringement of our patents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Many countries, including major European Union countries, India, Japan and China, have compulsory licensing laws under which a patent owner may be compelled under specified circumstances to grant licenses to third parties. In addition, many countries limit the enforceability of patents against government agencies or government contractors. In those countries, we may have limited remedies if patents are infringed or if we are compelled to grant a license to a third party, which could materially diminish the value of those patents. This could limit our potential revenue opportunities. Accordingly, our efforts to enforce our intellectual property rights around the world may be inadequate to obtain a significant commercial advantage from the intellectual property that we develop or license, which could adversely affect our business, financial condition, results of operations and prospects.</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A number of our programs and associated product candidates are heavily dependent on licensed intellectual property. If we were to lose our rights to licensed intellectual property, we may not be able to continue developing or commercializing our product candidates, if approved. If we breach any of the agreements under which we license the use, development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commercialization rights to our product candidates or technology from third parties or, in certain cases, we fail to meet certain development deadlines, we could lose license rights that are important to our business.</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heavily reliant upon licenses to certain patent rights and other intellectual property from third parties that are important or necessary to the development of our product candidates. We may also need to obtain additional licenses to advance the development and commercialization of other product candidates we may develop. We expect that future license agreements will impose upon us, various development, regulatory and or commercial diligence obligations, payment of milestones and/or royalties and other obligations. If we fail to comply with our obligations under these agreements, or we are subject to a bankruptcy-related event, the licensor may have the right to terminate the license, in which event we would not be able to develop, market or otherwise commercialize products covered by the license, and in some instances, may be also obligated to transfer back to licensor our developments related to the licensed product and associated regulatory rights. Our business could suffer, for example, if any current or future licenses terminate, if the licensors fail to abide by the terms of the license, if the licensed patents or other rights are found to be invalid or unenforceable, or if we are unable to enter into necessary licenses on acceptable terms.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Licensing of intellectual property is of critical importance to our business and involves complex legal, business and scientific issues and certain provisions in intellectual property license agreements may be susceptible to multiple interpretations. Disputes may arise between us and our licensors regarding intellectual property subject to a license agreement, including:</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scope of rights granted under the license agreement and other interpretation-related issues;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whether and the extent to which our technology and processes infringe on intellectual property of the licensor that is not subject to the licensing agreement;</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our right to transfer, assign, or sublicense patent and other rights to third parties;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our diligence obligations with respect to the use of the licensed technology in relation to our development and commercialization of our product candidates, and what activities satisfy those diligence obligations;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ownership of inventions and know-how resulting from the joint creation or use of intellectual property by our licensors and us and our partners;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our right to transfer or assign the license;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ability and effects of termination;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restrictive covenants that may restrict our abilities to compete or market competing products.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harm our business, financial condition, results of operations and prospects. Moreover, if disputes over intellectual property that we have licensed prevent or impair our ability to maintain our current licensing arrangements on acceptable terms, we may be unable to successfully develop and commercialize the affected product candidates.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may enter into additional licenses to third-party intellectual property that are necessary or useful to our business. Our current licenses and any future licenses that we may enter into impose various fees, royalty payment, milestone and other obligations on us. Under some license agreements, we may not control prosecution of the licensed intellectual property, or may not have the first right to enforce the intellectual property. In those cases, we may not be able to adequately influence patent prosecution or enforcement, or prevent inadvertent lapses of coverage due to failure to pay maintenance fees. If we fail to comply with any of our obligations under a current or future license agreement, the licensor may allege that we have breached our license agreement, and may accordingly seek to terminate our license. Termination of any of our current or future licenses could result in our loss of the right to use the licensed intellectual property, which could materially adversely affect our ability to develop and commercialize a product candidate or product, if approved, as well as harm our competitive business position and our business prospects. Under some license agreements, termination may also result in the transfer or granting of rights under certain of our intellectual property and information related to the product candidate being developed under the license, such as regulatory information.</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if our licensors fail to abide by the terms of the license, if the licensors fail to prevent infringement by third parties, if the licensed patents or other rights are found to be invalid or unenforceable, or if we are unable to enter into necessary licenses on acceptable terms, our business, competitive position, financial condition, results of operations and prospects could be materially harmed.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Patent terms may be inadequate to protect our competitive position on our product candidates for an adequate amount of time. If we are not able to obtain patent term extension or non-patent exclusivity in the United States under the Hatch-Waxman Act and in foreign countries under similar legislation, thereby potentially extending the marketing exclusivity term of our product candidates, our business may be materially harmed.</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for a product candidate, we may be open to competition from competitive medications, including generic medications. Given the amount of time required for the development, testing and regulatory review of new product candidates, patents protecting such product candidates might expire before or shortly after such product candidates are commercialized. As a result, our owned and licensed patent portfolio may not provide us with sufficient rights to exclude others from commercializing product candidates similar or identical to ours.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in-licensed patents may expire before, or soon after, our first product achieves marketing approval in the United States or foreign jurisdictions. Upon the expiration of our current patents, we may lose the right to exclude others from practicing these inventions. The expiration of these patents could also have a similar material adverse effect on our business, financial condition, prospects and results of operations.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With respect to our biologics products, we hope to take advantage of enhanced regulatory exclusivity periods, such as the 12 years of regulatory exclusivity available to biologics manufacturers under the Biologics Competition and Innovation Act of 2009. However, despite these measures, we may still lose the right the exclude others from practicing these inventions, which may negatively impact our business.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Depending upon the timing, duration and conditions of any FDA marketing approval of our product candidates, one or more of our U.S. patents may be eligible for limited patent term extension under the Drug Price Competition and Patent Term Restoration Act of 1984, referred to as the Hatch-Waxman Amendments, and similar legislation in the European Union. The Hatch-Waxman Amendments permit a patent term extension of up to five years for a patent covering an approved product as compensation for effective patent term lost during product development and the FDA regulatory review process. However, we may not receive an extension if we fail to exercise due diligence during the testing phase or regulatory review process, fail to apply within applicable deadlines, fail to apply prior to expiration of relevant patents or otherwise fail to satisfy applicable requirements. Moreover, the length of the extension could be less than we request. Only one patent per approved product can be extended, the extension cannot extend the total patent term beyond 14 years from approval and only those claims covering the approved drug, a method for using it or a method for manufacturing it may be extended. If we are unable to obtain patent term extension or the term of any such extension is less than we request, the period during which we can enforce our patent rights for the applicable product candidate will be shortened and our competitors may obtain approval to market competing products sooner. As a result, our revenue from applicable products could be reduced. Further, if this occurs, our competitors may take advantage of our investment in development and trials by referencing our clinical and preclinical data and launch their product earlier than might otherwise be the case, and our competitive position, business, financial condition, results of operations and prospects could be materially harmed.</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Changes in patent law could diminish the value of patents in general, thereby impairing our ability to protect our product candidates.</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Obtaining and enforcing patents in the pharmaceutical industry is inherently uncertain, due in part to ongoing changes in the patent laws. Depending on decisions by Congress, the federal courts, and the USPTO, the laws and regulations governing patents, and interpretation thereof, could change in unpredictable ways that could weaken our and our licensors’ or collaborators’ ability to obtain new patents or to enforce existing or future patents. For example, the Supreme Court has ruled on several patent cases in recent years, either narrowing the scope of patent protection available in certain circumstances or weakening the rights of patent owners in certain situations. Therefore, there is increased uncertainty with regard to our and our licensors’ or collaborators’ ability to obtain patents in the future, as well as uncertainty with respect to the value of patents once obtained.</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Recent patent reform legislation could increase the uncertainties and costs surrounding the prosecution of our and our licensors’ or collaborators’ patent applications and the enforcement or defense of our or our licensors’ or collaborators’ issued patents.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America Invents Act (the “Leahy-Smith Act”), enacted in September 2011, the United States transitioned to a first inventor to file system in which, assuming that other requirements for patentability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are met, the first inventor to file a patent application will be entitled to the patent on an invention regardless of whether a third party was the first to invent the claimed invention. The Leahy-Smith Act also includes a number of significant changes that affect the way patent applications are prosecuted and may also affect patent litigation. These include allowing third party submission of prior art to the USPTO during patent prosecution and additional procedures to attack the validity of a patent by USPTO-administered post-grant proceedings, including post-grant review, inter partes review and derivation proceedings. The USPTO recently developed new regulations and procedures to govern administration of the Leahy-Smith Act, and many of the substantive changes to patent law associated with the Leahy-Smith Act, particularly the first inventor-to-file provisions. Accordingly, it is not clear what, if any, impact the Leahy-Smith Act will have on the operation of our business. However, the Leahy-Smith Act and its implementation could increase the uncertainties and costs surrounding the prosecution of our or our licensors’ patent applications and the enforcement or defense of our or our licensors’ issued patents, all of which could harm our business, financial condition, results of operations and prospects.</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Intellectual property rights do not necessarily address all potential threats.</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degree of future protection afforded by our intellectual property rights is uncertain because intellectual property rights have limitations and may not adequately protect our business or permit us to maintain our competitive advantage. For example: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others may be able to make products that are similar to any product candidates we may develop or utilize similar technology but that are not covered by the claims of the patents that we license or may own in the future;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we, or our current or future licensors might not have been the first to make the inventions covered by the issued patent or pending patent application that we license or may own in the future;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we, or our current or future licensors might not have been the first to file patent applications covering certain of our or their inventions;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others may independently develop similar or alternative technologies or duplicate any of our technologies without infringing our owned or licensed intellectual property rights;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it is possible that our pending owned or licensed patent applications or those that we may own or license in the future will not lead to issued patents;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issued patents that we hold rights to may be held invalid or unenforceable, including as a result of legal challenges by our competitors;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our competitors might conduct research and development activities in countries where we do not have patent rights and then use the information learned from such activities to develop competitive products for sale in our major commercial markets;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we may not develop additional proprietary technologies that are patentable;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patents of others may harm our business;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we may choose not to file a patent in order to maintain certain trade secrets or know-how, and a third party may subsequently file a patent covering such intellectual property.</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Should any of these events occur, they could harm our business, financial condition, results of operations and prospects.</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Periodic maintenance fees, renewal fees, annuity fees and various other governmental fees on patents and/or applications will be due to be paid to the USPTO and various governmental patent agencies outside of the United States in several stages over the lifetime of the patents and/or applications. We have systems in place to remind us to pay these fees, and we employ an outside firm and rely on our outside counsel to pay these fees due to non-U.S. patent agencies. The USPTO and various non-U.S. governmental patent agencies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the applicable rules. However, there are situations in which non-compliance can result in abandonment or lapse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patent or patent application, resulting in partial or complete loss of patent rights in the relevant jurisdiction. In such an event, our competitors might be able to enter the market and this circumstance would have a material adverse effect on our business.</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We engage consultants employed by academic institutions in jurisdictions that contain inventorship laws mandating that any inventions developed by such consultants while performing consultancy services automatically or otherwise shall reside in the employing institution and granting such institutions the first right to develop and/or commercialize such inventions. We may not be able to secure rights (whether through ownership or license interest) in inventions developed by such consultants during performance of consulting services for our companies.</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enter into confidentiality and intellectual property assignment agreements with our employees, consultants, outside scientific collaborators, sponsored researchers and other advisors. These agreements generally provide that inventions conceived by the party in the course of rendering services to us will be our exclusive property. However, these agreements may not be honored and may not effectively assign intellectual property rights to us. For example, even if we have a consulting agreement in place with an academic advisor pursuant to which such academic advisor is required to assign any inventions developed in connection with providing services to us, such academic advisor may not have the right to assign such inventions to us, as it may conflict with his or her obligations to assign their intellectual property to his or her employing institution.</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Despite our undertaking of the measures listed above, we may be subject to claims challenging the inventorship or ownership of our patents and other intellectual property and may be subject to further claims in the future. Litigation may be necessary to defend against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Risks Related to Commercialization</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We have never commercialized a product candidate and we may lack the necessary expertise, personnel and resources to successfully commercialize any of our products that receive regulatory approval on our own or together with collaborators.</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never commercialized a product candidate. Our operations to date have been limited to organizing and staffing our company, business planning, raising capital, acquiring the rights to our product candidates and undertaking preclinical studies and clinical trials of our product candidates. We currently have no sales force, marketing or distribution capabilities. To achieve commercial success of our product candidates, if any are approved, we will have to develop our own sales, marketing and supply capabilities or outsource these activities to a third party.</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Factors that may affect our ability to commercialize our product candidates on our own include recruiting and retaining adequate numbers of effective sales and marketing personnel, obtaining access to or persuading adequate numbers of physicians to prescribe our product candidates and other unforeseen costs associated with creating an independent sales and marketing organization. Developing a sales and marketing organization requires significant investment, is time-consuming and could delay the launch of our product candidates. We may not be able to build an effective sales and marketing organization in the United States, the European Union, the United Kingdom or other key global markets. If we are unable to build our own distribution and marketing capabilities or to find suitable partners for the commercialization of our product candidates, we may have difficulties generating revenue from them.</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The commercial success of any of our product candidates will depend upon its degree of market acceptance by physicians, patients, third-party payors and others in the medical community.</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Ethical, social and legal concerns about our product candidates could result in additional regulations restricting or prohibiting our products. Even with the requisite approvals from the FDA in the United States, the European Commission (on the recommendation of the EMA) in the European Economic Area, the MHRA in the United Kingdom and other regulatory authorities internationally, the commercial success of our product candidates will depend, in part, on the acceptance of physicians, patients and health care payors of our product candidates as medically necessary, cost-effective and safe. Any product that we commercialize may not gain acceptance by physicians, patients, health care payors and others in the medical community. If these products do not achieve an adequate level of acceptance, we may not generate significant product revenue and may not become profitable. The degree of market acceptance of our product candidates, if approved for commercial sale, will depend on several factors, including:</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efficacy and safety of such product candidates as demonstrated in clinical trials;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potential and perceived advantages of product candidates over alternative treatments;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cost of treatment relative to alternative treatments;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clinical indications for which the product candidate is approved by FDA, the EMA or the MHRA;</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patient awareness of, and willingness to seek, genotyping;</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willingness of physicians to prescribe new therapies;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willingness of the target patient population to try new therapies;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prevalence and severity of any side effects;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product labeling or product insert requirements of FDA, EMA, MHRA or other regulatory authorities, including any limitations or warnings contained in a product’s approved labeling;</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relative convenience and ease of administration;</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strength of marketing and distribution support;</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timing of market introduction of competitive products;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publicity concerning our products or competing products and treatments;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sufficient third-party payor coverage and reimbursement.</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Even if a potential product displays a favorable efficacy and safety profile in preclinical studies and clinical trials, market acceptance of the product will not be fully known until after it is launched.</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If the market opportunities for our product candidates are smaller than we believe they are, it may not be financially viable to commercialize, and if we do commercialize, our product revenues for any therapies that are approved for commercial sale may be adversely affected and our business may suffer.</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focus our research and product development on treatments for various diseases. Our understanding of both the number of people who have these diseases, as well as the subset of people with these diseases who have the potential to benefit from treatment with our product candidates, are based on estimates. These estimates may prove to be incorrect and new studies may reduce the estimated incidence or prevalence of these diseases. The number of patients in the United States, the European Union, the United Kingdom and elsewhere may turn out to be lower than expected, may not be otherwise amenable to treatment with our products or patients may become increasingly difficult to identify and access, all of which would adversely affect our business, financial condition, results of operations and prospects.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Further, there are several factors that could contribute to making the actual number of patients who receive our potential products less than the potentially addressable market. These include the lack of widespread availability of, and limited reimbursement for, new products or therapies in many underdeveloped markets.</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If we are unable to establish sales, medical affairs and marketing capabilities or enter into agreements with third parties to market and sell our product candidates, we may be unable to generate any product revenue.</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currently have no sales and marketing organization. To successfully commercialize any products that may result from our development programs, we will need to develop these capabilities, either on our own or with others. The establishment and development of our own commercial team or the establishment of a contract sales force to market any products we may develop will be expensive and time-consuming and could delay any product launch. Moreover, we cannot be certain that we will be able to successfully develop this capability. We may enter into collaborations regarding our product candidates with entities to utilize their established marketing and distribution capabilities, but we may be unable to enter into such agreements on favorable terms, if at all. If any current or future collaborators do not commit sufficient resources to commercialize our products, or we are unable to develop the necessary capabilities on our own, we will be unable to generate sufficient product revenue to sustain our business. We compete with many companies that currently have extensive, experienced and well-funded medical affairs, marketing and sales operations to recruit, hire, train and retain marketing and sales personnel. We also face competition in our search for third parties to assist us with the sales and marketing efforts of our product candidates. Without an internal team or the support of a third party to perform marketing and sales functions, we may be unable to compete successfully against these more established companies.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efforts to educate the medical community and third-party payors on the benefits of our product candidates may require significant resources and may never be successful. Such efforts may require more resources than are typically required due to the complexity and uniqueness of our potential products. If any of our product candidates is approved but fails to achieve market acceptance among physicians, patients or third-party payors, we will not be able to generate significant revenues from such product, which could have a material adverse effect on our business, financial condition, results of operations and prospects.</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Healthcare legislative reform measures may have a material adverse effect on our business and results of operations and may increase the difficulty and cost for us to obtain marketing approval of and commercialize our product candidates and affect the prices we may charge for such product candidates.</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the United States, there have been, and continue to be, several legislative initiatives to contain healthcare costs. These enacted or proposed legislative and regulatory changes affecting the healthcare system could prevent or delay marketing approval of our product candidates, restrict or regulate post-approval activities and affect our ability to profitably sell any product for which we obtain marketing approval. For example, in 2010, the Patient Protection and Affordable Care Act, as amended by the Health Care and Education Reconciliation Act (“ACA”), was passed, which substantially changes the way health care is financed by both the government and private insurers, and significantly impacts the U.S. pharmaceutical industry. See “Business - Government Regulation - Health Reform” in our Annual Report on Form 10-K for the year ended December 31, 2023.</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Additional changes that may affect our business include those governing enrollment in federal healthcare programs, reimbursement changes, rules regarding prescription drug benefits under the health insurance exchanges and fraud and abuse and enforcement. Continued implementation of the ACA and the passage of additional laws and regulations may result in the expansion of new programs such as Medicare payment for performance initiatives, and may impact existing government healthcare programs, such as by improving the physician quality reporting system and feedback program.</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each state that does not choose to expand its Medicaid program, there likely will be fewer insured patients overall, which could impact the sales, business and financial condition of manufacturers of branded prescription drugs. Where patients receive insurance coverage under any of the new options made available through the ACA, the possibility exists that manufacturers may be required to pay Medicaid rebates on that resulting drug utilization, a decision that could impact manufacturer revenues. The U.S. federal government also has announced delays in the implementation of key provisions of the ACA. The implications of these delays for our and our partners’ business and financial condition, if any, are not yet clear.</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There has been increasing legislative and enforcement interest in the United States with respect to specialty drug pricing practices. Specifically, there have been several recent U.S.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continuing efforts of the government, insurance companies, managed care organizations and other payers of healthcare services to contain or reduce costs of healthcare may adversely affect:</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demand for any of our product candidates, if approved;</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ability to set a price that we believe is fair for any of our product candidates, if approved;</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our ability to generate revenues and achieve or maintain profitability;</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 xml:space="preserve">the level of taxes that we are required to pay; and </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availability of capital.</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expect that the healthcare reform measures that have been adopted and may be adopted in the future, may result in more rigorous coverage criteria and in additional downward pressure on the price that we receive for any approved product and could seriously harm our future revenues.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The insurance coverage and reimbursement status of newly-approved products is uncertain. Failure to obtain or maintain adequate coverage and reimbursement for our products, if approved, could limit our ability to market those products and decrease our ability to generate product revenue.</w:t>
      </w:r>
    </w:p>
    <w:p>
      <w:pPr>
        <w:pStyle w:val="TextBody"/>
        <w:bidi w:val="0"/>
        <w:spacing w:lineRule="auto" w:line="288" w:before="120" w:after="283"/>
        <w:ind w:left="0" w:right="0" w:firstLine="720"/>
        <w:jc w:val="both"/>
        <w:rPr/>
      </w:pPr>
      <w:r>
        <w:rPr>
          <w:rFonts w:ascii="Times New Roman;sans-serif" w:hAnsi="Times New Roman;sans-serif"/>
          <w:b w:val="false"/>
          <w:color w:val="000000"/>
          <w:sz w:val="20"/>
        </w:rPr>
        <w:t>We expect the cost of our product candidates and programs, to be substantial, when and if they achieve regulatory approval. We expect that coverage and reimbursement by government and private payors will be essential for most patients to be able to afford these treatments. Accordingly, sales of our product candidates will depend substantially, both domestically and abroad, on the extent to which the costs of our product candidates will be paid by health maintenance, managed care, pharmacy benefit and similar healthcare management organizations, or will be reimbursed by government authorities, private health coverage insurers and other third-party payors. See section entitled “</w:t>
      </w:r>
      <w:r>
        <w:rPr>
          <w:rFonts w:ascii="Times New Roman;sans-serif" w:hAnsi="Times New Roman;sans-serif"/>
          <w:b w:val="false"/>
          <w:i/>
          <w:color w:val="000000"/>
          <w:sz w:val="20"/>
        </w:rPr>
        <w:t>Business - Government Regulation - Reimbursement</w:t>
      </w:r>
      <w:r>
        <w:rPr>
          <w:color w:val="000000"/>
        </w:rPr>
        <w:t xml:space="preserve">” </w:t>
      </w:r>
      <w:r>
        <w:rPr>
          <w:rFonts w:ascii="Times New Roman;sans-serif" w:hAnsi="Times New Roman;sans-serif"/>
          <w:b w:val="false"/>
          <w:color w:val="000000"/>
          <w:sz w:val="20"/>
        </w:rPr>
        <w:t>in our Annual Report on Form 10-K for the year ended December 31, 2023.</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Obtaining coverage and reimbursement for a product from third-party payors is a time-consuming and costly process that could require us to provide to the payor supporting scientific, clinical and cost-effectiveness data. We may not be able to provide data sufficient to gain acceptance with respect to coverage and reimbursement. If coverage and reimbursement are not available, or are available only at limited levels, we may not be able to successfully commercialize our product candidates. Even if coverage is provided, the approved reimbursement amount may not be adequate to realize a sufficient return on our investment.</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There is significant uncertainty related to third-party coverage and reimbursement of newly approved products. In the United States, third-party payors, including government payors such as the Medicare and Medicaid programs, play an important role in determining the extent to which new drugs and biologics will be covered and reimbursed. The Medicare and Medicaid programs increasingly are used as models for how private payors and government payors develop their coverage and reimbursement policies. It is difficult to predict what the CMS will decide with respect to coverage and reimbursement for fundamentally novel products. Moreover, reimbursement agencies in the European Union may be more conservative than CMS. For example, several cancer drugs have been approved for reimbursement in the United States and have not been approved for reimbursement in certain European Union Member States. It is difficult to predict what third-party payors will decide with respect to the coverage and reimbursement for our product candidates.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Outside the United States, international operations generally are subject to extensive government price controls and other market regulations, and increasing emphasis on cost-containment initiatives in the European Union, Canada and other countries may put pricing pressure on us. In many countries, the prices of medical products are subject to varying price control mechanisms as part of national health systems. In general, the prices of medicines under such systems are substantially lower than in the United States. Other countries allow companies to fix their own prices for medical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product revenues.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Moreover, increasing efforts by government and third-party payors in the United States and abroad to cap or reduce healthcare costs may cause such organizations to limit both coverage and the level of reimbursement for new products approved and, as a result, they may not cover or provide adequate payment for our product candidates.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Payors increasingly are considering new metrics as the basis for reimbursement rates, such as average sales price (“ASP”), average manufacturer price, and actual acquisition cost. The existing data for reimbursement based on some of these metrics is relatively limited, although certain states have begun to survey acquisition cost data for the purpose of setting Medicaid reimbursement rates, and CMS has begun making pharmacy National Average Drug Acquisition Cost and National Average Retail Price data publicly available on at least a monthly basis. Therefore, it may be difficult to project the impact of these evolving reimbursement metrics on the willingness of payors to cover candidate products that we or our partners are able to commercialize. In addition, many pharmaceutical manufacturers must calculate and report certain price reporting metrics to the government, such as ASP, and best price. Penalties may apply in some cases when such metrics are not submitted accurately and timely. Further, these prices for drugs may be reduced by mandatory discounts or rebates required by government healthcare programs.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intense. As a result, increasingly high barriers are being erected to the entry of new products such as ours.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Product liability lawsuits against us could cause us to incur substantial liabilities and could limit commercialization of any product candidates that we may develop.</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face an inherent risk of product liability exposure related to the testing of product candidates in human clinical trials and will face an even greater risk if we commercially sell any medicines that we may develop. If we cannot successfully defend ourselves against claims that our product candidates or medicines caused injuries, we could incur substantial liabilities. Regardless of merit or eventual outcome, liability claims may result in:</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decreased demand for any product candidates or medicines that we may develop;</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injury to our reputation and significant negative media attention;</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withdrawal of clinical trial participants;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significant costs to defend the related litigation;</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substantial monetary awards to trial participants or patients;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loss of revenue;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inability to commercialize our product candidates.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maintain insurance coverage for clinical trials that we sponsor, it may not be adequate to cover all liabilities that we may incur. We anticipate that we will need to increase our insurance coverage as we commence additional clinical trials and if we successfully commercialize any product candidates. The market for insurance coverage is increasingly expensive, and the costs of insurance coverage will increase as our clinical programs increase in size. We may not be able to maintain insurance coverage at a reasonable cost or in an amount adequate to satisfy any liability that may arise.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Risks Related to our Business and Industry</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Inadequate funding for the FDA, the SEC and other government agencies, including from government shut downs, or other disruptions to these 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ability of the FDA to review and approve new products can be affected by a variety of factors, including government budget and funding levels, the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pStyle w:val="TextBody"/>
        <w:bidi w:val="0"/>
        <w:spacing w:lineRule="auto" w:line="276"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Disruptions at the FDA and other agencies may also slow the time necessary for new product candidates to be reviewed and/or approved by necessary government agencies, which would adversely affect our business.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Adverse developments affecting the financial services industry, such as actual events or concerns involving liquidity, defaults, or non-performance by financial institutions or transactional counterparties, could adversely affect the Company’s current and projected business operations and its financial condition and results of operations.</w:t>
      </w:r>
    </w:p>
    <w:p>
      <w:pPr>
        <w:pStyle w:val="TextBody"/>
        <w:bidi w:val="0"/>
        <w:spacing w:lineRule="auto" w:line="288" w:before="120" w:after="283"/>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in May 2023, the Federal Deposit Insurance Corporation (“FDIC”) took control of First Republic Bank and JP Morgan Chase &amp; Co. has since acquired a substantial amount of assets and certain liabilities of First Republic. If any of our lenders, including Oberland, or counterparties to any such instruments were to be placed into receivership, we may be unable to access funds under the NPA. In addition, if any of our suppliers, including CROs and CMOs, or other parties with whom we conduct business are unable to access funds pursuant to such instruments or lending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arrangements with such a financial institution, such parties’ ability to perform their existing or future obligations to us could be adversely affected. </w:t>
      </w:r>
    </w:p>
    <w:p>
      <w:pPr>
        <w:pStyle w:val="TextBody"/>
        <w:bidi w:val="0"/>
        <w:spacing w:lineRule="auto" w:line="288" w:before="240" w:after="283"/>
        <w:ind w:left="0" w:right="0" w:firstLine="720"/>
        <w:jc w:val="both"/>
        <w:rPr/>
      </w:pPr>
      <w:r>
        <w:rPr>
          <w:rFonts w:ascii="Times New Roman;sans-serif" w:hAnsi="Times New Roman;sans-serif"/>
          <w:b w:val="false"/>
          <w:color w:val="000000"/>
          <w:sz w:val="20"/>
        </w:rPr>
        <w:t>Even though we have not experienced any adverse impact to our liquidity or to our current and projected business operations, financial condition or results of operations, uncertainty remains over liquidity concerns in the broader financial services industry, and our business, our business partners, or industry as a whole may be adversely impacted in ways that we cannot predict at this time. Inflation and rapid increases in interest rates have led to a decline in the trading value of previously issued government securities with interest rates below current market interest rates. There is no guarantee that the U.S. Department of Treasury, FDIC and Federal Reserve Board will provide access to uninsured funds in the future in the event of the closure of other banks or financial institutions, or that they would do so in a timely fashion.</w:t>
      </w:r>
      <w:r>
        <w:rPr>
          <w:color w:val="000000"/>
          <w:shd w:fill="FFFFFF" w:val="clear"/>
        </w:rPr>
        <w:t xml:space="preserve"> </w:t>
      </w:r>
    </w:p>
    <w:p>
      <w:pPr>
        <w:pStyle w:val="TextBody"/>
        <w:bidi w:val="0"/>
        <w:spacing w:lineRule="auto" w:line="276" w:before="240" w:after="283"/>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Although we assess our banking relationships as we believe necessary or appropriate, our access to funding sources in amounts adequate to finance or capitalize our current and projected future business operations could be significantly impaired by factors that affect us, the financial institutions with which we have credit agreements or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the Company has financial or business relationships, but could also include factors involving financial markets or the financial services industry generally. </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results of events or concerns that involve one or more of these factors could include a variety of material and adverse impacts on our current and projected business operations and our financial condition and results of operations. These could include, but may not be limited to:</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shd w:fill="FFFFFF" w:val="clear"/>
        </w:rPr>
        <w:t>•</w:t>
      </w:r>
      <w:r>
        <w:rPr>
          <w:rFonts w:ascii="Times New Roman;sans-serif" w:hAnsi="Times New Roman;sans-serif"/>
          <w:b w:val="false"/>
          <w:color w:val="000000"/>
          <w:sz w:val="20"/>
          <w:shd w:fill="FFFFFF" w:val="clear"/>
        </w:rPr>
        <w:t>delayed access to deposits or other financial assets or the uninsured loss of deposits or other financial assets;</w:t>
      </w:r>
    </w:p>
    <w:p>
      <w:pPr>
        <w:pStyle w:val="TextBody"/>
        <w:bidi w:val="0"/>
        <w:spacing w:lineRule="auto" w:line="268" w:before="0" w:after="0"/>
        <w:ind w:left="0" w:right="0" w:hanging="360"/>
        <w:jc w:val="both"/>
        <w:rPr/>
      </w:pPr>
      <w:r>
        <w:rPr>
          <w:color w:val="000000"/>
          <w:shd w:fill="FFFFFF" w:val="clear"/>
        </w:rPr>
        <w:t>•</w:t>
      </w:r>
      <w:r>
        <w:rPr>
          <w:rFonts w:ascii="Times New Roman;sans-serif" w:hAnsi="Times New Roman;sans-serif"/>
          <w:b w:val="false"/>
          <w:color w:val="000000"/>
          <w:sz w:val="20"/>
          <w:shd w:fill="FFFFFF" w:val="clear"/>
        </w:rPr>
        <w:t>delayed or lost access to, or reductions in borrowings or other working capital sources and/or delays, inability or reductions in the company’s ability to refund, roll over or extend the maturity of, or enter into new credit facilities or other working capital resources;</w:t>
      </w:r>
    </w:p>
    <w:p>
      <w:pPr>
        <w:pStyle w:val="TextBody"/>
        <w:bidi w:val="0"/>
        <w:spacing w:lineRule="auto" w:line="268" w:before="0" w:after="0"/>
        <w:ind w:left="0" w:right="0" w:hanging="360"/>
        <w:jc w:val="both"/>
        <w:rPr/>
      </w:pPr>
      <w:r>
        <w:rPr>
          <w:color w:val="000000"/>
          <w:shd w:fill="FFFFFF" w:val="clear"/>
        </w:rPr>
        <w:t>•</w:t>
      </w:r>
      <w:r>
        <w:rPr>
          <w:rFonts w:ascii="Times New Roman;sans-serif" w:hAnsi="Times New Roman;sans-serif"/>
          <w:b w:val="false"/>
          <w:color w:val="000000"/>
          <w:sz w:val="20"/>
          <w:shd w:fill="FFFFFF" w:val="clear"/>
        </w:rPr>
        <w:t>potential or actual breach of financial covenants in our credit agreements or credit arrangements; or</w:t>
      </w:r>
    </w:p>
    <w:p>
      <w:pPr>
        <w:pStyle w:val="TextBody"/>
        <w:bidi w:val="0"/>
        <w:spacing w:lineRule="auto" w:line="268" w:before="0" w:after="0"/>
        <w:ind w:left="0" w:right="0" w:hanging="360"/>
        <w:jc w:val="both"/>
        <w:rPr/>
      </w:pPr>
      <w:r>
        <w:rPr>
          <w:color w:val="000000"/>
          <w:shd w:fill="FFFFFF" w:val="clear"/>
        </w:rPr>
        <w:t>•</w:t>
      </w:r>
      <w:r>
        <w:rPr>
          <w:rFonts w:ascii="Times New Roman;sans-serif" w:hAnsi="Times New Roman;sans-serif"/>
          <w:b w:val="false"/>
          <w:color w:val="000000"/>
          <w:sz w:val="20"/>
          <w:shd w:fill="FFFFFF" w:val="clear"/>
        </w:rPr>
        <w:t>potential or actual cross-defaults in other credit agreements, credit arrangements or operating or financing agreements.</w:t>
      </w:r>
    </w:p>
    <w:p>
      <w:pPr>
        <w:pStyle w:val="TextBody"/>
        <w:bidi w:val="0"/>
        <w:spacing w:lineRule="auto" w:line="288" w:before="240" w:after="283"/>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w:t>
      </w:r>
    </w:p>
    <w:p>
      <w:pPr>
        <w:pStyle w:val="TextBody"/>
        <w:bidi w:val="0"/>
        <w:spacing w:lineRule="auto" w:line="288" w:before="360" w:after="283"/>
        <w:jc w:val="both"/>
        <w:rPr/>
      </w:pPr>
      <w:r>
        <w:rPr>
          <w:rFonts w:ascii="Times New Roman;sans-serif" w:hAnsi="Times New Roman;sans-serif"/>
          <w:b/>
          <w:i/>
          <w:color w:val="000000"/>
          <w:sz w:val="20"/>
          <w:shd w:fill="FFFFFF" w:val="clear"/>
        </w:rPr>
        <w:t>Our future success depends on our ability to retain key employe</w:t>
      </w:r>
      <w:r>
        <w:rPr>
          <w:rFonts w:ascii="Times New Roman;sans-serif" w:hAnsi="Times New Roman;sans-serif"/>
          <w:b/>
          <w:i/>
          <w:color w:val="000000"/>
          <w:sz w:val="20"/>
        </w:rPr>
        <w:t>es, consultants and advisors and to attract, retain and motivate qualified personnel.</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compete in the highly competitive biotechnology and pharmaceutical industries depends upon our ability to attract and retain highly qualified managerial, scientific and medical personnel. We are highly dependent on our senior management, including scientific and medical personnel and other key employees. While we expect to engage in an orderly transition process as we integrate newly appointed officers and managers, we face a variety of risks and uncertainties relating to management transition, including diversion of management attention from business concerns, failure to retain other key personnel or loss of institutional knowledge. In addition, the loss of the services of any of our executive officers, other key employees and other scientific and medical advisors, and an inability to find suitable replacements could result in delays in product development and harm our business. In particular, due to our small number of employees, the loss of one employee may have a larger impact on our business than compared to a loss at one of our peers. We currently do not maintain “key person” insurance for any members of our management team.</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may in the future expand our operations in the U.S. and other geographies, particularly in certain biotech hubs. Competition for skilled personnel in our market is intense and may limit our ability to hire and retain highly qualified personnel on acceptable terms or at all. Changes to immigration and work authorization laws and regulations, including those that restrain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flow of scientific and professional talent, can be significantly affected by political forces and levels of economic activity. Our business may be materially adversely affected if legislative or administrative changes to immigration or visa laws and regulations impair our hiring processes and goals or projects in the key jurisdictions in which we operate.</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To encourage valuable employees to remain at our company, in addition to salary and cash incentives, we have provided equity awards that vest over time. The value to employees of equity awards that vest over time may be significantly affected by movements in our share price that are beyond our control, and may at any time be insufficient to counteract more lucrative offers from other companies. Despite our efforts to retain valuable employees, members of our management, scientific and development teams may terminate their employment with us at any time. Although we have employment agreements with our key employees, certain of these employment agreements provide for at-will employment, which means that any of our employees could leave our employment at any time. Our success also depends on our ability to continue to attract, retain and motivate highly skilled junior, mid-level and senior managers as well as junior, mid-level and senior scientific and medical personnel.</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we rely on our scientific founders and other scientific and clinical advisors and consultants to assist us in formulating our research, development and clinical strategies. Certain of our scientific founders, advisors and consultants are not our employees and may have commitments to, or consulting or advisory contracts with, other entities that may limit their availability to us. If a conflict of interest arises between their work for us and their work for another entity, we may lose their services. Furthermore, our advisors may have arrangements with other companies to assist those companies in developing products or technologies that may compete with ours. In particular, if we are unable to maintain consulting relationships with our scientific founders or if they provide services to our competitors, our development and commercialization efforts will be impaired and our business will be significantly harmed.</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Our employees may engage in misconduct or other improper activities, including noncompliance with regulatory standards and requirements.</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to the risk of employee fraud or other misconduct. Misconduct by employees could include intentional failures to comply with FDA regulations, provide accurate information to the FDA, comply with manufacturing standards we may establish, comply with federal and state healthcare fraud and abuse laws and regulations, report financial information or data accurately or disclose unauthorized activities to us.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 result in regulatory sanctions and serious harm to our reputation.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If we fail to comply with environmental, health and safety laws and regulations, we could become subject to fines or penalties or incur costs that could have a material adverse effect on the success of our business.</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Our internal computer systems have suffered, and our collaborators or other contractors or consultants may suffer from cybersecurity incidents or breaches, which could result in a material disruption of our product development programs.</w:t>
      </w:r>
    </w:p>
    <w:p>
      <w:pPr>
        <w:pStyle w:val="TextBody"/>
        <w:bidi w:val="0"/>
        <w:spacing w:lineRule="auto" w:line="288" w:before="120" w:after="283"/>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In the ordinary course of our business, we may store, use, process or otherwise gain access to certain sensitive information, including proprietary information, confidential information, personal data and personal health data, intellectual property, trade secrets, and proprietary business information owned or controlled by ourselves or other parties. We may use third-party service providers and sub-processors to help us operate our business and our partners or other third parties may have access to such sensitive information or our systems or infrastructure in conjunction with our business. We may be required to expend significant resources, at significant cost, fundamentally change our business activities and practices, or modify our operations, including our clinical trial activities, or information technology in an effort to protect against security compromises or incidents, including cybersecurity incidents or breaches and to mitigate, detect, and remediate actual or potential vulnerabilities as well as security compromises or cybersecurity incidents, including breaches. Our internal computer systems and infrastructure (including, without limitation, any relevant sensitive information and other assets stored therein or accessible thereby) and those of our current and any future collaborators, contractors or consultants are vulnerable to damage from computer viruses, bugs, malware, unauthorized access, denial-of-service attacks, service interruptions, system malfunction (such as credential stuffing), social engineering attacks (such as phishing attacks), business email compromises, ransomware attacks, user errors or malfeasance, natural disasters, terrorism, war and telecommunication and electrical failures, as well as security compromises, cybersecurity incidents or breaches from inadvertent or intentional actions by our employees, vendors, contractors, consultants, business partners, and/or other third parties, or from cyber-attacks by malicious third parties. </w:t>
      </w:r>
    </w:p>
    <w:p>
      <w:pPr>
        <w:pStyle w:val="TextBody"/>
        <w:bidi w:val="0"/>
        <w:spacing w:lineRule="auto" w:line="288" w:before="240" w:after="283"/>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the past, Centessa Subsidiaries have experienced unauthorized access to systems through social engineering schemes. Although such past cyber-attacks did not result in material disruption to our business nor did they result in material loss, if any such material system failure, accident or cybersecurity compromises, incident, or breach were to occur in the future and cause interruptions in our operations, it could result in a material disruption of our development programs and our business operations, whether due to a loss of our trade secrets or other sensitive information or other similar disruptions, as well as impact to our systems and infrastructure necessary for our business operations or necessitating that we incur significant costs to address such failure, accident or security compromises, incidents, or breach or expose us to significant liability. For example, the loss of clinical trial data from completed or future clinical trials could result in delays in our regulatory approval efforts and significantly increase our costs to recover or reproduce the data and expose us to data breach claims. In addition, failures or significant downtime of our information technology or telecommunication systems or infrastructure or those used by our third-party service providers could cause significant interruptions in our operations and adversely impact the confidentiality, integrity and availability of sensitive information. We may also be the subject of server malfunction, software or hardware failures, cyber-attacks (including supply-chain cyber-attacks), loss of data or other computer assets, and other similar issues. A significant portion of our workforce works remotely, which has increased the risk to our information technology assets and data.</w:t>
      </w:r>
    </w:p>
    <w:p>
      <w:pPr>
        <w:pStyle w:val="TextBody"/>
        <w:bidi w:val="0"/>
        <w:spacing w:lineRule="auto" w:line="288" w:before="240" w:after="283"/>
        <w:ind w:left="0" w:right="0" w:firstLine="720"/>
        <w:jc w:val="both"/>
        <w:rPr/>
      </w:pPr>
      <w:r>
        <w:rPr>
          <w:rFonts w:ascii="Times New Roman;sans-serif" w:hAnsi="Times New Roman;sans-serif"/>
          <w:b w:val="false"/>
          <w:color w:val="000000"/>
          <w:sz w:val="20"/>
          <w:shd w:fill="FFFFFF" w:val="clear"/>
        </w:rPr>
        <w:t xml:space="preserve">To the extent that any disruption or cybersecurity compromise, incident, or breach were to result in a loss of, or damage to, our data systems, infrastructure, or applications, or inappropriate disclosure, access to, or use of sensitive information, we could incur liability, our competitive position could be harmed and the further development and commercialization of our product candidates could be delayed. Relevant laws, regulations, and industry standards, as well as contractual obligations, may require us to implement specific security measures or use industry-standard or reasonable measures to protect against cybersecurity compromises, </w:t>
      </w:r>
      <w:r>
        <w:rPr>
          <w:rFonts w:ascii="Times New Roman;sans-serif" w:hAnsi="Times New Roman;sans-serif"/>
          <w:b w:val="false"/>
          <w:color w:val="000000"/>
          <w:sz w:val="20"/>
        </w:rPr>
        <w:t>incidents and</w:t>
      </w:r>
      <w:r>
        <w:rPr>
          <w:color w:val="000000"/>
          <w:shd w:fill="FFFFFF" w:val="clear"/>
        </w:rPr>
        <w:t xml:space="preserve"> </w:t>
      </w:r>
      <w:r>
        <w:rPr>
          <w:rFonts w:ascii="Times New Roman;sans-serif" w:hAnsi="Times New Roman;sans-serif"/>
          <w:b w:val="false"/>
          <w:color w:val="000000"/>
          <w:sz w:val="20"/>
          <w:shd w:fill="FFFFFF" w:val="clear"/>
        </w:rPr>
        <w:t>breaches. Even though we have taken security measures designed to protect against cybersecurity incidents and/or breaches, there can be no assurance that such security measures or those of our service providers, partners and other third parties will be effective in protecting against disruptions or cybersecurity compromises, incidents, or breaches, or militating against the impact or the adverse consequences thereof. We may be unable to detect, anticipate, measure, prevent, or remediate threats or techniques used to detect or exploit vulnerabilities in our (or our third parties’) information technology, services, communications or software, or to cause cybersecurity compromises, incidents, or breaches, because such threats and techniques change frequently, are often sophisticated in nature, and may not be detected until after an incident has occurred. We cannot be certain that we will be able to address any such vulnerabilities, in whole or part, and there may be delays in developing and deploying patches and other remedial measures to adequately address vulnerabilities. Relevant laws, regulations, and industry standards, as well as contractual obligations, may also require us to notify relevant stakeholders (including affected individuals, partners, collaborators, customers, regulators, law enforcement agencies, credit reporting agencies and others) of cybersecurity incidents or breaches, and such disclosures are costly and could also have a material adverse effect on our reputation, business, or financial condition.</w:t>
      </w:r>
    </w:p>
    <w:p>
      <w:pPr>
        <w:pStyle w:val="TextBody"/>
        <w:bidi w:val="0"/>
        <w:spacing w:lineRule="auto" w:line="288" w:before="240" w:after="283"/>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Actual or perceived cybersecurity compromises, incidents, breaches or vulnerabilities, lack of appropriate information security safeguards and concerns regarding data privacy or cybersecurity may cause some of our actual or prospective customers, collaborators, partners and/or clinical trial participants to stop participating in our trials, using our products or working with us. Additionally, regulators could impose penalties and monetary fines against us for similar concerns, or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could incur other liability in connection with or resulting from litigation or governmental investigations and enforcement actions. The discontinuance of relationships with third parties, or the failure to meet the expectations of such third parties, and/or litigation, regulatory investigation or enforcement, could result in material harm to our operations, financial performance or reputation and affect our ability to grow and operate our business. We cannot be sure that our insurance coverage, if any, will be adequate or otherwise protect us from or adequately mitigate liabilities arising out of such cybersecurity compromises, incidents, breaches or vulnerabilities. The successful assertion of one or more large claims against us that exceeds our available insurance coverage, or results in changes to our insurance policies (including premium increases or the imposition of large excess or deductible or co-insurance requirements), could materially and adversely affect our business.</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Our international operations may expose us to business, regulatory, legal, political, operational, financial, pricing and reimbursement risks associated with doing business across multiple jurisdictions outside of the United States.</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is subject to risks associated with conducting business internationally. Our Centessa Subsidiaries, suppliers, industry partners and clinical study centers are located and/or conduct business across Europe, the United States and certain other jurisdictions. Furthermore, our business strategy incorporates potential international expansion as we seek to obtain regulatory approval for, and commercialize, our product candidates in patient populations outside the United States. If approved, we may hire sales representatives and conduct physician and patient association outreach activities across multiple jurisdictions. Doing business internationally involves a number of risks, including but not limited to:</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multiple, conflicting and changing laws, regulations, and compliance requirements such as privacy regulations, tax laws and practice, export and import restrictions, employment laws, regulatory requirements, and other governmental approvals, permits and licenses;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failure by us to obtain and maintain regulatory approvals for the use of our products in various countries;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rejection or qualification of foreign clinical trial data by the competent authorities of other countries;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additional potentially relevant third-party patent rights;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complexities and difficulties in obtaining, maintaining, protecting and enforcing our intellectual property;</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difficulties in staffing and managing foreign operations;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complexities associated with managing multiple payor reimbursement regimes, government payors or patient self-pay systems;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limits in our ability to penetrate international markets;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financial risks, such as longer payment cycles, difficulty collecting accounts receivable, the impact of local and regional financial crises on demand and payment for our products and exposure to foreign currency exchange rate fluctuations;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natural disasters, political and economic instability, including wars, terrorism and political unrest, outbreak of disease, boycotts, curtailment of trade and other business restrictions;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certain expenses including, among others, expenses for travel, translation and insurance;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regulatory and compliance risks that relate to anti-corruption compliance and record-keeping that may fall within the purview of the U.S. Foreign Corrupt Practices Act and/or the UK Bribery Act of 2010, or provisions of anti-corruption or anti-bribery laws in other countries.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Any of these factors could harm our future international expansion and operations and, consequently, our results of operations.</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We may be subject, directly or indirectly, to federal and state healthcare fraud and abuse laws, false claims laws and health information privacy and security laws. If we are unable to comply, or have not fully complied, with such laws, we could face substantial penalties.</w:t>
      </w:r>
    </w:p>
    <w:p>
      <w:pPr>
        <w:pStyle w:val="TextBody"/>
        <w:bidi w:val="0"/>
        <w:spacing w:lineRule="auto" w:line="288" w:before="120" w:after="283"/>
        <w:ind w:left="0" w:right="0" w:firstLine="720"/>
        <w:jc w:val="both"/>
        <w:rPr/>
      </w:pPr>
      <w:r>
        <w:rPr>
          <w:rFonts w:ascii="Times New Roman;sans-serif" w:hAnsi="Times New Roman;sans-serif"/>
          <w:b w:val="false"/>
          <w:color w:val="000000"/>
          <w:sz w:val="20"/>
        </w:rPr>
        <w:t>If we obtain FDA approval for any of our product candidates and begin commercializing those products in the United States, our operations will be directly, or indirectly through our prescribers, customers and purchasers, subject to various federal and state fraud and abuse laws and regulations, including, without limitation, the federal Health Care Program Anti-Kickback Statute, the federal civil and criminal False Claims Act and Physician Payments Sunshine Act and regulations. These laws will impact, among other things, our proposed sales, marketing and educational programs. In addition, we may be subject to patient privacy laws by both the federal government and the states in which we conduct our business. See section entitled “</w:t>
      </w:r>
      <w:r>
        <w:rPr>
          <w:rFonts w:ascii="Times New Roman;sans-serif" w:hAnsi="Times New Roman;sans-serif"/>
          <w:b w:val="false"/>
          <w:i/>
          <w:color w:val="000000"/>
          <w:sz w:val="20"/>
        </w:rPr>
        <w:t xml:space="preserve">Business –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pPr>
      <w:r>
        <w:rPr>
          <w:rFonts w:ascii="Times New Roman;sans-serif" w:hAnsi="Times New Roman;sans-serif"/>
          <w:b w:val="false"/>
          <w:i/>
          <w:color w:val="000000"/>
          <w:sz w:val="20"/>
        </w:rPr>
        <w:t>Government Regulation – Other United States Healthcare Laws”</w:t>
      </w:r>
      <w:r>
        <w:rPr>
          <w:color w:val="000000"/>
        </w:rPr>
        <w:t xml:space="preserve"> </w:t>
      </w:r>
      <w:r>
        <w:rPr>
          <w:rFonts w:ascii="Times New Roman;sans-serif" w:hAnsi="Times New Roman;sans-serif"/>
          <w:b w:val="false"/>
          <w:color w:val="000000"/>
          <w:sz w:val="20"/>
        </w:rPr>
        <w:t xml:space="preserve">in our Annual Report on Form 10-K for the year ended December 31, 2023.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Because of the breadth of these laws and the narrowness of the statutory exceptions and safe harbors available, it is possible that some of our business activities could be subject to challenge under one or more of such laws. If our operations are found to be in violation of any of the laws described above or any other government regulations that apply to us, we may be subject to penalties, including civil and criminal penalties, damages, fines, exclusion from participation in government health care programs, such as Medicare and Medicaid, individual imprisonment and the curtailment or restructuring of our operations, any of which could adversely affect our ability to operate our business and our results of operations.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provision of benefits or advantages to physicians to induce or encourage the prescription, recommendation, endorsement, purchase, supply, order or use of medicinal products is prohibited in the EU. The provision of benefits or advantages to induce or reward improper performance generally is also governed by the national anti-bribery laws of EU Member States, and the Bribery Act 2010 in the UK. Infringement of these laws could result in substantial fines and individual imprisonment.</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Payments made to physicians in certain EU Member States must be publicly disclosed. Moreover, agreements with physicians often must be the subject of prior notification and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individual imprisonment.</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further information on privacy laws, regulations and standards, as well as policies, contracts and other obligations related to data privacy and security, and the potential application thereof to our operations (including in relation to our use of health-related personal data), see the sub-section immediately below this.</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We are subject to stringent and changing privacy laws, regulations and standards as well as policies, contracts and other obligations related to data privacy and security. Our actual or perceived failure to comply with such obligations could lead to government enforcement actions (that could include fines and penalties), a disruption of our clinical trials or commercialization of our products, private litigation, harm to our reputation, or other adverse effects on our business or prospects.</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legislative and regulatory framework relating to the collection, use, retention, safeguarding, disclosure, sharing, transfer, security and other processing (collectively, “Process” or “Processing”) of personal data (including health-related personal data) worldwide is rapidly evolving and is likely to remain uncertain for the foreseeable future. Globally, virtually every jurisdiction in which we operate has established its own data security and privacy frameworks with which we must comply and some of which may impose potentially conflicting obligations.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Accordingly, we are, or may become, subject to data privacy and security laws, regulations, and industry standards as well as policies, contracts and other obligations that apply to the Processing of personal data both by us and on our behalf (collectively, Data Protection Requirements). If we fail, or are perceived to have failed, to address or comply with Data Protection Requirements, this could result in government enforcement actions against us that could include investigations, fines, penalties, audits and inspections, additional reporting requirements and/or oversight, temporary or permanent bans on all or some Processing of personal data, orders to destroy or not use personal data, and imprisonment of company officials. Further, individuals or other relevant stakeholders could bring a variety of claims against us for our actual or perceived failure to comply with the Data Protection Requirements. Any of these events could have a material adverse effect on our reputation, business, or financial condition, and could lead to a loss of actual or prospective customers, collaborators or partners; interrupt or stop clinical trials; result in an inability to Process personal data or to operate in certain jurisdictions; limit our ability to develop or commercialize our products; or require us to revise or restructure our operations.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example, in Europe, the collection and use of personal data, including health related data, is governed by the General Data Protection Regulation (“EU GDPR”) which is applicable across the European Economic Area (“EEA”), and by related applicable data protection and privacy laws of the member states of the EEA. Switzerland has passed similar laws, and, following Brexit, the United Kingdom (“UK”) has transposed the EU GDPR into UK domestic law with effect from January 2021 (“UK GDPR”). In this Quarterly Report on Form 10-Q, “GDPR” refers to both the UK GDPR and the EU GDPR, unless specified otherwise.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Collectively, European data protection laws (including the GDPR) are wide-ranging in scope and impose numerous, significant and complex compliance burdens in relation to the Processing of personal data, which increase our obligations (including with respect to clinical trials conducted in the EEA or the UK), such as: limiting permitted Processing of personal data to only that which is necessary for specified, explicit and legitimate purposes; requirements to conduct data protection impact assessments, requiring the establishment of a legal basis for Processing personal data; adopting a broad definition of personal data to possibly include ‘pseudonymized’ or key-coded data; creating obligations for controllers and processors to appoint data protection officers in certain circumstances; imposing stringent transparency obligations to data subjects, which requires more detailed notices for clinical trial subjects and investigators; introducing the obligation to carry out data protection impact assessments in certain circumstances; establishing limitations on the collection and retention of personal data through ‘data minimization’ and ‘storage limitation’ principles; establishing obligations to implement ‘privacy by design’; introducing obligations to honor increased rights for data subjects; formalizing a heightened and codified standard of data subject consent; establishing obligations to implement certain technical and organizational safeguards to protect the security and confidentiality of personal data; introducing obligations to agree to certain specific contractual terms and to take certain measures when working with third-party processors or joint controllers; imposing mandatory data breach notification requirements; and mandating the appointment of representatives in the UK and/or EU in certain circumstances. In particular, the Processing of “special category personal data” (such as personal data related to health and genetic information), which is relevant to our operations in the context of our conduct of clinical trials, imposes heightened compliance burdens under European data protection laws and is a topic of active interest among relevant regulators.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GDPR provides that EEA member states may introduce specific or additional requirements related to the Processing of special categories of personal data such as health data that we may process in connection with clinical trials or otherwise. In the UK, the UK Data Protection Act 2018 complements the UK GDPR in this regard. This fact may lead to greater divergence on the law that applies to the Processing of such personal data across the EEA and/or UK, which may increase our costs and overall compliance risk. Such country-specific regulations could also limit our ability to Process relevant personal data in the context of our EEA and/or UK operations ultimately having an adverse impact on our business, and harming our business and financial condition.</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Further, certain European data protection laws restrict transfers of personal data to countries outside Europe that are not considered by the European Commission and UK government as providing an adequate level of protection to personal data, like the United States in certain circumstances (so-called “third countries”). These transfers are prohibited unless an appropriate transfer safeguard mechanism specified by the European data protection laws is implemented, such as the Standard Contractual Clauses (“SCCs”) approved by the European Commission and/or the UK International Data Transfer Agreement/Addendum approved by the UK government, or a derogation applies. Where relying on the SCCs or UK IDTA for data transfers, we may also be required to carry out transfer impact assessments to assess whether the recipient is subject to local laws which allow public authority access to personal data. The international transfer obligations under the European data protection laws will require significant effort and cost and may result in us needing to make strategic considerations around where EEA and UK personal data is transferred and which service providers we can utilize for the processing of EEA and UK personal data. These transfer restrictions and may ultimately prevent us from transferring personal data outside Europe, which would cause significant business disruption. At present, there are few, if any, viable alternatives to the SCCs and UK IDTA. The risks associated with such exports of personal data from locations within Europe are particularly relevant to our business as our group comprises several operating entities, many of which are located, and/or sponsor clinical trials, in Europe. We have adopted and implemented certain processes, systems and other relevant measures within our organization, and/or with our relevant collaborators, service providers, contractors or consultants, which are appropriate to address relevant requirements relating to international transfers of personal data from Europe, and to minimize the potential impacts and risks resulting from those requirements, across our organization. Failure to implement valid mechanisms for personal data transfers from Europe may result in increased exposure to regulatory actions, substantial fines and injunctions against processing personal data subject to European data protection laws. Inability to export personal data may also: restrict our activities outside Europe; limit our ability to collaborate with partners as well as other service providers, contractors and other companies outside of Europe; and/or require us to increase our Processing capabilities within Europe at significant expense or otherwise cause us to change the geographical location or segregation of our relevant systems and operations – any or all of which could adversely affect our operations or financial results. Additionally, other countries outside of Europe have enacted or are considering enacting similar cross-border data transfer restrictions and laws requiring local data residency, which could increase the cost and complexity of delivering our services and operating our business. The type of challenges we face in Europe will likely also arise in other jurisdictions that adopt laws similar in construction to the GDPR or regulatory frameworks of equivalent complexity.</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European data protection laws also provide for robust regulatory enforcement and significant penalties for noncompliance, including, for example, under the GDPR, fines of up to €20 million (£17.5 million for the UK) or 4% of global annual revenue of any noncompliant organization for the preceding financial year, whichever is higher. In addition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administrative fines, a wide variety of other potential enforcement powers are available to competent supervisory authorities in respect of potential and suspected violations of the GDPR, including extensive audit and inspection rights, and powers to order temporary or permanent bans on all or some Processing of personal data carried out by noncompliant businesses – including permitting authorities to require destruction of improperly gathered or used personal data. European supervisory authorities have shown a willingness to impose significant fines and issue orders preventing the processing of personal data on non-compliant businesses. The GDPR also confers a private right of action on data subjects and non-profit associations to lodge complaints with supervisory authorities, seek judicial remedies, and obtain compensation for damages resulting from violations of the GDPR.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Further, following the UK’s departure from the EU, often referred to as Brexit, the data protection obligations of the EU GDPR continue to apply to UK-related Processing of personal data in substantially unvaried form under the UK GDPR by virtue of section 3 of the EU (Withdrawal) Act 2018, as amended). With respect to international transfers, although the UK is regarded as a third country under the EU GDPR, the European Commission has issued an adequacy finding recognizing the UK as providing adequate protection under the EU GDPR and, therefore, transfers of personal data originating in the EEA to the UK remain unrestricted. The UK government has confirmed that personal data transfers from the UK to the EEA remain free flowing. However, going forward, there is increasing risk for divergence in application, interpretation and enforcement of the data protection laws as between the UK and EEA. The UK Government has introduced a Data Protection and Digital Information Bill (“UK Bill”) into the UK legislative process. The aim of the UK Bill is to reform the UK’s data protection regime following Brexit. If passed, the final version of the UK Bill may have the effect of altering the similarities between the UK and EEA data protection regimes and threaten the adequacy finding granted to the United Kingdom by the EU Commission, to enable personal data to transfer from the EEA to the UK. This may lead to additional compliance costs and could increase our overall risk. The UK Bill will result in changes to the UK GDPR that may affect our efforts to create a harmonized approach to processing European personal data and exposes us to two parallel regimes where the UK GDPR and EU GDPR both apply, each of which potentially authorizes similar fines and other potentially divergent enforcement actions for certain violations. The lack of clarity on future UK laws and regulations and their interaction with EU laws and regulations could add legal risk, uncertainty, complexity and compliance cost to the handling of European personal data and our privacy and data security compliance programs could require us to amend our processes and procedures to implement different compliance measures for the UK and EEA. If we do not designate a lead supervisory authority in an EEA member state, we are not able to benefit from the GDPR’s ‘one stop shop’ mechanism. Amongst other things, this would mean that, in the event of a violation of the GDPR affecting data subjects across the EEA, we could be investigated by, and ultimately fined by the supervisory authority in each and every EEA member state where data subjects have been affected by such violation.</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the United States, there are a broad variety of data protection laws and regulations that may apply to our activities such as state data breach notification laws, state personal data privacy laws (for example, the California Consumer Privacy Act (“CCPA”)), state health information privacy laws, and federal and state consumer protection laws. A range of enforcement agencies exist at both the state and federal levels that can enforce these laws and regulations. For example, the CCPA requires covered businesses that process personal information of California residents to disclose their data collection, use and sharing practices. Further, the CCPA provides California residents with new data privacy rights (including the ability to opt out of certain disclosures of personal data), imposes new operational requirements for covered businesses, provides for civil penalties for violations as well as a private right of action for data breaches and statutory damages (that is expected to increase data breach class action litigation and result in significant exposure to costly legal judgements and settlements). Aspects of the CCPA and its interpretation and enforcement remain uncertain. In addition, the CCPA was expanded on January 1, 2023, when the California Privacy Rights Act of 2020 (“CPRA”) became operative. The amendments introduced by the CPRA, among other things, gives California residents the ability to limit use of certain sensitive personal information, further restrict the use of cross-contextual advertising, establish restrictions on the retention of personal information, expand the types of data breaches subject to the CCPA’s private right of action, provide for increased penalties for violations concerning California residents under the age of 16, and establish a new California Privacy Protection Agency to implement and enforce the new. Although there are limited exemptions for clinical trial data and information subject to HIPAA under the CCPA, the CCPA and other similar laws could impact our business activities depending on how it is interpreted.</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some observers have noted that the CCPA could mark the beginning of a trend toward more stringent privacy legislation in the United States, which could increase our potential liability and adversely affect our business. Already, in the United States, we have witnessed significant developments at the state level with numerous other states passing comprehensive privacy laws that incorporate many similar concepts of the CCPA. In addition, a number of other states have proposed new privacy laws, some of which are similar to the above discussed recently passed laws. Such proposed legislation, if enacted, may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 There are also states that are specifically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regulating health information. For example, Washington state recently passed a health privacy law, effective March 31, 2024, that regulates the collection and sharing of health information, and the law also has a private right of action, which further increases the relevant compliance risk. Connecticut and Nevada have also passed similar laws regulating consumer health data. In addition, other states have proposed and/or passed legislation that regulates the privacy and/or security of certain specific types of information. For example, a small number of states have passed laws that specifically regulate biometric data. These various privacy and security laws may impact our business activities, including our identification of research subjects, relationships with business partners and ultimately the marketing and distribution of our products. State laws are changing rapidly and there is discussion in the U.S. Congress of a new comprehensive federal data privacy law to which we may likely become subject, if enacted.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other foreign jurisdictions in which we operate or have operated (including sponsoring past, present or future clinical trials), such as, without limitation, Canada and Georgia, we may also be subject to stringent Data Protection Requirements. In Canada, for instance, Quebec’s new comprehensive data protection law recently entered into force and is expected to have far-reaching effects.</w:t>
      </w:r>
    </w:p>
    <w:p>
      <w:pPr>
        <w:pStyle w:val="TextBody"/>
        <w:bidi w:val="0"/>
        <w:spacing w:lineRule="auto" w:line="288" w:before="240" w:after="283"/>
        <w:ind w:left="0" w:right="0" w:firstLine="810"/>
        <w:jc w:val="both"/>
        <w:rPr>
          <w:rFonts w:ascii="Times New Roman;sans-serif" w:hAnsi="Times New Roman;sans-serif"/>
          <w:b w:val="false"/>
          <w:color w:val="000000"/>
          <w:sz w:val="20"/>
        </w:rPr>
      </w:pPr>
      <w:r>
        <w:rPr>
          <w:rFonts w:ascii="Times New Roman;sans-serif" w:hAnsi="Times New Roman;sans-serif"/>
          <w:b w:val="false"/>
          <w:color w:val="000000"/>
          <w:sz w:val="20"/>
        </w:rPr>
        <w:t>Generally, these laws exemplify the vulnerability of our business to the evolving regulatory environment related to personal data and may require us to modify our Processing practices at substantial costs and expenses in an effort to comply.</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regulations promulgated pursuant to HIPAA, as amended, establish privacy and security standards that limit the use and disclosure of individually identifiable health information, or protected health information, and require the implementation of administrative, physical and technological safeguards designed to protect the privacy, confidentiality, integrity and availability of protected health information. These provisions may be applicable to our business or that of our collaborators, service providers, contractors or consultants.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Determining whether protected health information has been handled in compliance with applicable Data Protection Requirements can be complex and may be subject to changing interpretation. If we are unable to properly protect the privacy and security of protected health information, we could be found to have violated these privacy and security laws and/or breached certain contracts with our business partners (including as a business associate). Further, if we fail to comply with applicable Data Protection Requirements, such as, to the extent applicable, HIPAA privacy and security standards, we could face significant civil and criminal penalties. In the United States, the Department of Health and Human Services’ and state attorneys general enforcement activity can result in financial liability and reputational harm, and responses to such enforcement activity can consume significant internal resources. In addition, state attorneys general are authorized to bring civil actions seeking either injunctions or damages in response to violations that threaten the privacy of state residents. We cannot be sure how these regulations will be interpreted, enforced or applied to our operations. In addition to the risks associated with enforcement activities and potential contractual liabilities, our ongoing efforts to comply with evolving laws and regulations at the federal and state level may be costly and require ongoing modifications to our policies, procedures and systems.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Given the breadth and evolving nature of Data Protection Requirements, preparing for and complying with these requirements is rigorous, time-intensive and requires significant resources and a review of our technologies, systems and practices, as well as those of any third-party collaborators, service providers, contractors or consultants that Process personal data on our behalf.</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may publish privacy policies and other documentation regarding our Processing of personal data and/or other confidential, proprietary or sensitive information. Although we endeavor to comply with our published policies and other documentation, we may at times fail to do so or may be perceived to have failed to do so. Moreover, despite our efforts, we may not be successful in achieving compliance if our employees, third-party collaborators, service providers, contractors or consultants fail to comply with our policies and documentation. Such failures can subject us to potential foreign, local, state and federal action if they are found to be deceptive, unfair, or misrepresentative of our actual practices. Moreover, subjects about whom we or our partners obtain information, as well as the providers who share this information with us, may contractually limit our ability to use and disclose the information. Claims that we have violated individuals’ privacy rights or failed to comply with data protection laws or applicable privacy notices even if we are not found liable, could be expensive and time-consuming to defend and could result in adverse publicity that could harm our business or otherwise materially and negatively impact our business.</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are subject to U.S. and certain foreign export and import controls, sanctions, embargoes, anti-corruption laws, and anti-money laundering laws and regulations. Compliance with these legal standards could impair our ability to compete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domestic and international markets. We can face criminal liability and other serious consequences for violations, which can harm our business.</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We may engage third parties to sell our products outside the United States, to conduct clinical trials,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We are comprised of multiple portfolio operating entities, all of which are at differing stages in their commercial, clinical, and preclinical operations, and all of which have taken differing measures to comply with Data Protection Requirements. The lack of uniformity in the portfolio operating entities’ efforts to comply with Data Protection Requirements, including, without limitation, establishing appropriate information security measures, could materially and adversely affect our business.</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comprised of multiple portfolio operating entities, many of which were previously unrelated to the others and operated independently. Accordingly, the particular application of Data Protection Requirements may vary significantly across our group; as may the approach adopted by, and success of, relevant members of our organization to comply with relevant Data Protection Requirements. The design, implementation, consolidation and harmonization of Processing operations, and relevant systems and facilities, across our company may cause us to incur significant expense, even where relevant members of the group are located within the same jurisdictions. These efforts could adversely affect our financial results.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the risks resulting from potential failure to comply, or perception of failure to comply, with Data Protection Requirements may vary significantly across our group.</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early-stage companies, many of our operating companies were not at a level of maturity in relation to efforts to achieve compliance with Data Protection Requirements and the structuring of Processing operations, which would ordinarily be expected of an operating company that is a subsidiary of a publicly-traded company. Despite the benefits of our corporate restructuring initiative, there may be residual risk associated with one or more of our Subsidiary companies as a result of its or their failure to comply, or perception of failure to comply, with Data Protection Requirements.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Risks Related to Ownership of Our Securities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We are an emerging growth company and a smaller reporting company, and we cannot be certain if the reduced reporting requirements applicable to emerging growth companies and smaller reporting companies will make our ADSs less attractive to investors.</w:t>
      </w:r>
    </w:p>
    <w:p>
      <w:pPr>
        <w:pStyle w:val="TextBody"/>
        <w:bidi w:val="0"/>
        <w:spacing w:lineRule="auto" w:line="288" w:before="120" w:after="283"/>
        <w:ind w:left="0" w:right="0" w:firstLine="720"/>
        <w:jc w:val="both"/>
        <w:rPr/>
      </w:pPr>
      <w:r>
        <w:rPr>
          <w:rFonts w:ascii="Times New Roman;sans-serif" w:hAnsi="Times New Roman;sans-serif"/>
          <w:b w:val="false"/>
          <w:color w:val="000000"/>
          <w:sz w:val="20"/>
        </w:rPr>
        <w:t xml:space="preserve">We are an emerging growth company, as defined in the Jumpstart Our Business Startups Act (“JOBS Act”), enacted in April 2012. For as long as we continue to be an emerging growth company, we may take advantage of exemptions from various reporting requirements that are applicable to other public companies that are not emerging growth companies, including not being required to comply with the auditor attestation requirements of Section 404 of the Sarbanes-Oxley Act of 2002, as amended (“Sarbanes-Oxley Act”), reduced disclosure obligations regarding executive compensation in our periodic reports and proxy statements, and exemptions from the requirements of holding nonbinding advisory votes on executive compensation and shareholder approval of any golden parachute payments not previously approved. We could be an emerging growth company for up to five years following 2021, the year in which we completed our initial public offering, although circumstances could cause us to lose that status earlier. We will remain an emerging growth company until the earlier of (1) the last day of the fiscal year (a) following the fifth anniversary of the closing of our initial public offering, (b) in which we have total annual gross revenue of at least $1.235 billion or (c) in which we are deemed to be a large accelerated filer, which requires the market value of our ordinary shares that is held by non-affiliates to exceed $700 million as of the prior June 30th </w:t>
      </w:r>
      <w:r>
        <w:rPr>
          <w:rFonts w:ascii="Times New Roman;sans-serif" w:hAnsi="Times New Roman;sans-serif"/>
          <w:b w:val="false"/>
          <w:color w:val="000000"/>
          <w:sz w:val="20"/>
          <w:shd w:fill="FFFFFF" w:val="clear"/>
        </w:rPr>
        <w:t xml:space="preserve">after we have been subject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pPr>
      <w:r>
        <w:rPr>
          <w:rFonts w:ascii="Times New Roman;sans-serif" w:hAnsi="Times New Roman;sans-serif"/>
          <w:b w:val="false"/>
          <w:color w:val="000000"/>
          <w:sz w:val="20"/>
          <w:shd w:fill="FFFFFF" w:val="clear"/>
        </w:rPr>
        <w:t>to the SEC’s periodic reporting requirements for at least twelve calendar months and have filed at least one annual report</w:t>
      </w:r>
      <w:r>
        <w:rPr>
          <w:rFonts w:ascii="Times New Roman;sans-serif" w:hAnsi="Times New Roman;sans-serif"/>
          <w:b w:val="false"/>
          <w:color w:val="000000"/>
          <w:sz w:val="20"/>
        </w:rPr>
        <w:t>, and (2) the date on which we have issued more than $1 billion in non-convertible debt during the prior three-year period.</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Under the JOBS Act, emerging growth companies can also delay adopting new or revised accounting standards until such time as those standards apply to private companies. We have elected to not “opt out” of this exemption from complying with new or revised accounting standards and, therefore, we will adopt new or revised accounting standards at the time private companies adopt the new or revised accounting standard and will do so until such time that we either (i) irrevocably elect to “opt out” of such extended transition period or (ii) no longer qualify as an emerging growth company.</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Because our annual revenue was less than $100.0 million during the most recently completed fiscal year and the market value of our voting and non-voting ordinary shares held by non-affiliates was less than $560.0 million on June 30, 2023, we qualify as a “smaller reporting company.” We may continue to be a smaller reporting company if either (i) the market value of our ordinary shares held by non-affiliates is less than $250 million or (ii) our annual revenue is less than $100 million during the most recently completed fiscal year and the market value of our ordinary shares held by non-affiliates is less than $700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cannot predict if investors will find our ADSs less attractive because we may rely on these exemptions. If some investors find our ADSs less attractive as a result, there may be a less active trading market for our ADSs and our ADS price may be more volatile.</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Our articles of association provide that the courts of England and Wales will be the exclusive forum for the resolution of all shareholder complaints other than complaints asserting a cause of action arising under the Securities Act or the Exchange Act, and that the United States District Court for the Southern District of New York will be the exclusive forum for the resolution of any shareholder complaint asserting a cause of action arising under the Securities Act or the Exchange Act.</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articles of association provide that, unless we consent by ordinary resolution to the selection of an alternative forum, the courts of England and Wales shall, to the fullest extent permitted by law, be the exclusive forum for: (a) any derivative action or proceeding brought on our behalf; (b) any action or proceeding asserting a claim of breach of fiduciary duty owed by any of our directors, officers or other employees to us; (c) any action or proceeding asserting a claim arising out of any provision of the Companies Act 2006 (“Companies Act”), or our articles of association (as may be amended from time to time); or (d) any action or proceeding asserting a claim or otherwise related to our affairs, or the England and Wales Forum Provision. The England and Wales Forum Provision will not apply to any causes of action arising under the Securities Act or the Exchange Act. Our articles of association will further provide that unless we consent by ordinary resolution to the selection of an alternative forum, the United States District Courts shall be the exclusive forum for resolving any complaint asserting a cause of action arising under the Securities Act or the Exchange Act, or the U.S. Federal Forum Provision. In addition, our articles of association will provide that any person or entity purchasing or otherwise acquiring any interest in our shares is deemed to have notice of and consented to the England and Wales Forum Provision and the U.S. Federal Forum Provision; provided, however, that our shareholders cannot and will not be deemed to have waived our compliance with the U.S. federal securities laws and the rules and regulations thereunder.</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England and Wales Forum Provision and the U.S. Federal Forum Provision in our articles of association may impose additional litigation costs on our shareholders in pursuing any such claims. Additionally, the forum selection clauses in our articles of association may limit the ability of our shareholders to bring a claim in a judicial forum that they find favorable for disputes with us or our directors, officers or employees, which may discourage the filing of lawsuits against us and our directors, officers and employees, even though an action, if successful, might benefit our shareholders. In addition, while the Delaware Supreme Court ruled in March 2020 that federal forum selection provisions purporting to require claims under the Securities Act be brought in federal court are “facially valid” under Delaware law, there is uncertainty as to whether other courts, including the courts of England and Wales and other courts within the U.S., will enforce our U.S. Federal Forum Provision. If the U.S. Federal Forum Provision is found to be inapplicable or unenforceable in an action, we may incur additional costs associated with resolving such action in other jurisdictions, which could adversely affect our results of operations and financial condition. The U.S. Federal Forum Provision may also impose additional litigation costs on our shareholders who assert that the provision is not enforceable or invalid. The courts of England and Wales and the United States District Court for the Southern District of New York may also reach different judgments or results than would other courts,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including courts where a shareholder considering an action may be located or would otherwise choose to bring the action, and such judgments may be more or less favorable to us than our shareholders.</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The price of our ADSs may be volatile, and you could lose all or part of your investment.</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trading price of our ADSs is likely to be highly volatile and could be subject to wide fluctuations in response to various factors, some of which are beyond our control, including limited trading volume. In addition to the factors discussed in this “Risk Factors” section, these factors include: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results of our ongoing, planned or any future preclinical studies, clinical trials or clinical development programs;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commencement, enrollment, or results of clinical trials of our product candidates or any future clinical trials we may conduct, or changes in the development status of our product candidates;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adverse results or delays in preclinical studies and clinical trials;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our decision to initiate a clinical trial, not to initiate a clinical trial, or to terminate an existing clinical trial;</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any delay in our regulatory filings or any adverse regulatory decisions, including failure to receive regulatory approval of our product candidates;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changes in laws or regulations applicable to our products, including but not limited to clinical trial requirements for approvals;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adverse developments concerning our manufacturers or our manufacturing plans;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our inability to obtain adequate product supply for any licensed product or inability to do so at acceptable prices;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our inability to establish collaborations if needed;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our failure to commercialize our product candidates;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changes in the structure of healthcare payment systems;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additions or departures of key scientific or management personnel;</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unanticipated serious safety concerns related to the use of our product candidates;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introduction of new products or services offered by us or our competitors;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announcements of significant acquisitions, strategic partnerships, joint ventures or capital commitments by us or our competitors;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our ability to effectively manage our growth;</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size and growth of our initial cancer target markets;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our ability to successfully treat additional types of cancers or at different stages;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actual or anticipated variations in quarterly operating results;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our cash position;</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our failure to meet the estimates and projections of the investment community or that we may otherwise provide to the public;</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publication of research reports about us or our industry, or immunotherapy in particular, or positive or negative recommendations or withdrawal of research coverage by securities analysts;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changes in the market valuations of similar companies;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overall performance of the equity markets;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sales of our ADSs by us or holders of our ADSs in the future;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trading volume of our ADSs;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changes in accounting practices;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ineffectiveness of our internal controls;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disputes or other developments relating to intellectual property or proprietary rights, including patents, litigation matters and our ability to obtain patent protection for our technologies;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significant lawsuits, including intellectual property or shareholder litigation;</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general political and economic conditions;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other events or factors, many of which are beyond our control.</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 stock market in general, and the market for biopharmaceutical companies in particular, have experienced extreme price and volume fluctuations that have often been unrelated or disproportionate to the operating performance of these companies. Broad market and industry factors may negatively affect the market price of our ADSs, regardless of our actual operating performance. If the market price of our ADSs does not exceed the price at which you purchased them, you may not realize any return on your investment in us and may lose some or all of your investment. In the past, securities class action litigation has often been instituted against companies following periods of volatility in the market price of a company’s securities. On September 28, 2022 (“Original Complaint”), the Company and certain of its current and former officers were named as defendants in a proposed class-action lawsuit filed in the United States District Court for the Central District of California. The complaint generally alleges that the Company violated Sections 10(b) and 20(a) and Sections 11 and 15 of the Securities Act by allegedly making materially false and/or misleading statements, as well as allegedly failing to disclose material adverse facts relating to the safety profile and future clinical and commercial prospects of each of its lixivaptan and ZF874 programs, which caused the Company’s securities to trade at artificially inflated prices. On October 12, 2022, by order, the lawsuit was transferred to the United States District Court for the Southern District of New York. On February 10, 2023, an amended complaint was filed (“Amended Complaint”) in which our IPO underwriters were added as co-defendants. A number of the complaints set forth in the Original Complaint have been abandoned including with respect to intentional fraud theory and claims pursuant to Sections 10(b) or 20(a) of the Securities Exchange Act of 1934. The only claims alleged in the Amended Complaint are violations of Sections 11 and 15 of the Securities Act based on alleged misstatements in the S-1 filed by the Company in connection with its Initial Public Offering. The Amended Complaint also abandoned any claims concerning ZF874 and focuses entirely on lixivaptan. The Amended Complaint seeks damages and attorneys’ fees, among other things. The Company believes this lawsuit is without merit and intends to defend the case vigorously. Litigation is subject to inherent uncertainty and a court could ultimately rule against the Company. In addition, litigation and related matters are costly and may divert the attention of the Company’s management and other resources that would otherwise be engaged in other activities. The Company has not recorded an estimate of the possible loss associated with this legal proceeding due to the uncertainties related to both the likelihood and the amount of any possible loss or range of loss. Regardless of outcome, litigation can have an adverse impact on our business, financial condition, results of operations and prospects because of defense and settlement costs, diversion of management resources and other factors. </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Sales of a substantial number of securities by shareholders in the public market could cause our ADS price to fall.</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our shareholders sell, or indicate an intention to sell, substantial amounts of our ADSs in the public market after the lockup and other legal restrictions on resale lapse, the trading price of our ADSs could decline. For example, ordinary shares that are either subject to outstanding options or reserved for future issuance under equity incentive plans will become eligible for sale in the public market to the extent permitted by the provisions of various vesting schedules, the lock-up agreements and Rule 144 and Rule 701 under the Securities Act of 1933, as amended, or the Securities Act. If these additional ordinary shares are sold, or if it is perceived that they will be sold, in the public market, the trading price of our ADSs could decline.</w:t>
      </w:r>
    </w:p>
    <w:p>
      <w:pPr>
        <w:pStyle w:val="TextBody"/>
        <w:bidi w:val="0"/>
        <w:spacing w:lineRule="auto" w:line="288" w:before="240" w:after="283"/>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of March 31, 2024, the holders of 50,034,030 ordinary shares (or ordinary shares converted to ADSs) are entitled to rights with respect to the registration of their shares under the Securities Act. Registration of these shares under the Securities Act would result in such shares becoming freely tradable without restriction under the Securities Act, except for shares held by affiliates, as defined in Rule 144 under the Securities Act. Any sales of securities by these shareholders could have a material adverse effect on the trading price of our ADSs.</w:t>
      </w:r>
    </w:p>
    <w:p>
      <w:pPr>
        <w:pStyle w:val="TextBody"/>
        <w:bidi w:val="0"/>
        <w:spacing w:lineRule="auto" w:line="288" w:before="360" w:after="283"/>
        <w:jc w:val="both"/>
        <w:rPr/>
      </w:pPr>
      <w:r>
        <w:rPr>
          <w:rFonts w:ascii="Times New Roman;sans-serif" w:hAnsi="Times New Roman;sans-serif"/>
          <w:b/>
          <w:i/>
          <w:color w:val="000000"/>
          <w:sz w:val="20"/>
          <w:shd w:fill="FFFFFF" w:val="clear"/>
        </w:rPr>
        <w:t xml:space="preserve">We do not know whether an active, liquid and </w:t>
      </w:r>
      <w:r>
        <w:rPr>
          <w:rFonts w:ascii="Times New Roman;sans-serif" w:hAnsi="Times New Roman;sans-serif"/>
          <w:b/>
          <w:i/>
          <w:color w:val="000000"/>
          <w:sz w:val="20"/>
        </w:rPr>
        <w:t>orderly trading market will develop for our ADSs or what the market price of our ADSs will be and, as a result, it may be difficult for you to sell your ADSs.</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Although our ADSs are listed on The Nasdaq Global Select Market, an active trading market for our ADSs may never develop or be sustained. You may not be able to sell your ADSs quickly or at the market price if trading in shares of our ADSs is not active. As a result of these and other factors, you may be unable to resell your ADSs at or above the price at which you purchased them. Further, an inactive market may also impair our ability to raise capital by selling additional ADSs and may impair our ability to enter into strategic partnerships or acquire companies or products by using our ADSs as consideration.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If securities or industry analysts do not maintain research coverage of our company or publish inaccurate or unfavorable research about our business, the price of our ADSs and trading volume could decline.</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trading market for our ADSs will depend in part on the research and reports that securities or industry analysts publish about us or our business. If one or more of the analysts who cover us downgrades our ADSs or publishes inaccurate or unfavorable research about our business, our ADS price may decline. If one or more of these analysts ceases coverage of our company or fails to publish reports on us regularly, demand for our ADSs could decrease, which might cause our ADS price and trading volume to decline.</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Our principal shareholders and management own a significant percentage of our voting shares and will be able to exert significant influence over matters subject to shareholders’ approval.</w:t>
      </w:r>
    </w:p>
    <w:p>
      <w:pPr>
        <w:pStyle w:val="TextBody"/>
        <w:bidi w:val="0"/>
        <w:spacing w:lineRule="auto" w:line="288" w:before="120" w:after="283"/>
        <w:ind w:left="0" w:right="0" w:firstLine="720"/>
        <w:jc w:val="both"/>
        <w:rPr/>
      </w:pPr>
      <w:r>
        <w:rPr>
          <w:rFonts w:ascii="Times New Roman;sans-serif" w:hAnsi="Times New Roman;sans-serif"/>
          <w:b w:val="false"/>
          <w:color w:val="000000"/>
          <w:sz w:val="20"/>
          <w:shd w:fill="FFFFFF" w:val="clear"/>
        </w:rPr>
        <w:t xml:space="preserve">Our executive officers, directors, and 5.0% shareholders beneficially owned approximately </w:t>
      </w:r>
      <w:r>
        <w:rPr>
          <w:rFonts w:ascii="Times New Roman;sans-serif" w:hAnsi="Times New Roman;sans-serif"/>
          <w:b w:val="false"/>
          <w:color w:val="000000"/>
          <w:sz w:val="20"/>
        </w:rPr>
        <w:t>58.4%</w:t>
      </w:r>
      <w:r>
        <w:rPr>
          <w:color w:val="000000"/>
          <w:shd w:fill="FFFFFF" w:val="clear"/>
        </w:rPr>
        <w:t xml:space="preserve"> </w:t>
      </w:r>
      <w:r>
        <w:rPr>
          <w:rFonts w:ascii="Times New Roman;sans-serif" w:hAnsi="Times New Roman;sans-serif"/>
          <w:b w:val="false"/>
          <w:color w:val="000000"/>
          <w:sz w:val="20"/>
          <w:shd w:fill="FFFFFF" w:val="clear"/>
        </w:rPr>
        <w:t>of our voting shares as of March 31, 2024. Therefore, these shareholders will have the ability to influence us through this ownership position. These shareholders may be able to determine matters requiring shareholder approval. For example, these shareholders may be able to control elections, re-elections and removal of directors, amendments of our articles of association, or approval of any merger, scheme of arrangement, sale of assets, or other major corporate transaction. This may prevent or discourage unsolicited acquisition proposals or offers for our ADSs that you may feel are in your best interest as a holder of our ADSs.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some of these persons or entities may have interests different than yours. For example, because many of these shareholders purchased their ordinary shares at prices substantially below the price at which you may have purchased our ADSs and have held their ordinary shares for a longer period, they may be more interested in selling our company to an acquirer than other investors or they may want us to pursue strategies that deviate from the interests of other shareholders.</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Future sales and issuances of our ADSs or rights to purchase ordinary shares, including pursuant to our equity incentive plans, could result in additional dilution of the percentage ownership of our shareholders and could cause the price of our ADSs to fall.</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expect that significant additional capital may be needed in the future to continue our planned operations, including conducting clinical trials, expanded research and development activities, and costs associated with operating as a public company. To raise capital, we may sell ADSs, ordinary shares, convertible securities, or other equity securities in one or more transactions at prices and in a manner we determine from time to time. If we sell ADSs, ordinary shares, convertible securities, or other equity securities, investors may be materially diluted by subsequent sales, and new investors could gain rights, preferences, and privileges senior to the holders of our ADSs. Pursuant to our 2021 Plan, our management is authorized to grant share options to our employees, directors, and consultants. In July 2022, we filed a registration statement on Form S-3 relating to the registration of our ordinary shares, each of which may be represented by one ADS; senior or subordinated debt securities; warrants to purchase any securities that may be sold under the prospectus; units or any combination thereof. In January 2023, we entered into an “at-the-market” offering program, which provides for the offering, issuance and sale by us of shares of our ordinary shares, represented by ADSs from time to time for aggregate gross proceeds of up to $125.0 million in sales deemed to be “at-the-market offerings” as defined by the Securities Act of 1933, as amended. Any sale or issuance of securities pursuant to this registration statement or otherwise may result in dilution to our shareholders and may cause the market price of our ADSs to decline. Furthermore, new investors purchasing securities that we may issue and sell in the future could obtain rights superior to the rights of our existing shareholders.</w:t>
      </w:r>
    </w:p>
    <w:p>
      <w:pPr>
        <w:pStyle w:val="TextBody"/>
        <w:bidi w:val="0"/>
        <w:spacing w:lineRule="auto" w:line="288" w:before="240" w:after="283"/>
        <w:ind w:left="0" w:right="0" w:firstLine="720"/>
        <w:jc w:val="both"/>
        <w:rPr/>
      </w:pPr>
      <w:r>
        <w:rPr>
          <w:rFonts w:ascii="Times New Roman;sans-serif" w:hAnsi="Times New Roman;sans-serif"/>
          <w:b w:val="false"/>
          <w:color w:val="000000"/>
          <w:sz w:val="20"/>
          <w:shd w:fill="FFFFFF" w:val="clear"/>
        </w:rPr>
        <w:t xml:space="preserve">As of March 31, 2024, the aggregate number of ordinary shares that may be issued pursuant to future share awards under the 2021 Plan is </w:t>
      </w:r>
      <w:r>
        <w:rPr>
          <w:rFonts w:ascii="Times New Roman;sans-serif" w:hAnsi="Times New Roman;sans-serif"/>
          <w:b w:val="false"/>
          <w:color w:val="000000"/>
          <w:sz w:val="20"/>
        </w:rPr>
        <w:t>9,445,643</w:t>
      </w:r>
      <w:r>
        <w:rPr>
          <w:color w:val="000000"/>
          <w:shd w:fill="FFFFFF" w:val="clear"/>
        </w:rPr>
        <w:t xml:space="preserve"> </w:t>
      </w:r>
      <w:r>
        <w:rPr>
          <w:rFonts w:ascii="Times New Roman;sans-serif" w:hAnsi="Times New Roman;sans-serif"/>
          <w:b w:val="false"/>
          <w:color w:val="000000"/>
          <w:sz w:val="20"/>
          <w:shd w:fill="FFFFFF" w:val="clear"/>
        </w:rPr>
        <w:t>ordinary shares. The number of ordinary shares reserved for issuance under the 2021 Plan shall be cumulatively increased on January 1, 2023 and each January 1 thereafter by up to 5.0% of the total number of ordinary shares outstanding on December 31 of the preceding calendar year or a lesser number of ordinary shares determined by our board of directors. Unless our board of directors elects not to increase the number of ordinary shares available for future grant each year, our shareholders may experience additional dilution, which could cause the price of our ADSs to fall.</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We have broad discretion in the use of our cash resources and may not use them effectively.</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will have broad discretion in the application of our cash resources, and you will not have the opportunity as part of your investment decision to assess whether such resources are being used appropriately. Because of the number and variability of factors that will determine our use of our cash resources, their ultimate use may vary substantially from their currently intended use. Our management might not apply our cash resources in ways that ultimately increase or maintain the value of your investment. Pending their use, we may invest our cash resources in short-term, investment-grade, interest-bearing securities. These investments may not yield a favorable return to our shareholders.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We do not intend to pay dividends on our ordinary shares, so any returns will be limited to the value of our ordinary shares or ADSs.</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currently anticipate that we will retain future earnings for the development, operation, and expansion of our business and do not anticipate declaring or paying any cash dividends for the foreseeable future. In addition, we may enter into agreements that prohibit us from paying cash dividends without prior written consent from our contracting parties, or which other terms prohibiting or limiting the amount of dividends that may be declared or paid on our ADS. Furthermore, under the Companies Act, a company’s accumulated realized profits, so far as not previously utilized by distribution or capitalization, must exceed its accumulated realized losses so far as not previously written off in a reduction or reorganization of capital duly made (on a non-consolidated basis), before dividends can be paid. In the future, were our dividend policy to change, a dividend or distribution may still be restricted from being declared and paid. In addition, under the Companies Act, a public company can only affect a buyback of shares out of distributable profits or a fresh issue of shares and cannot do so out of capital. For these reasons, any return to shareholders may therefore be limited to the appreciation of their shares, which may never occur.</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As a public company, we may be at an increased risk of securities class action litigation, which is expensive and could divert management attention.</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market price of our securities may be volatile and, in the past, companies that have experienced volatility in the market price of their stock have been subject to securities class action litigation. Historically, securities class action litigation has often been brought against a company following a decline in the market price of its securities. This risk is especially relevant for us because biotechnology and pharmaceutical companies have experienced significant share price volatility in recent years. If we were to be sued, it could result in substantial costs and a diversion of management’s attention and resources, which could harm our business.</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We will incur significant increased costs as a result of operating as a public company, and our management will be required to devote substantial time to new compliance initiatives.</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a newly public company, we will incur significant legal, accounting, and other expenses that we had not historically incurred as a private company. We are subject to the reporting requirements of the Securities Exchange Act of 1934, as amended, or the Exchange Act, which will require, among other things, that we file with the Securities and Exchange Commission (“SEC”), annual, quarterly, and current reports with respect to our business and financial condition. In addition, the Sarbanes-Oxley Act, as well as rules subsequently adopted by the SEC and The Nasdaq Global Select Market to implement provisions of the Sarbanes-Oxley Act, impose significant requirements on public companies, including requiring establishment and maintenance of effective disclosure and financial controls and changes in corporate governance practices. Further, in July 2010, the Dodd-Frank Wall Street Reform and Consumer Protection Act (the “Dodd-Frank Act”), was enacted. There are significant corporate governance and executive compensation related provisions in the Dodd-Frank Act that require the SEC to adopt additional rules and regulations in these areas, such as “say on pay” and proxy access. Recent legislation permits emerging growth companies to implement many of these requirements over a longer period and up to five years from the pricing of our initial public offering. We intend to take advantage of this new legislation but cannot guarantee that we will not be required to implement these requirements sooner than budgeted or planned and thereby incur unexpected expenses. Shareholder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expect the rules and regulations applicable to public companies to substantially increase our legal and financial compliance costs and to make some activities more time-consuming and costly. If these requirements divert the attention of our management and personnel from other business concerns, they could have a material adverse effect on our business, financial condition, and results of operations. The increased costs will decrease our net income or increase our net loss and may require us to reduce costs in other areas of our business or increase the prices of our products or services. 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pStyle w:val="TextBody"/>
        <w:bidi w:val="0"/>
        <w:spacing w:lineRule="auto" w:line="288" w:before="36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 xml:space="preserve">We previously had material weaknesses in our internal control systems over financial reporting, which have been remediated; however we may identify additional or new material weaknesses in the future that may cause us to fail to meet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our reporting obligations, result in material misstatements in our financial statements or fail to prevent fraud. We will need to continue to invest time and resources in the design, implementation and maintenance of internal controls.</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is responsible for establishing and maintaining internal control over financial reporting, disclosure controls, and compliance with the other requirements of the Sarbanes-Oxley Act and the rules promulgated by the SEC thereunder. Internal control over financial reporting is a process designed to provide reasonable assurance regarding the reliability of financial reporting and the preparation of financial statements in accordance with international financial reporting standards. A material weakness is a deficiency, or combination of deficiencies, in internal control over financial reporting, such that there is a reasonable possibility that a material misstatement of the financial statements will not be prevented or detected on a timely basis.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audits of our financial statements as of December 31, 2020 and for the period from October 26, 2020 (“inception”) through December 31, 2020 and in connection with audits of our Centessa Subsidiaries as of December 31, 2019 and 2020 for the periods or years ended December 31, 2019 and 2020, we identified material weaknesses in our internal control over financial reporting. Neither Centessa nor the Centessa Subsidiaries had a sufficient complement of personnel commensurate with the accounting and reporting requirements of a public company. The material weaknesses identified related to inadequate controls that address segregation of certain accounting duties and reconciliation and analysis of certain key accounts. We concluded that these material weaknesses arose because, as a pre-revenue private company recently formed, we and Centessa Subsidiaries did not have the necessary personnel to design effective components of internal control including risk assessment control activities information/communication and monitoring to satisfy the accounting and financial reporting requirements of a public company.</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2021, management remediated the material weaknesses described above through hiring additional qualified accounting and financial reporting personnel, and designing and implementing financial reporting systems, processes, policies and internal controls. However, management must continually evaluate the internal control environment and make enhancements to people, processes and systems which will require the investment of significant resources. For example, in March 2023, management implemented a company-wide ERP system to upgrade certain existing business, operational, and financial processes to enhance the overall control environment of the Company. There is no guarantee that new or additional material weaknesses will not be identified in the future. If material weaknesses arise in the future, our financial statements could contain material misstatements that, when discovered in the future, could cause us to fail to meet our future reporting obligations and cause the price of our ADSs to decline.</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If we fail to develop or maintain an effective system of disclosure controls and internal control over financial reporting, our ability to produce timely and accurate financial statements or comply with applicable regulations could be impaired.</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a public company, we will be required to develop and maintain internal control over financial reporting and to report any material weaknesses in such internal controls. The Sarbanes-Oxley Act, requires that we evaluate and determine the effectiveness of our internal control over financial reporting and, beginning with our second annual report following our initial public offering, provide a management report on internal control over financial reporting. In addition, once we are no longer an emerging growth company, we will be required to include an attestation report on internal control over financial reporting issued by our independent registered public accounting firm.</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Any failure to develop or maintain effective controls, or any difficulties encountered in their implementation or improvement, could harm our results of operations, cause us to fail to meet our reporting obligations, result in a restatement of our financial statements for prior periods, or adversely affect the results of management evaluations and independent registered public accounting firm audits of our internal control over financial reporting that we will eventually be required to include in our periodic reports that will be filed with the SEC. In addition, to the extent we acquire or establish additional consolidated subsidiaries, the financial statements of such entities may not be initially prepared by us, and we will not have direct control over their financial statement preparation. As a result, we will, for our financial reporting, depend on what these entities report to us, which could result in our adding monitoring and audit processes, and increase the difficulty of implementing and maintaining adequate controls over our financial processes and reporting in the future, which could lead to delays in our external reporting. In particular, this may occur where we are establishing such entities with partners that do not have sophisticated financial accounting processes in place, or where we are entering into new relationships at a rapid pace, straining our integration capacity. Additionally, if we do not receive the information from the consolidated subsidiaries on a timely basis, it could cause delays in our external reporting. Ineffective disclosure controls and procedures and internal controls over financial reporting could also cause investors to lose confidence in our reported financial and other information, which would likely have a negative effect on the trading price of our ADSs.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relied upon and, in the future we expect to continue to rely upon third-party contracted service providers to assist with our financial reporting. We are in the process of designing and implementing internal controls over financial reporting required to comply with the Sarbanes-Oxley Act. This process will be time consuming, costly, and complicated. If we are unable to assert that our internal control over financial reporting is effective or when required in the future, if our independent registered public accounting firm issues an adverse opinion on the effectiveness of our internal control over financial reporting, investors may lose confidence in the accuracy and completeness of our financial reports, the market price of our ADSs could be adversely affected and we could become subject to investigations by the stock exchange on which our securities are listed, the SEC, or other regulatory authorities, which could require additional financial and management resources.</w:t>
      </w:r>
    </w:p>
    <w:p>
      <w:pPr>
        <w:pStyle w:val="TextBody"/>
        <w:bidi w:val="0"/>
        <w:spacing w:lineRule="auto" w:line="288" w:before="360" w:after="283"/>
        <w:jc w:val="both"/>
        <w:rPr/>
      </w:pPr>
      <w:r>
        <w:rPr>
          <w:rFonts w:ascii="Times New Roman;sans-serif" w:hAnsi="Times New Roman;sans-serif"/>
          <w:b/>
          <w:i/>
          <w:color w:val="000000"/>
          <w:sz w:val="20"/>
        </w:rPr>
        <w:t>We face</w:t>
      </w:r>
      <w:r>
        <w:rPr>
          <w:color w:val="000000"/>
          <w:shd w:fill="FFFFFF" w:val="clear"/>
        </w:rPr>
        <w:t xml:space="preserve"> </w:t>
      </w:r>
      <w:r>
        <w:rPr>
          <w:rFonts w:ascii="Times New Roman;sans-serif" w:hAnsi="Times New Roman;sans-serif"/>
          <w:b/>
          <w:i/>
          <w:color w:val="000000"/>
          <w:sz w:val="20"/>
          <w:shd w:fill="FFFFFF" w:val="clear"/>
        </w:rPr>
        <w:t>significant risks associated with our company-wide implementation of an ERP system that may adversely affect our business and results of operations or the effectiveness of our internal controls over financial reporting.</w:t>
      </w:r>
    </w:p>
    <w:p>
      <w:pPr>
        <w:pStyle w:val="TextBody"/>
        <w:bidi w:val="0"/>
        <w:spacing w:lineRule="auto" w:line="288" w:before="120" w:after="283"/>
        <w:ind w:left="0" w:right="0" w:firstLine="720"/>
        <w:jc w:val="both"/>
        <w:rPr/>
      </w:pPr>
      <w:r>
        <w:rPr>
          <w:rFonts w:ascii="Times New Roman;sans-serif" w:hAnsi="Times New Roman;sans-serif"/>
          <w:b w:val="false"/>
          <w:color w:val="000000"/>
          <w:sz w:val="20"/>
          <w:shd w:fill="FFFFFF" w:val="clear"/>
        </w:rPr>
        <w:t>We implemented a company-wide new enterprise resource planning (“ERP”) system in March 2023 to upgrade certain existing business, operational, and financial processes. The ERP system was implemented to position the Company for long-term growth, further enhance operating efficiencies and provide more effective management of our business operations, including inventory control, purchasing and supply chain management, and financial reporting and internal controls.</w:t>
      </w:r>
      <w:r>
        <w:rPr>
          <w:color w:val="000000"/>
        </w:rPr>
        <w:t xml:space="preserve"> </w:t>
      </w:r>
      <w:r>
        <w:rPr>
          <w:rFonts w:ascii="Times New Roman;sans-serif" w:hAnsi="Times New Roman;sans-serif"/>
          <w:b w:val="false"/>
          <w:color w:val="000000"/>
          <w:sz w:val="20"/>
          <w:shd w:fill="FFFFFF" w:val="clear"/>
        </w:rPr>
        <w:t>Implementing the new ERP system has been costly and has required, and may continue to require, the investment of significant personnel and financial resources. The ERP system could expose us to additional risks inherent in the conversion to any new IT system, including the loss of information, disruption to our normal operations, and changes in accounting procedures which could result in potentially higher costs than we had incurred previously, divert management’s and employees’ attention and resources and could materially adversely affect our ability to develop product candidates, launch products, file reports with the SEC in a timely manner, operate our business or otherwise affect our controls environment. While the ERP system is intended to further improve and enhance our information management systems, the ongoing implementation of this new ERP system exposes us to the risks of integrating that system with our existing systems and processes, including possible disruption of our financial reporting. Any of these consequences could have a material and adverse effect on our operations and financial condition.</w:t>
      </w:r>
    </w:p>
    <w:p>
      <w:pPr>
        <w:pStyle w:val="TextBody"/>
        <w:bidi w:val="0"/>
        <w:spacing w:lineRule="auto" w:line="288" w:before="36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Holders of ADSs are not treated as holders of our ordinary shares.</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By investing in our company, you are a holder of ADSs with underlying ordinary shares in a company incorporated under English law. Holders of ADSs are not treated as holders of our ordinary shares, unless they withdraw the ordinary shares underlying their ADSs in accordance with the deposit agreement and applicable laws and regulations. The depositary is the holder of the ordinary shares underlying the ADSs. Holders of ADSs therefore do not have any rights as holders of our ordinary shares, other than the rights that they have pursuant to the deposit agreement. </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Holders of ADSs may be subject to limitations on the transfer of their ADSs and the withdrawal of the underlying ordinary shares.</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ADSs are transferable on the books of the depositary. However, the depositary may close its books at any time or from time to time when it deems expedient in connection with the performance of its duties. The depositary may refuse to deliver, transfer or register transfers of ADSs generally when our books or the books of the depositary are closed, or at any time if we or the depositary think it is advisable to do so because of any requirement of law, government or governmental body, or under any provision of the deposit agreement, or for any other reason, subject to the right of ADS holders to cancel their ADSs and withdraw the underlying ordinary shares. Temporary delays in the cancellation of your ADSs and withdrawal of the underlying ordinary shares may arise because the depositary has closed its transfer books or we have closed our transfer books, the transfer of ordinary shares is blocked to permit voting at a shareholders’ meeting or we are paying a dividend on our ordinary shares. In addition, ADS holders may not be able to cancel their ADSs and withdraw the underlying ordinary shares when they owe money for fees, taxes and similar charges and when it is necessary to prohibit withdrawals in order to comply with any laws or governmental regulations that apply to ADSs or to the withdrawal of ordinary shares or other deposited securities. </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We are entitled to amend the deposit agreement and to change the rights of ADS holders under the terms of such agreement, or to terminate the deposit agreement, without the prior consent of the ADS holders.</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entitled to amend the deposit agreement and to change the rights of the ADS holders under the terms of such agreement, without the prior consent of the ADS holders. We and the depositary may agree to amend the deposit agreement in any way we decide is necessary or advantageous to us or to the depositary. Amendments may reflect, among other things, operational changes in the ADS program, legal developments affecting ADSs or changes in the terms of our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relationship with the depositary. In the event that the terms of an amendment are materially disadvantageous to ADS holders, ADS holders will only receive 30 days’ advance notice of the amendment, and no prior consent of the ADS holders is required under the deposit agreement. Furthermore, we may decide to direct the depositary to terminate the ADS facility at any time for any reason. For example, terminations may occur when we decide to list our ordinary shares on a non-U.S. securities exchange and determine not to continue to sponsor an ADS facility or when we become the subject of a takeover or a going-private transaction. If the ADS facility will terminate, ADS holders will receive at least 30 days’ prior notice, but no prior consent is required from them. Under the circumstances that we decide to make an amendment to the deposit agreement that is disadvantageous to ADS holders or terminate the deposit agreement, the ADS holders may choose to sell their ADSs or surrender their ADSs and become direct holders of the underlying ordinary shares, but will have no right to any compensation whatsoever.</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ADS holders may not be entitled to a jury trial with respect to claims arising under the deposit agreement, which could result in less favorable outcomes to the plaintiff(s) in any such action.</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deposit agreement governing the ADSs representing our ordinary shares provides that, to the fullest extent permitted by law, holders and beneficial owners of ADSs irrevocably waive the right to a jury trial of any claim they may have against us or the depositary arising out of or relating to the ADSs or the deposit agreement.</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this jury trial waiver provision is not permitted by applicable law, an action could proceed under the terms of the deposit agreement with a jury trial. If we or the depositary opposed a jury trial demand based on the waiver, the court would determine whether the waiver was enforceable based on the facts and circumstances of that case in accordance with the applicable state and federal law. To our knowledge, the enforceability of a contractual pre-dispute jury trial waiver in connection with claims arising under the federal securities laws has not been finally adjudicated by the United States Supreme Court. However, we believe that a contractual pre-dispute jury trial waiver provision is generally enforceable, including under the laws of the State of New York, which govern the deposit agreement, by a federal or state court in the City of New York, which has non-exclusive jurisdiction over matters arising under the deposit agreement. In determining whether to enforce a contractual pre-dispute jury trial waiver provision, courts will generally consider whether a party knowingly, intelligently and voluntarily waived the right to a jury trial. We believe that this is the case with respect to the deposit agreement and the ADSs. It is advisable that you consult legal counsel regarding the jury waiver provision before entering into the deposit agreement.</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ADS holders or beneficial owners of ADSs bring a claim against us or the depositary in connection with matters arising under the deposit agreement or the ADSs, including claims under federal securities laws, the ADS holder or beneficial owner may not be entitled to a jury trial with respect to such claims, which may have the effect of limiting and discouraging lawsuits against us and/or the depositary. If a lawsuit is brought against us and/or the depositary under the deposit agreement, it may be heard only by a judge or justice of the applicable trial court, which would be conducted according to different civil procedures and may result in different outcomes than a trial by jury would have had, including results that could be less favorable to the plaintiff(s) in any such action, depending on, among other things, the nature of the claims, the judge or justice hearing such claims, and the venue of the hearing.</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 condition, stipulation or provision of the deposit agreement or ADSs serves as a waiver by any holder or beneficial owner of ADSs or by us or the depositary of compliance with the U.S. federal securities laws and the rules and regulations promulgated thereunder.</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Moreover, as the jury trial waiver relates to claims arising out of or relating to the ADSs or the deposit agreement, we believe that, as a matter of construction of the clause, the waiver would likely to continue to apply to ADS holders who withdraw the ordinary shares from the ADS facility with respect to claims arising before the cancellation of the ADSs and the withdrawal of the ordinary shares, and the waiver would most likely not apply to ADS holders who subsequently withdraw the ordinary shares represented by ADSs from the ADS facility with respect to claims arising after the withdrawal. However, to our knowledge, there has been no case law on the applicability of the jury trial waiver to ADS holders who withdraw the ordinary shares represented by the ADSs from the ADS facility.</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ADS holders will not have the same voting rights as the holders of our ordinary shares and may not receive voting materials in time to be able to exercise their right to vote.</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Except as described in the deposit agreement, holders of the ADSs will not be able to exercise voting rights attaching to the ordinary shares represented by the ADSs. Under the terms of the deposit agreement, holders of the ADSs may instruct the depositary to vote the ordinary shares underlying their ADSs. Otherwise, holders of ADSs will not be able to exercise their right to vote unless they withdraw the ordinary shares underlying their ADSs to vote them in person or by proxy in accordance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applicable laws and regulations and our articles of association. Even so, ADS holders may not know about a meeting far enough in advance to withdraw those ordinary shares. If we ask for the instructions of holders of the ADSs, the depositary, upon timely notice from us, will notify ADS holders of the upcoming vote and arrange to deliver our voting materials to them. Upon our request, the depositary will mail to holders a shareholder meeting notice that contains, among other things, a statement as to the manner in which voting instructions may be given. We cannot guarantee that ADS holders will receive the voting materials in time to ensure that they can instruct the depositary to vote the ordinary shares underlying their ADSs. A shareholder is only entitled to participate in, and vote at, the meeting of shareholders, provided that it holds our ordinary shares as of the record date set for such meeting and otherwise complies with our articles of association. In addition, the depositary’s liability to ADS holders for failing to execute voting instructions or for the manner of executing voting instructions is limited by the deposit agreement. As a result, holders of ADSs may not be able to exercise their right to give voting instructions or to vote in person or by proxy and they may not have any recourse against the depositary or us if their ordinary shares are not voted as they have requested or if their shares cannot be voted.</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ADS holders may not receive distributions on our ordinary shares represented by the ADSs or any value for them if it is illegal or impractical to make them available to holders of ADSs.</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depositary for the ADSs has agreed to pay to you the cash dividends or other distributions it or the custodian receives on our ordinary shares or other deposited securities after deducting its fees and expenses. You will receive these distributions in proportion to the number of our ordinary shares your ADSs represent. However, in accordance with the limitations set forth in the deposit agreement, it may be unlawful or impractical to make a distribution available to holders of ADSs. We have no obligation to take any other action to permit distribution on the ADSs, ordinary shares, rights or anything else to holders of the ADSs. This means that ADS holders may not receive the distributions we make on our ordinary shares or any value from them if it is unlawful or impractical to make them available. These restrictions may have an adverse effect on the value of your ADSs.</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Claims of U.S. civil liabilities may not be enforceable against us.</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incorporated under English law and have our registered office in England. Certain members of our board of directors and senior management are non-residents of the United States, and all or a substantial portion of our assets and the assets of such persons are located outside the United States. As a result, it may not be possible to serve process on such persons or us in the United States or to enforce judgments obtained in U.S. courts against them or us based on civil liability provisions of the securities laws of the United States.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United States and England and Wales do not currently have a treaty providing for recognition and enforcement of judgments (other than arbitration awards) in civil and commercial matters. Consequently, a final judgment for payment given by a court in the United States, whether or not predicated solely upon U.S. securities laws, would not automatically be recognized or enforceable in England and Wales. In addition, uncertainty exists as to whether the courts of England and Wales would entertain original actions brought in England and Wales against us or our directors or senior management predicated upon the securities laws of the United States or any state in the United States. Any final and conclusive monetary judgment for a definite sum obtained against us in U.S. courts would be treated by the courts of England and Wales as a cause of action in itself and sued upon as a debt at common law so that no retrial of the issues would be necessary, provided that certain requirements are met. Whether these requirements are met in respect of a judgment based upon the civil liability provisions of the U.S. securities laws, including whether the award of monetary damages under such laws would constitute a penalty, is an issue for the court making such decision. If the courts of England and Wales give judgment for the sum payable under a U.S. judgment, the judgment of the English and Welsh court will be enforceable by methods generally available for this purpose. These methods generally permit the courts of England and Wales discretion to prescribe the manner of enforcement.</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U.S. investors may not be able to enforce against us or our senior management, board of directors or certain experts named herein who are residents of England and Wales or countries other than the United States any judgments obtained in U.S. courts in civil and commercial matters, including judgments under the U.S. federal securities laws.</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ADS holders’ right to participate in any future rights offerings may be limited, which may cause dilution to their holdings.</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may from time to time distribute rights to our shareholders, including rights to acquire our securities. However, we cannot make rights available to ADS holders in the United States unless we register the rights and the securities to which the rights relate under the Securities Act or an exemption from the registration requirements is available. Also, under the deposit agreement, the depositary bank will not make rights available to ADS holders unless either both the rights and any related securities are registered under the Securities Act, or the distribution of them to ADS holders is exempted from registration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under the Securities Act. We are under no obligation to file a registration statement with respect to any such rights or securities or to endeavor to cause such a registration statement to be declared effective. Moreover, we may not be able to establish an exemption from registration under the Securities Act. If the depositary does not distribute the rights, it may, under the deposit agreement, either sell them, if possible, or allow them to lapse. Accordingly, ADS holders may be unable to participate in our rights offerings and may experience dilution in your holdings.</w:t>
      </w:r>
    </w:p>
    <w:p>
      <w:pPr>
        <w:pStyle w:val="TextBody"/>
        <w:bidi w:val="0"/>
        <w:spacing w:lineRule="auto" w:line="288" w:before="36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If we are a controlled foreign corporation, there could be material adverse U.S. federal income tax consequences to certain U.S. Holders.</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Each “Ten Percent Shareholder” (as defined below) in a non-U.S. corporation that is classified as a “controlled foreign corporation,” or a CFC, for U.S. federal income tax purposes generally is required to include in income for U.S. federal tax purposes such Ten Percent Shareholder’s pro rata share of the CFC’s “Subpart F income” and investment of earnings in U.S. property, even if the CFC has made no distributions to its shareholders. Subpart F income generally includes dividends, interest, rents, royalties, “global intangible low-taxed income,” gains from the sale of securities and income from certain transactions with related parties. In addition, a Ten Percent Shareholder that realizes gain from the sale or exchange of shares in a CFC may be required to classify a portion of such gain as dividend income rather than capital gain. A non-U.S. corporation generally will be classified as a CFC for U.S. federal income tax purposes if Ten Percent Shareholders own, directly or indirectly, more than 50% of either the total combined voting power of all classes of stock of such corporation entitled to vote or of the total value of the stock of such corporation. A “Ten Percent Shareholder” is a United States person (as defined by the Code) who owns or is considered to own 10% or more of the total combined voting power of all classes of stock entitled to vote or 10% or more of the total value of all classes of stock of such corporation.</w:t>
      </w:r>
    </w:p>
    <w:p>
      <w:pPr>
        <w:pStyle w:val="TextBody"/>
        <w:bidi w:val="0"/>
        <w:spacing w:lineRule="auto" w:line="288" w:before="240" w:after="283"/>
        <w:ind w:left="0" w:right="0" w:firstLine="720"/>
        <w:jc w:val="both"/>
        <w:rPr/>
      </w:pPr>
      <w:r>
        <w:rPr>
          <w:rFonts w:ascii="Times New Roman;sans-serif" w:hAnsi="Times New Roman;sans-serif"/>
          <w:b w:val="false"/>
          <w:color w:val="000000"/>
          <w:sz w:val="20"/>
          <w:shd w:fill="FFFFFF" w:val="clear"/>
        </w:rPr>
        <w:t>We do not expect to be a CFC in the current taxable year; however, it is possible that we may become a CFC in a subsequent taxable year. T</w:t>
      </w:r>
      <w:r>
        <w:rPr>
          <w:rFonts w:ascii="Times New Roman;sans-serif" w:hAnsi="Times New Roman;sans-serif"/>
          <w:b w:val="false"/>
          <w:color w:val="000000"/>
          <w:sz w:val="20"/>
        </w:rPr>
        <w:t>he determination of CFC status is complex and includes attribution rules, the application of which is not certain. In addition, as a result of recent changes made to the attribution rules in the Code, the stock of our non-U.S. subsidiaries is attributed to our U.S. subsidiary, which results in our non-U.S. subsidiaries being treated as CFCs and could result in certain United States persons being treated as Ten Percent Shareholders of such non-U.S. subsidiary CFCs. We cannot provide any assurances that we will assist holders of our ordinary shares or ADSs in determining whether we are treated as a CFC or whether any holder of ordinary shares or ADSs is treated as a Ten Percent Shareholder with respect to any such CFC or furnish to any Ten Percent Shareholders information that may be necessary to comply with the aforementioned reporting and tax paying obligations.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U.S. Holders should consult their own tax advisors with respect to the potential material adverse U.S. tax consequences of becoming a Ten Percent Shareholder in a CFC, including the possibility and consequences of becoming a Ten Percent Shareholder in our non-U.S. subsidiaries that are treated as CFCs due to the changes to the attribution rules. If we are classified as both a CFC and a PFIC (as defined below), we generally will not be treated as a PFIC with respect to those U.S. Holders that meet the definition of a Ten Percent Shareholder during the period in which we are a CFC.</w:t>
      </w:r>
    </w:p>
    <w:p>
      <w:pPr>
        <w:pStyle w:val="TextBody"/>
        <w:bidi w:val="0"/>
        <w:spacing w:lineRule="auto" w:line="288" w:before="36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 xml:space="preserve">There is substantial uncertainty as to whether we are or will be a “PFIC”. If we are a PFIC, there could be material adverse U.S. federal income tax consequences to U.S. holders. </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Under the Code, we will be a PFIC, for any taxable year in which (1) 75% or more of our gross income consists of passive income or (2) 50% or more of the average quarterly value of our assets consists of assets that produce, or are held for the production of, passive income. For purposes of these tests, passive income includes dividends, interest, gains from the sale or exchange of investment property and certain rents and royalties. In addition, for purposes of the above calculations, a non-U.S. corporation that directly or indirectly owns at least 25% by value of the shares of another corporation is treated as holding and receiving directly its proportionate share of assets and income of such corporation. If we are a PFIC for any taxable year during which a U.S. Holder holds our ordinary shares or ADSs, the U.S. Holder may be subject to material adverse tax consequences regardless of whether we continue to qualify as a PFIC, including ineligibility for any preferred tax rates on capital gains or on actual or deemed dividends, interest charges on certain taxes treated as deferred and additional reporting requirements.</w:t>
      </w:r>
    </w:p>
    <w:p>
      <w:pPr>
        <w:pStyle w:val="TextBody"/>
        <w:bidi w:val="0"/>
        <w:spacing w:lineRule="auto" w:line="288" w:before="240" w:after="283"/>
        <w:ind w:left="0" w:right="0" w:firstLine="720"/>
        <w:jc w:val="both"/>
        <w:rPr/>
      </w:pPr>
      <w:r>
        <w:rPr>
          <w:rFonts w:ascii="Times New Roman;sans-serif" w:hAnsi="Times New Roman;sans-serif"/>
          <w:b w:val="false"/>
          <w:color w:val="000000"/>
          <w:sz w:val="20"/>
          <w:shd w:fill="FFFFFF" w:val="clear"/>
        </w:rPr>
        <w:t xml:space="preserve">While we believe we were not a PFIC for </w:t>
      </w:r>
      <w:r>
        <w:rPr>
          <w:rFonts w:ascii="Times New Roman;sans-serif" w:hAnsi="Times New Roman;sans-serif"/>
          <w:b w:val="false"/>
          <w:color w:val="000000"/>
          <w:sz w:val="20"/>
        </w:rPr>
        <w:t>2023</w:t>
      </w:r>
      <w:r>
        <w:rPr>
          <w:rFonts w:ascii="Times New Roman;sans-serif" w:hAnsi="Times New Roman;sans-serif"/>
          <w:b w:val="false"/>
          <w:color w:val="000000"/>
          <w:sz w:val="20"/>
          <w:shd w:fill="FFFFFF" w:val="clear"/>
        </w:rPr>
        <w:t xml:space="preserve">, it is uncertain whether we or any of our Centessa Subsidiaries were, are, or will be treated as a PFIC for U.S. federal income tax purposes for any past, current or subsequent tax year. </w:t>
      </w:r>
      <w:r>
        <w:rPr>
          <w:rFonts w:ascii="Times New Roman;sans-serif" w:hAnsi="Times New Roman;sans-serif"/>
          <w:b w:val="false"/>
          <w:color w:val="000000"/>
          <w:sz w:val="20"/>
        </w:rPr>
        <w:t xml:space="preserve">The determination of whether we are a PFIC is a fact-intensive determination made on an annual basis applying principles and methodologies that in some circumstances are unclear and subject to varying interpretation. The value of our assets would also be determined differently for the purposes of this determination if we were treated as a CFC, as discussed above. Under the income test described above, our status as a PFIC depends on the composition of our income which will depend on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transactions we enter into in the future and our corporate structure. The composition of our income and assets is also affected by the spending of the cash we raise in any offering, including in our initial public offering. Because PFIC status is based on our income, assets, and activities for the entire taxable year, our PFIC status may change from year to year. In addition, the total value of our assets for PFIC testing purposes may be determined in part by reference to the market price of our ordinary shares or ADSs from time to time, which may fluctuate considerably. Until we generate sufficient revenue from active licensing and other non-passive sources, there is substantial risk that we will be a PFIC under the PFIC income test; our operations currently generate limited amounts of non-passive income.</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certain circumstances, a U.S. Holder of shares in a PFIC may alleviate some of the adverse tax consequences described above by making either a “qualified electing fund” (“QEF”), election or a mark-to-market election (if our ordinary shares or ADSs constitute “marketable” securities under the Code). However, a U.S. Holder may make a QEF election with respect to our ordinary shares or ADSs only if we agree to furnish such U.S. Holder annually with required information. If we determine that we are a PFIC for this taxable year or any future taxable year, we currently expect that we would make available the information necessary for U.S. Holders to make a QEF Election. However, there is also no assurance that we will have timely knowledge of our status as a PFIC in the future or of the required information to be provided.</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we are a PFIC and, at any time, have a foreign subsidiary that is classified as a PFIC, U.S. Holders generally would be deemed to own a portion of the shares of such lower-tier PFIC, and generally could incur liability for the deferred tax and interest charge described above if we receive a distribution from, or dispose of all or part of our interest in, the lower-tier PFIC or the U.S. Holders otherwise were deemed to have disposed of an interest in the lower-tier PFIC. If we determine that we are a PFIC, to the extent appropriate, we currently expect that we will cause any lower-tier PFIC that we control to provide to a U.S. Holder the information necessary for U.S Holders to make or maintain a QEF election with respect to the lower-tier PFIC. However, in the future, we may not hold a controlling interest in any such lower-tier PFIC and thus there can be no assurance that we will be able to cause the lower-tier PFIC to provide such required information. A mark-to-market election generally would not be available with respect to such lower-tier PFIC. U.S. Holders are urged to consult their tax advisors regarding the tax issues raised by lower-tier PFICs.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U.S. Holders should consult their own tax advisors with respect to the potential material adverse U.S. tax consequences if we or any of our Centessa Subsidiaries are or were to become a PFIC.</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Future changes to tax laws could materially adversely affect our company and reduce net returns to our shareholders.</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conduct business globally. The tax treatment of the company or any of the group companies is subject to changes in tax laws, regulations and treaties, or the interpretation thereof, tax policy initiatives and reforms under consideration and the practices of tax authorities in jurisdictions in which we operate, as well as international tax policy initiatives and reforms including those related to the Organization for Economic Co-Operation and Development’s (“OECD”), Base Erosion and Profit Shifting (“BEPS”), Project, the European Commission’s state aid investigations and other initiatives. Such changes may include (but are not limited to) the taxation of operating income, investment income, dividends received or (in the specific context of withholding tax) dividends paid.</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unable to predict what tax reform may be proposed or enacted in the future or what effect such changes would have on our business, but such changes, to the extent they are brought into tax legislation, regulations, policies or practices, could affect our financial position, future results of operations, cash flows in a particular period and overall or effective tax rates in the future in countries where we have operations, reduce post-tax returns to our shareholders, and increase the complexity, burden and cost of tax compliance.</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Tax authorities may disagree with our positions and conclusions regarding certain tax positions, resulting in unanticipated costs, taxes or non-realization of expected benefits.</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operate through various Centessa Subsidiaries in a number of countries throughout the world. Consequently, we are subject to tax laws, treaties, and regulations in the countries in which we operate, and these laws and treaties are subject to interpretation. Our effective tax rate is influenced by many factors including changes in our operating structure, changes in the mix of our earnings among countries, our allocation of profits and losses among our subsidiaries, our intercompany transfer pricing agreements and rules relating to transfer pricing, the availability of U.S. research and development tax credits, and future changes in tax laws and regulations in the U.S. and foreign countries. Significant judgment is required in determining our tax liabilities including management’s judgment for uncertain tax positions. We have taken, and will continue to take, tax positions based on our interpretation of such tax laws. A tax authority may disagree with tax positions that we have taken, which could result in increased tax liabilities. For example, HM Revenue &amp; Customs (“HMRC”), the Internal Revenue Service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or another tax authority could challenge our allocation of income by tax jurisdiction and the amounts paid between our affiliated companies pursuant to our intercompany arrangements and transfer pricing policies, including amounts paid with respect to our intellectual property development. There can be no assurance that a taxing authority will not have a different interpretation of applicable law and assess us with additional taxes. Similarly, a tax authority could assert that we are subject to tax in a jurisdiction where we believe we have not established a taxable connection, often referred to as a “permanent establishment” under international tax treaties, and such an assertion, if successful, could increase our expected tax liability in one or more jurisdictions. If we are assessed with additional taxes, this may result in a material adverse effect on our results of operations and/or financial condition.</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tax authority may take the position that material income tax liabilities, interest and penalties are payable by us, for example where there has been a technical violation of contradictory laws and regulations that are relatively new and have not been subject to extensive review or interpretation, in which case, we expect that we might contest such assessment. Contesting such an assessment may be lengthy and costly and if we were unsuccessful in disputing the assessment, the implications could increase our anticipated effective tax rate, where applicable, or result in other liabilities.</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We may be unable to use U.K. net operating loss and tax credit carryforwards and certain built-in losses to reduce future tax payments or benefit from favorable U.K. tax legislation.</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a U.K. incorporated and tax resident entity, we are subject to U.K. corporate taxation on tax-adjusted trading profits. Due to the nature of our business, we have generated losses since inception and have not paid any U.K. corporation tax. We therefore have accumulated carryforward tax losses. Subject to numerous utilization criteria and restrictions (including those that limit the percentage of profits that can be reduced by carried forward losses and those that can restrict the use of carried forward losses where there is a change of ownership of more than half the ordinary shares of the Company and a major change in the nature, conduct or scale of the trade), we expect these to be eligible for carry forward and utilization against future operating profits. The use of loss carryforwards in relation to U.K. profits incurred on or after April 1, 2017 is generally limited each year to £5.0 million plus an incremental 50% of U.K. taxable profits. In addition, if we were to have a major change in the nature of the conduct of our trade, loss carryforwards may be restricted or extinguished.</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a company that carries out extensive research and development activities, we seek to benefit from the UK research and development (“R&amp;D”) tax relief program. For accounting periods prior to April 1, 2024 this consisted of two programs: the Small and Medium-sized Enterprises R&amp;D tax relief program, or SME Program, and, to the extent that our projects are grant funded or relate to work subcontracted to us by third parties, the Research and Development Expenditure Credit program, (“RDEC Program”). For accounting periods beginning on or after April 1, 2024 these two regimes have been merged into one program for all companies, R&amp;D expenditure credit, (“RDEC”), alongside the introduction of a new enhanced R&amp;D intensive support program, or ERIS, specifically for loss-making R&amp;D intensive SMEs. These changes, including the rate of deduction for qualifying R&amp;D expenditures and activities for which relief may be claimed, may have a material impact on the quantum of R&amp;D relief that we are able to claim in the future.</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may benefit in the future from the United Kingdom’s “patent box” regime, which allows certain profits attributable to revenues from patented products (and other qualifying income) to be taxed at an effective rate of 10%. We are the exclusive licensee or owner of several patent applications which, if granted, would cover our product candidates, and accordingly, future upfront fees, milestone fees, product revenues and royalties could be taxed at this lower tax rate. When taken in combination with the enhanced relief available on our research and development expenditures, we expect a long-term lower rate of corporation tax to apply to us. If, however, there are unexpected adverse changes to the U.K. research and development tax credit regime or the “patent box” regime, or for any reason we are unable to qualify for such advantageous tax legislation, or we are unable to use net operating loss and tax credit carryforwards and certain built-in losses to reduce future tax payments then our business, results of operations and financial condition may be adversely affected.</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Shareholder protections found in provisions under the UK City Code on Takeovers and Mergers, or the Takeover Code, will not apply if our place of central management and control remains outside of the United Kingdom (or the Channel Islands or the Isle of Man).</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our place of central management and control is not in the United Kingdom (or the Channel Islands or the Isle of Man) for the purposes of the jurisdictional criteria of the Takeover Code. Accordingly, we believe that we are not currently subject to the Takeover Code and, as a result, our shareholders are not currently entitled to the benefit of certain takeover offer protections provided under the Takeover Code, including the rules regarding mandatory takeover bids.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the event that this changes, or if the interpretation and application of the Takeover Code by the Panel on Takeovers and Mergers (“Takeover Panel”), changes (including changes to the way in which the Takeover Panel assesses the application of the Takeover Code to English companies whose shares are listed outside of the United Kingdom), the Takeover Code may apply to us in the future.</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Takeover Code provides a framework within which takeovers of companies which are subject to the Takeover Code are regulated and conducted. The following is a brief summary of some of the most important rules of the Takeover Code: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in connection with a potential offer, if following an approach by or on behalf of a potential bidder, the company is “the subject of rumor or speculation” or there is an “untoward movement” in the company’s share price, there is a requirement for the potential bidder to make a public announcement about a potential offer for the company, or for the company to make a public announcement about its review of a potential offer;</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when any person, or group of persons acting in concert, acquires, whether by a series of transactions over a period of time or not, an interest in shares which (taken together with shares already held by that person and an interest in shares held or acquired by persons acting in concert with him or her) carry 30% or more of the voting rights of a company that is subject to the Takeover Code, that person is generally required to make a mandatory offer to all the holders of any class of equity share capital or other class of transferable securities carrying voting rights in that company to acquire the balance of their interests in the company;</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when any person who, together with persons acting in concert with him or her, is interested in shares representing not less than 30% but does not hold more than 50% of the voting rights of a company that is subject to the Takeover Code, and such person, or any person acting in concert with him or her, acquires an additional interest in shares which increases the percentage of shares carrying voting rights in which he or she is interested, then such person is generally required to make a mandatory offer to all the holders of any class of equity share capital or other class of transferable securities carrying voting rights of that company to acquire the balance of their interests in the company;</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 mandatory offer triggered in the circumstances described in the two paragraphs above must be in cash (or be accompanied by a cash alternative) and at not less than the highest price paid within the preceding 12 months to acquire any interest in shares in the company by the person required to make the offer or any person acting in concert with him or her;</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in relation to a voluntary offer (i.e. any offer which is not a mandatory offer), when interests in shares representing 10% or more of the shares of a class have been acquired for cash by an offeror (i.e., a bidder) and any person acting in concert with it in the offer period and the previous 12 months, the offer must be in cash or include a cash alternative for all shareholders of that class at not less than the highest price paid for any interest in shares of that class by the offeror and by any person acting in concert with it in that period. Further, if an offeror, or any person acting in concert with them, acquires for cash any interest in shares during the offer period, a cash alternative must be made available at not less than the highest price paid for any interest in the shares of that class;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if, after making an offer for a company, the offeror or any person acting in concert with them acquires an interest in shares in an offeree company (i.e., a target) at a price higher than the value of the offer, the offer must be increased to not less than the highest price paid for the interest in shares so acquired;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offeree company must appoint a competent independent adviser whose advice on the financial terms of the offer must be made known to all the shareholders, together with the opinion of the board of directors of the offeree company;</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special or favorable deals for selected shareholders are not permitted, except in certain circumstances where independent shareholder approval is given and the arrangements are regarded as fair and reasonable in the opinion of the financial adviser to the offeree;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all shareholders must be given the same information;</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each document published in connection with an offer by or on behalf of the offeror or offeree must state that the directors of the offeror or the offeree, as the case may be, accept responsibility for the information contained therein;</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profit forecasts, quantified financial benefits statements and asset valuations must be made to specified standards and must be reported on by professional advisers;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misleading, inaccurate or unsubstantiated statements made in documents or to the media must be publicly corrected immediately;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actions during the course of an offer by the offeree company, which might frustrate the offer are generally prohibited unless shareholders approve these plans. Frustrating actions would include, for example, lengthening the notice period for directors under their service contract or agreeing to sell off material parts of the target group;</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stringent requirements are laid down for the disclosure of dealings in relevant securities during an offer, including the prompt disclosure of positions and dealing in relevant securities by the parties to an offer and any person who is interested (directly or indirectly) in 1% or more of any class of relevant securities;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employees of both the offeror and the offeree company and the trustees of the offeree company’s pension scheme must be informed about an offer. In addition, the offeree company’s employee representatives and pension scheme trustees have the right to have a separate opinion on the effects of the offer on employment appended to the offeree board of directors’ circular or published on a website.</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The rights of our shareholders may differ from the rights typically offered to shareholders of a U.S. corporation.</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incorporated under the laws of England and Wales. The rights of holders of ordinary shares and, therefore, certain of the rights of holders of ADS, are governed by English law, including the provisions of the Companies Act, and by our articles of association. These rights differ in certain respects from the rights of shareholders in typical U.S. corporations.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principal differences include the following:</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under English law and our articles of association, each shareholder present at a meeting has only one vote unless demand is made for a vote on a poll, in which case each holder gets one vote per share owned. Under U.S. law, each shareholder typically is entitled to one vote per share at all meetings;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under English law, it is only on a poll that the number of shares determines the number of votes a holder may cast. You should be aware, however, that the voting rights of ADS are also governed by the provisions of a deposit agreement with our depositary bank;</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under English law, subject to certain exceptions and disapplications, each shareholder generally has preemptive rights to subscribe on a proportionate basis to any issuance of ordinary shares or rights to subscribe for, or to convert securities into, ordinary shares for cash. Under U.S. law, shareholders generally do not have preemptive rights unless specifically granted in the certificate of incorporation or otherwise;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under English law and our articles of association, certain matters require the approval of 75% of the shareholders who vote (in person or by proxy) on the relevant resolution (or on a poll of shareholders representing 75% of the ordinary shares voting (in person or by proxy)), including amendments to the articles of association. This may make it more difficult for us to complete corporate transactions deemed advisable by our board of directors. Under U.S. law, generally only majority shareholder approval is required to amend the certificate of incorporation or to approve other significant transactions;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in the United Kingdom, takeovers may be structured as takeover offers or as schemes of arrangement. Under English law, a bidder seeking to acquire us by means of a takeover offer would need to make an offer for all of our outstanding ordinary shares/ADS. If acceptances are not received for 90% or more of the ordinary shares/ADS under the offer, under English law, the bidder cannot complete a “squeeze out” to obtain 100% control of us. Accordingly, acceptances of 90% of our outstanding ordinary shares/ADSs will likely be a condition in any takeover offer to acquire us, not 50% as is more common in tender offers for corporations organized under Delaware law. By contrast, a scheme of arrangement, the successful completion of which would result in a bidder obtaining 100% control of us, requires the approval of a majority of shareholders voting at the meeting and representing 75% of the ordinary shares voting for approval;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under English law and our articles of association, shareholders and other persons whom we know or have reasonable cause to believe are, or have been, interested in our shares may be required to disclose information regarding their interests in our shares upon our request, and the failure to provide the required information could result in the loss or restriction of rights attaching to the shares, including prohibitions on certain transfers of the shares, withholding of dividends and loss of voting rights. Comparable provisions generally do not exist under U.S. law.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As an English public limited company, certain capital structure decisions will require shareholder approval, which may limit our flexibility to manage our capital structure.</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English law provides that a board of directors may only allot shares (or grant rights to subscribe for or to convert any security into shares) with the prior authorization of shareholders, either pursuant to an ordinary resolution or as set out in the articles of association. This authorization must state the aggregate nominal amount of shares that it covers, can be valid up to a maximum period of five years and can be varied, renewed or revoked by shareholders. Such authority from our shareholders to allot additional shares for a period of five years from 2021 was included in the ordinary resolution passed by our shareholders on May 20, 2021, which authorization will need to be renewed upon expiration (i.e., at least every five years) but may be sought more frequently for additional five-year terms (or any shorter period).</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English law also generally provides shareholders with preemptive rights when new shares are issued for cash. However, it is possible for the articles of association, or for shareholders to pass a special resolution at a general meeting, being a resolution passed by at least 75% of the votes cast, to disapply preemptive rights. Such a disapplication of preemptive rights may be for a maximum period of up to five years from the date of adoption of the articles of association, if the disapplication is contained in the articles of association, but not longer than the duration of the authority to allot shares to which this disapplication relates or from the date of the shareholder special resolution, if the disapplication is by shareholder special resolution. In either case, this disapplication would need to be renewed by our shareholders upon its expiration (i.e., at least every five years). Such authority from our shareholders to disapply preemptive rights for a period of five years was included in the special resolution passed by our shareholders on May 20, 2021, which disapplication will need to be renewed upon expiration (i.e., at least every five years) to remain effective, but may be sought more frequently for additional five-year terms (or any shorter period).</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English law also generally prohibits a public company from repurchasing its own shares without the prior approval of its shareholders by ordinary resolution, being a resolution passed by a simple majority of votes cast, and other formalities. Such approval may be provided for a maximum period of up to five years. In addition, a public company can only affect a buyback of shares out of distributable profits or a fresh issue of shares and cannot do so out of capital.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General Risk Factors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Business interruptions resulting from the Russia-Ukraine war, the Middle East conflict(s), tensions in U.S.-China relations, or similar geo-political conflicts could cause a disruption to our business activities including the development of our product candidates and the conduct of clinical trials thereby adversely impacting our business.</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Geo-political conflicts including the Russia-Ukraine war and the Middle East conflict(s) and tensions in U.S.-China relations may impact our CROs, clinical data management organizations, and clinical investigators’ ability to conduct certain of our trials in the applicable countries, and may prevent us from obtaining data on patients already enrolled at sites in these countries. This could negatively impact the completion of our clinical trials and/or analyses of clinical results, which may increase our product development costs, elongate clinical trial timeframes and materially harm our business.</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We or the third parties upon whom we depend may be adversely affected by earthquakes, outbreak of disease, or other natural disasters and our business continuity and disaster recovery plans may not adequately protect us from a serious disaster.</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Earthquakes, outbreak of disease, or other 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CMOs, or that otherwise disrupted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Unfavorable global economic conditions could adversely affect our business, financial condition or results of operations.</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results of operations could be adversely affected by general conditions in the global economy and in the global financial markets. For example, rising interest rates and high inflation may cause our cost of doing business to materially increase and may adversely impact our ability to operate or may adversely impact other parties upon whom we rely for research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and development capabilities to operate. The most recent global financial crisis caused extreme volatility and disruptions in the capital and credit markets. A severe or prolonged economic downturn, such as the most recent global financial crisis, could result in a variety of risks to our business, including weakened demand for our product candidates and our ability to raise additional capital when needed on acceptable terms, if at all. A weak or declining economy could strain our suppliers, possibly resulting in supply disruption, or cause delays in payments for our services by third-party payors or our collaborators. Any of the foregoing could harm our business and we cannot anticipate all of the ways in which the current economic climate and financial market conditions could adversely impact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(a)     Recent Sales of Unregistered Equity Securities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(b)     Use of Proceeds from Initial Public Offering</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May 27, 2021, our Registration Statement on Form S-1 (file No. 333-255393) was declared effective by the SEC for our initial public offering of ADSs, or IPO. In June 2021, the Company completed an initial public offering (“IPO”) of its ordinary shares through the sale and issuance of 16,500,000 ADSs, at an initial price of $20.00 per ADS. Each ADS represents one ordinary share with a nominal value of £0.002 per ordinary share. Following the close of the IPO, the underwriters fully exercised their option to purchase an additional 2,475,000 ADSs at the initial public offering price of $20.00 per ADS. The Company received aggregate net proceeds of $344.1 million in connection with the IPO and subsequent exercise of the underwriter’s options after deducting underwriting discounts, commissions and other offering expenses paid or to be paid.</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Except for the planned redeployment of resources from our deprioritized, divested and/or terminated programs there has been no material change in the expected use of the net proceeds from our IPO as described in our final prospectus filed with the SEC on June 1, 2021. Upon receipt, the net proceeds from our IPO were held in cash.</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(c)    Issuer Purchases of Equity Securities</w:t>
      </w:r>
    </w:p>
    <w:p>
      <w:pPr>
        <w:pStyle w:val="TextBody"/>
        <w:bidi w:val="0"/>
        <w:spacing w:lineRule="auto" w:line="288" w:before="3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120" w:after="283"/>
        <w:jc w:val="left"/>
        <w:rPr/>
      </w:pPr>
      <w:r>
        <w:rPr>
          <w:rFonts w:ascii="Times New Roman;sans-serif" w:hAnsi="Times New Roman;sans-serif"/>
          <w:b w:val="false"/>
          <w:color w:val="000000"/>
          <w:sz w:val="20"/>
          <w:shd w:fill="FFFFFF" w:val="clear"/>
        </w:rPr>
        <w:t xml:space="preserve">During the </w:t>
      </w:r>
      <w:r>
        <w:rPr>
          <w:rFonts w:ascii="Times New Roman;sans-serif" w:hAnsi="Times New Roman;sans-serif"/>
          <w:b w:val="false"/>
          <w:color w:val="000000"/>
          <w:sz w:val="20"/>
        </w:rPr>
        <w:t>three months ended March 31, 2024, none of the Company’s directors or officers (as defined in Rule 16a-1(f) of the Securities Exchange Act of 1934) adopted, terminated or modified a Rule 10b5-1 trading arrangement or non-Rule 10b5-1 trading arrangement (as such terms are defined in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bidi w:val="0"/>
        <w:spacing w:lineRule="auto" w:line="288" w:before="120" w:after="283"/>
        <w:ind w:left="0" w:right="0" w:hanging="450"/>
        <w:jc w:val="left"/>
        <w:rPr>
          <w:rFonts w:ascii="Times New Roman;sans-serif" w:hAnsi="Times New Roman;sans-serif"/>
          <w:b w:val="false"/>
          <w:i/>
          <w:color w:val="000000"/>
          <w:sz w:val="20"/>
        </w:rPr>
      </w:pPr>
      <w:r>
        <w:rPr>
          <w:rFonts w:ascii="Times New Roman;sans-serif" w:hAnsi="Times New Roman;sans-serif"/>
          <w:b w:val="false"/>
          <w:i/>
          <w:color w:val="000000"/>
          <w:sz w:val="20"/>
        </w:rPr>
        <w:t>(a)Exhibits:</w:t>
      </w:r>
    </w:p>
    <w:tbl>
      <w:tblPr>
        <w:tblW w:w="10205" w:type="dxa"/>
        <w:jc w:val="left"/>
        <w:tblInd w:w="0" w:type="dxa"/>
        <w:tblLayout w:type="fixed"/>
        <w:tblCellMar>
          <w:top w:w="28" w:type="dxa"/>
          <w:left w:w="28" w:type="dxa"/>
          <w:bottom w:w="28" w:type="dxa"/>
          <w:right w:w="28" w:type="dxa"/>
        </w:tblCellMar>
      </w:tblPr>
      <w:tblGrid>
        <w:gridCol w:w="280"/>
        <w:gridCol w:w="246"/>
        <w:gridCol w:w="247"/>
        <w:gridCol w:w="109"/>
        <w:gridCol w:w="109"/>
        <w:gridCol w:w="109"/>
        <w:gridCol w:w="2789"/>
        <w:gridCol w:w="2620"/>
        <w:gridCol w:w="3696"/>
      </w:tblGrid>
      <w:tr>
        <w:trPr/>
        <w:tc>
          <w:tcPr>
            <w:tcW w:w="28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620" w:type="dxa"/>
            <w:tcBorders/>
            <w:vAlign w:val="center"/>
          </w:tcPr>
          <w:p>
            <w:pPr>
              <w:pStyle w:val="TableContents"/>
              <w:bidi w:val="0"/>
              <w:spacing w:before="0" w:after="283"/>
              <w:jc w:val="left"/>
              <w:rPr>
                <w:sz w:val="4"/>
                <w:szCs w:val="4"/>
              </w:rPr>
            </w:pPr>
            <w:r>
              <w:rPr>
                <w:sz w:val="4"/>
                <w:szCs w:val="4"/>
              </w:rPr>
            </w:r>
          </w:p>
        </w:tc>
        <w:tc>
          <w:tcPr>
            <w:tcW w:w="3696" w:type="dxa"/>
            <w:tcBorders/>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 of exhibit</w:t>
            </w:r>
          </w:p>
        </w:tc>
      </w:tr>
      <w:tr>
        <w:trPr/>
        <w:tc>
          <w:tcPr>
            <w:tcW w:w="7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
              <w:r>
                <w:rPr>
                  <w:rStyle w:val="InternetLink"/>
                  <w:rFonts w:ascii="Times New Roman;sans-serif" w:hAnsi="Times New Roman;sans-serif"/>
                  <w:b w:val="false"/>
                  <w:color w:val="000080"/>
                  <w:sz w:val="20"/>
                  <w:u w:val="single"/>
                </w:rPr>
                <w:t xml:space="preserve">Articles of Association of the registrant, as currently in effect </w:t>
              </w:r>
            </w:hyperlink>
            <w:hyperlink r:id="rId3">
              <w:r>
                <w:rPr>
                  <w:rStyle w:val="InternetLink"/>
                  <w:rFonts w:ascii="Times New Roman;sans-serif" w:hAnsi="Times New Roman;sans-serif"/>
                  <w:b w:val="false"/>
                  <w:color w:val="000080"/>
                  <w:sz w:val="20"/>
                  <w:u w:val="single"/>
                </w:rPr>
                <w:t>(incorporated by reference to Exhibit 3.1 to the Registrant’s Current Report on Form 8-K filed on October 6, 2022 (File No. 001-40445)).</w:t>
              </w:r>
            </w:hyperlink>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Times New Roman;sans-serif" w:hAnsi="Times New Roman;sans-serif"/>
                  <w:b w:val="false"/>
                  <w:color w:val="000080"/>
                  <w:sz w:val="20"/>
                  <w:u w:val="single"/>
                </w:rPr>
                <w:t xml:space="preserve">Form of Deposit Agreement </w:t>
              </w:r>
            </w:hyperlink>
            <w:hyperlink r:id="rId5">
              <w:r>
                <w:rPr>
                  <w:rStyle w:val="InternetLink"/>
                  <w:rFonts w:ascii="Times New Roman;sans-serif" w:hAnsi="Times New Roman;sans-serif"/>
                  <w:b w:val="false"/>
                  <w:color w:val="000080"/>
                  <w:sz w:val="20"/>
                  <w:u w:val="single"/>
                </w:rPr>
                <w:t>(incorporated by reference to Exhibit 4.1 to the Registrant’s Registration Statement on Form S-1 (File No. 333-255393)).</w:t>
              </w:r>
            </w:hyperlink>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
              <w:r>
                <w:rPr>
                  <w:rStyle w:val="InternetLink"/>
                  <w:rFonts w:ascii="Times New Roman;sans-serif" w:hAnsi="Times New Roman;sans-serif"/>
                  <w:b w:val="false"/>
                  <w:color w:val="000080"/>
                  <w:sz w:val="20"/>
                  <w:u w:val="single"/>
                </w:rPr>
                <w:t xml:space="preserve">Form of American Depositary Receipt (included in Exhibit 4.1) </w:t>
              </w:r>
            </w:hyperlink>
            <w:hyperlink r:id="rId7">
              <w:r>
                <w:rPr>
                  <w:rStyle w:val="InternetLink"/>
                  <w:rFonts w:ascii="Times New Roman;sans-serif" w:hAnsi="Times New Roman;sans-serif"/>
                  <w:b w:val="false"/>
                  <w:color w:val="000080"/>
                  <w:sz w:val="20"/>
                  <w:u w:val="single"/>
                </w:rPr>
                <w:t>(incorporated by reference to Exhibit 4.2 to the Registrant’s Registration Statement on Form S-1 (File No. 333-255393)).</w:t>
              </w:r>
            </w:hyperlink>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20240331exhibit311.htm">
              <w:r>
                <w:rPr>
                  <w:rStyle w:val="InternetLink"/>
                  <w:rFonts w:ascii="Times New Roman;sans-serif" w:hAnsi="Times New Roman;sans-serif"/>
                  <w:b w:val="false"/>
                  <w:color w:val="0000FF"/>
                  <w:sz w:val="20"/>
                  <w:u w:val="single"/>
                </w:rPr>
                <w:t>Certification of Principal Executive Officer Pursuant to Rules 13a-14(a) and 15d-14(a) under the Securities Exchange Act of 1934, as Adopted Pursuant to Section 302 of the Sarbanes-Oxley Act of 2002.</w:t>
              </w:r>
            </w:hyperlink>
            <w:r>
              <w:rPr>
                <w:color w:val="000000"/>
              </w:rPr>
              <w:t xml:space="preserve"> </w:t>
            </w:r>
            <w:r>
              <w:rPr>
                <w:rFonts w:ascii="Times New Roman;sans-serif" w:hAnsi="Times New Roman;sans-serif"/>
                <w:b w:val="false"/>
                <w:color w:val="000000"/>
                <w:sz w:val="20"/>
              </w:rPr>
              <w:t>(1)</w:t>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20240331exhibit312.htm">
              <w:r>
                <w:rPr>
                  <w:rStyle w:val="InternetLink"/>
                  <w:rFonts w:ascii="Times New Roman;sans-serif" w:hAnsi="Times New Roman;sans-serif"/>
                  <w:b w:val="false"/>
                  <w:color w:val="0000FF"/>
                  <w:sz w:val="20"/>
                  <w:u w:val="single"/>
                </w:rPr>
                <w:t>Certification of Principal Financial Officer Pursuant to Rules 13a-14(a) and 15d-14(a) under the Securities Exchange Act of 1934, as Adopted Pursuant to Section 302 of the Sarbanes-Oxley Act of 2002.</w:t>
              </w:r>
            </w:hyperlink>
            <w:r>
              <w:rPr>
                <w:color w:val="000000"/>
              </w:rPr>
              <w:t xml:space="preserve"> </w:t>
            </w:r>
            <w:r>
              <w:rPr>
                <w:rFonts w:ascii="Times New Roman;sans-serif" w:hAnsi="Times New Roman;sans-serif"/>
                <w:b w:val="false"/>
                <w:color w:val="000000"/>
                <w:sz w:val="20"/>
              </w:rPr>
              <w:t>(1)</w:t>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5"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a20240331exhibit321.htm">
              <w:r>
                <w:rPr>
                  <w:rStyle w:val="InternetLink"/>
                  <w:rFonts w:ascii="Times New Roman;sans-serif" w:hAnsi="Times New Roman;sans-serif"/>
                  <w:b w:val="false"/>
                  <w:color w:val="0000FF"/>
                  <w:sz w:val="20"/>
                  <w:u w:val="single"/>
                </w:rPr>
                <w:t>Certification of Principal Executive Officer Pursuant to 18 U.S.C. Section 1350, as Adopted Pursuant to Section 906 of the Sarbanes-Oxley Act of 2002.</w:t>
              </w:r>
            </w:hyperlink>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5"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a20240331exhibit322.htm">
              <w:r>
                <w:rPr>
                  <w:rStyle w:val="InternetLink"/>
                  <w:rFonts w:ascii="Times New Roman;sans-serif" w:hAnsi="Times New Roman;sans-serif"/>
                  <w:b w:val="false"/>
                  <w:color w:val="0000FF"/>
                  <w:sz w:val="20"/>
                  <w:u w:val="single"/>
                </w:rPr>
                <w:t>Certification of Principal Executive Officer Pursuant to 18 U.S.C. Section 1350, as Adopted Pursuant to Section 906 of the Sarbanes-Oxley Act of 2002.</w:t>
              </w:r>
            </w:hyperlink>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 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5"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Instance Document</w:t>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 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5"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Taxonomy Extension Schema Document</w:t>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 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5"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Taxonomy Extension Calculation Document</w:t>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 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5"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Taxonomy Extension Definition Linkbase Document</w:t>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 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5"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Taxonomy Extension Labels Linkbase Document</w:t>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 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5"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Taxonomy Extension Presentation Link Document</w:t>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5"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with applicable taxonomy extension information contained in Exhibit 101.)</w:t>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(1) Filed herewith</w:t>
      </w:r>
    </w:p>
    <w:tbl>
      <w:tblPr>
        <w:tblW w:w="10205" w:type="dxa"/>
        <w:jc w:val="left"/>
        <w:tblInd w:w="0" w:type="dxa"/>
        <w:tblLayout w:type="fixed"/>
        <w:tblCellMar>
          <w:top w:w="28" w:type="dxa"/>
          <w:left w:w="28" w:type="dxa"/>
          <w:bottom w:w="28" w:type="dxa"/>
          <w:right w:w="28" w:type="dxa"/>
        </w:tblCellMar>
      </w:tblPr>
      <w:tblGrid>
        <w:gridCol w:w="124"/>
        <w:gridCol w:w="109"/>
        <w:gridCol w:w="109"/>
        <w:gridCol w:w="3160"/>
        <w:gridCol w:w="3160"/>
        <w:gridCol w:w="3169"/>
        <w:gridCol w:w="109"/>
        <w:gridCol w:w="109"/>
        <w:gridCol w:w="1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0" w:type="dxa"/>
            <w:tcBorders/>
            <w:vAlign w:val="center"/>
          </w:tcPr>
          <w:p>
            <w:pPr>
              <w:pStyle w:val="TableContents"/>
              <w:bidi w:val="0"/>
              <w:spacing w:before="0" w:after="283"/>
              <w:jc w:val="left"/>
              <w:rPr>
                <w:sz w:val="4"/>
                <w:szCs w:val="4"/>
              </w:rPr>
            </w:pPr>
            <w:r>
              <w:rPr>
                <w:sz w:val="4"/>
                <w:szCs w:val="4"/>
              </w:rPr>
            </w:r>
          </w:p>
        </w:tc>
        <w:tc>
          <w:tcPr>
            <w:tcW w:w="3160" w:type="dxa"/>
            <w:tcBorders/>
            <w:vAlign w:val="center"/>
          </w:tcPr>
          <w:p>
            <w:pPr>
              <w:pStyle w:val="TableContents"/>
              <w:bidi w:val="0"/>
              <w:spacing w:before="0" w:after="283"/>
              <w:jc w:val="left"/>
              <w:rPr>
                <w:sz w:val="4"/>
                <w:szCs w:val="4"/>
              </w:rPr>
            </w:pPr>
            <w:r>
              <w:rPr>
                <w:sz w:val="4"/>
                <w:szCs w:val="4"/>
              </w:rPr>
            </w:r>
          </w:p>
        </w:tc>
        <w:tc>
          <w:tcPr>
            <w:tcW w:w="3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9"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This certification will not be deemed “filed” for purposes of Section 18 of the Securities Exchange Act of 1934, as amended (the “Exchange Act”), or otherwise subject to the liability of that section. Such certification will not be deemed to be incorporated by reference into any filing under the Securities Act of 1933, as amended, or the Exchange Act, except to the extent specifically incorporated by reference into such filing.</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36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4"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8384" w:type="dxa"/>
        <w:jc w:val="left"/>
        <w:tblInd w:w="0" w:type="dxa"/>
        <w:tblLayout w:type="fixed"/>
        <w:tblCellMar>
          <w:top w:w="28" w:type="dxa"/>
          <w:left w:w="28" w:type="dxa"/>
          <w:bottom w:w="28" w:type="dxa"/>
          <w:right w:w="28" w:type="dxa"/>
        </w:tblCellMar>
      </w:tblPr>
      <w:tblGrid>
        <w:gridCol w:w="629"/>
        <w:gridCol w:w="554"/>
        <w:gridCol w:w="557"/>
        <w:gridCol w:w="565"/>
        <w:gridCol w:w="565"/>
        <w:gridCol w:w="565"/>
        <w:gridCol w:w="1447"/>
        <w:gridCol w:w="1447"/>
        <w:gridCol w:w="2055"/>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2055"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6"/>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0"/>
              </w:rPr>
            </w:pPr>
            <w:r>
              <w:rPr>
                <w:rFonts w:ascii="Times New Roman;sans-serif" w:hAnsi="Times New Roman;sans-serif"/>
                <w:b/>
                <w:color w:val="000000"/>
                <w:sz w:val="20"/>
              </w:rPr>
              <w:t>CENTESSA PHARMACEUTICALS PLC</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13, 2024</w:t>
            </w:r>
          </w:p>
        </w:tc>
        <w:tc>
          <w:tcPr>
            <w:tcW w:w="169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94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Saurabh Saha, M.D., Ph.D.</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Saurabh Saha, M.D., Ph.D.</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9"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val="false"/>
                <w:color w:val="000000"/>
                <w:sz w:val="20"/>
              </w:rPr>
              <w:t xml:space="preserve">Title: </w:t>
            </w:r>
            <w:r>
              <w:rPr>
                <w:rFonts w:ascii="Times New Roman;sans-serif" w:hAnsi="Times New Roman;sans-serif"/>
                <w:b w:val="false"/>
                <w:i/>
                <w:color w:val="000000"/>
                <w:sz w:val="20"/>
              </w:rPr>
              <w:t>Chief Executive Officer (Principal Executive Officer)</w:t>
            </w:r>
          </w:p>
        </w:tc>
      </w:tr>
    </w:tbl>
    <w:tbl>
      <w:tblPr>
        <w:tblW w:w="7124" w:type="dxa"/>
        <w:jc w:val="center"/>
        <w:tblInd w:w="0" w:type="dxa"/>
        <w:tblLayout w:type="fixed"/>
        <w:tblCellMar>
          <w:top w:w="28" w:type="dxa"/>
          <w:left w:w="28" w:type="dxa"/>
          <w:bottom w:w="28" w:type="dxa"/>
          <w:right w:w="28" w:type="dxa"/>
        </w:tblCellMar>
      </w:tblPr>
      <w:tblGrid>
        <w:gridCol w:w="629"/>
        <w:gridCol w:w="554"/>
        <w:gridCol w:w="557"/>
        <w:gridCol w:w="134"/>
        <w:gridCol w:w="134"/>
        <w:gridCol w:w="136"/>
        <w:gridCol w:w="1456"/>
        <w:gridCol w:w="1456"/>
        <w:gridCol w:w="2068"/>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13, 2024</w:t>
            </w:r>
          </w:p>
        </w:tc>
        <w:tc>
          <w:tcPr>
            <w:tcW w:w="40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9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Gregory Weinhoff, M.D., M.B.A.</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Gregory Weinhoff, M.D., M.B.A.</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val="false"/>
                <w:color w:val="000000"/>
                <w:sz w:val="20"/>
              </w:rPr>
              <w:t xml:space="preserve">Title: </w:t>
            </w:r>
            <w:r>
              <w:rPr>
                <w:rFonts w:ascii="Times New Roman;sans-serif" w:hAnsi="Times New Roman;sans-serif"/>
                <w:b w:val="false"/>
                <w:i/>
                <w:color w:val="000000"/>
                <w:sz w:val="20"/>
              </w:rPr>
              <w:t>Chief Financial Officer (Principal Financial Officer)</w:t>
            </w:r>
          </w:p>
        </w:tc>
      </w:tr>
    </w:tbl>
    <w:p>
      <w:pPr>
        <w:pStyle w:val="TextBody"/>
        <w:bidi w:val="0"/>
        <w:spacing w:before="240" w:after="283"/>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5"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v:textbox>
                <w10:wrap type="none"/>
              </v:rect>
            </w:pict>
          </mc:Fallback>
        </mc:AlternateContent>
      </w:r>
    </w:p>
    <w:p>
      <w:pPr>
        <w:pStyle w:val="TextBody"/>
        <w:bidi w:val="0"/>
        <w:spacing w:lineRule="auto" w:line="268" w:before="240" w:after="283"/>
        <w:jc w:val="right"/>
        <w:rPr>
          <w:rFonts w:ascii="Arial;sans-serif" w:hAnsi="Arial;sans-serif"/>
          <w:b/>
          <w:color w:val="000000"/>
          <w:sz w:val="20"/>
        </w:rPr>
      </w:pPr>
      <w:r>
        <w:rPr>
          <w:rFonts w:ascii="Arial;sans-serif" w:hAnsi="Arial;sans-serif"/>
          <w:b/>
          <w:color w:val="000000"/>
          <w:sz w:val="20"/>
        </w:rPr>
        <w:t>Exhibit 31.1</w:t>
      </w:r>
    </w:p>
    <w:p>
      <w:pPr>
        <w:pStyle w:val="TextBody"/>
        <w:bidi w:val="0"/>
        <w:spacing w:before="0" w:after="0"/>
        <w:jc w:val="center"/>
        <w:rPr/>
      </w:pPr>
      <w:r>
        <w:rPr/>
      </w:r>
    </w:p>
    <w:p>
      <w:pPr>
        <w:pStyle w:val="TextBody"/>
        <w:bidi w:val="0"/>
        <w:spacing w:lineRule="auto" w:line="268" w:before="0" w:after="0"/>
        <w:jc w:val="center"/>
        <w:rPr>
          <w:rFonts w:ascii="Arial;sans-serif" w:hAnsi="Arial;sans-serif"/>
          <w:b/>
          <w:color w:val="000000"/>
          <w:sz w:val="18"/>
        </w:rPr>
      </w:pPr>
      <w:r>
        <w:rPr>
          <w:rFonts w:ascii="Arial;sans-serif" w:hAnsi="Arial;sans-serif"/>
          <w:b/>
          <w:color w:val="000000"/>
          <w:sz w:val="18"/>
        </w:rPr>
        <w:t>CERTIFICATION PURSUANT TO</w:t>
      </w:r>
    </w:p>
    <w:p>
      <w:pPr>
        <w:pStyle w:val="TextBody"/>
        <w:bidi w:val="0"/>
        <w:spacing w:lineRule="auto" w:line="268" w:before="0" w:after="0"/>
        <w:jc w:val="center"/>
        <w:rPr>
          <w:rFonts w:ascii="Arial;sans-serif" w:hAnsi="Arial;sans-serif"/>
          <w:b/>
          <w:color w:val="000000"/>
          <w:sz w:val="18"/>
        </w:rPr>
      </w:pPr>
      <w:r>
        <w:rPr>
          <w:rFonts w:ascii="Arial;sans-serif" w:hAnsi="Arial;sans-serif"/>
          <w:b/>
          <w:color w:val="000000"/>
          <w:sz w:val="18"/>
        </w:rPr>
        <w:t>RULES 13a-14(a) AND 15d-14(a) UNDER THE SECURITIES EXCHANGE ACT OF 1934,</w:t>
      </w:r>
    </w:p>
    <w:p>
      <w:pPr>
        <w:pStyle w:val="TextBody"/>
        <w:bidi w:val="0"/>
        <w:spacing w:lineRule="auto" w:line="268" w:before="0" w:after="0"/>
        <w:jc w:val="center"/>
        <w:rPr>
          <w:rFonts w:ascii="Arial;sans-serif" w:hAnsi="Arial;sans-serif"/>
          <w:b/>
          <w:color w:val="000000"/>
          <w:sz w:val="18"/>
        </w:rPr>
      </w:pPr>
      <w:r>
        <w:rPr>
          <w:rFonts w:ascii="Arial;sans-serif" w:hAnsi="Arial;sans-serif"/>
          <w:b/>
          <w:color w:val="000000"/>
          <w:sz w:val="18"/>
        </w:rPr>
        <w:t>AS ADOPTED PURSUANT TO SECTION 302 OF THE SARBANES-OXLEY ACT OF 2002</w:t>
      </w:r>
    </w:p>
    <w:p>
      <w:pPr>
        <w:pStyle w:val="TextBody"/>
        <w:bidi w:val="0"/>
        <w:spacing w:before="0" w:after="0"/>
        <w:jc w:val="center"/>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I, Saurabh Saha, certify that:</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18"/>
        </w:rPr>
      </w:pPr>
      <w:r>
        <w:rPr>
          <w:rFonts w:ascii="Arial;sans-serif" w:hAnsi="Arial;sans-serif"/>
          <w:b w:val="false"/>
          <w:color w:val="000000"/>
          <w:sz w:val="18"/>
        </w:rPr>
        <w:t>1. I have reviewed this Quarterly Report on Form 10-Q of Centessa Pharmaceuticals plc;</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18"/>
        </w:rPr>
      </w:pPr>
      <w:r>
        <w:rPr>
          <w:rFonts w:ascii="Arial;sans-serif" w:hAnsi="Arial;sans-serif"/>
          <w:b w:val="false"/>
          <w:color w:val="000000"/>
          <w:sz w:val="18"/>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18"/>
        </w:rPr>
      </w:pPr>
      <w:r>
        <w:rPr>
          <w:rFonts w:ascii="Arial;sans-serif" w:hAnsi="Arial;sans-serif"/>
          <w:b w:val="false"/>
          <w:color w:val="000000"/>
          <w:sz w:val="18"/>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18"/>
        </w:rPr>
      </w:pPr>
      <w:r>
        <w:rPr>
          <w:rFonts w:ascii="Arial;sans-serif" w:hAnsi="Arial;sans-serif"/>
          <w:b w:val="false"/>
          <w:color w:val="000000"/>
          <w:sz w:val="18"/>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6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pPr>
      <w:r>
        <w:rPr/>
      </w:r>
    </w:p>
    <w:p>
      <w:pPr>
        <w:pStyle w:val="TextBody"/>
        <w:bidi w:val="0"/>
        <w:spacing w:lineRule="auto" w:line="26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pPr>
      <w:r>
        <w:rPr/>
      </w:r>
    </w:p>
    <w:p>
      <w:pPr>
        <w:pStyle w:val="TextBody"/>
        <w:bidi w:val="0"/>
        <w:spacing w:lineRule="auto" w:line="268" w:before="0" w:after="0"/>
        <w:ind w:left="0" w:right="0" w:firstLine="630"/>
        <w:jc w:val="both"/>
        <w:rPr>
          <w:rFonts w:ascii="Arial;sans-serif" w:hAnsi="Arial;sans-serif"/>
          <w:b w:val="false"/>
          <w:color w:val="000000"/>
          <w:sz w:val="18"/>
        </w:rPr>
      </w:pPr>
      <w:r>
        <w:rPr>
          <w:rFonts w:ascii="Arial;sans-serif" w:hAnsi="Arial;sans-serif"/>
          <w:b w:val="false"/>
          <w:color w:val="000000"/>
          <w:sz w:val="18"/>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6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18"/>
        </w:rPr>
      </w:pPr>
      <w:r>
        <w:rPr>
          <w:rFonts w:ascii="Arial;sans-serif" w:hAnsi="Arial;sans-serif"/>
          <w:b w:val="false"/>
          <w:color w:val="000000"/>
          <w:sz w:val="18"/>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firstLine="720"/>
        <w:jc w:val="both"/>
        <w:rPr>
          <w:rFonts w:ascii="Arial;sans-serif" w:hAnsi="Arial;sans-serif"/>
          <w:b w:val="false"/>
          <w:color w:val="000000"/>
          <w:sz w:val="18"/>
        </w:rPr>
      </w:pPr>
      <w:r>
        <w:rPr>
          <w:rFonts w:ascii="Arial;sans-serif" w:hAnsi="Arial;sans-serif"/>
          <w:b w:val="false"/>
          <w:color w:val="000000"/>
          <w:sz w:val="18"/>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pPr>
      <w:r>
        <w:rPr/>
      </w:r>
    </w:p>
    <w:p>
      <w:pPr>
        <w:pStyle w:val="TextBody"/>
        <w:bidi w:val="0"/>
        <w:spacing w:lineRule="auto" w:line="26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(b) Any fraud, whether or not material, that involves management or other employees who have a significant role in the registrant's internal control over financial reporting.</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tbl>
      <w:tblPr>
        <w:tblW w:w="4499" w:type="dxa"/>
        <w:jc w:val="left"/>
        <w:tblInd w:w="0" w:type="dxa"/>
        <w:tblLayout w:type="fixed"/>
        <w:tblCellMar>
          <w:top w:w="28" w:type="dxa"/>
          <w:left w:w="28" w:type="dxa"/>
          <w:bottom w:w="28" w:type="dxa"/>
          <w:right w:w="28" w:type="dxa"/>
        </w:tblCellMar>
      </w:tblPr>
      <w:tblGrid>
        <w:gridCol w:w="618"/>
        <w:gridCol w:w="544"/>
        <w:gridCol w:w="547"/>
        <w:gridCol w:w="120"/>
        <w:gridCol w:w="120"/>
        <w:gridCol w:w="120"/>
        <w:gridCol w:w="709"/>
        <w:gridCol w:w="709"/>
        <w:gridCol w:w="1012"/>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Date: May 13, 2024</w:t>
            </w:r>
          </w:p>
        </w:tc>
        <w:tc>
          <w:tcPr>
            <w:tcW w:w="36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By:</w:t>
            </w:r>
          </w:p>
        </w:tc>
        <w:tc>
          <w:tcPr>
            <w:tcW w:w="243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/s/ Saurabh Saha</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8"/>
              </w:rPr>
            </w:pPr>
            <w:r>
              <w:rPr>
                <w:rFonts w:ascii="Arial;sans-serif" w:hAnsi="Arial;sans-serif"/>
                <w:b/>
                <w:color w:val="000000"/>
                <w:sz w:val="18"/>
              </w:rPr>
              <w:t>Saurabh Saha</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18"/>
              </w:rPr>
            </w:pPr>
            <w:r>
              <w:rPr>
                <w:rFonts w:ascii="Arial;sans-serif" w:hAnsi="Arial;sans-serif"/>
                <w:b/>
                <w:color w:val="000000"/>
                <w:sz w:val="18"/>
              </w:rPr>
              <w:t>Chief Executive Officer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color w:val="000000"/>
                <w:sz w:val="18"/>
              </w:rPr>
            </w:pPr>
            <w:r>
              <w:rPr>
                <w:rFonts w:ascii="Arial;sans-serif" w:hAnsi="Arial;sans-serif"/>
                <w:b/>
                <w:color w:val="000000"/>
                <w:sz w:val="18"/>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6"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Arial;sans-serif" w:hAnsi="Arial;sans-serif"/>
          <w:b/>
          <w:color w:val="000000"/>
          <w:sz w:val="20"/>
        </w:rPr>
      </w:pPr>
      <w:r>
        <w:rPr>
          <w:rFonts w:ascii="Arial;sans-serif" w:hAnsi="Arial;sans-serif"/>
          <w:b/>
          <w:color w:val="000000"/>
          <w:sz w:val="20"/>
        </w:rPr>
        <w:t>Exhibit 31.2</w:t>
      </w:r>
    </w:p>
    <w:p>
      <w:pPr>
        <w:pStyle w:val="TextBody"/>
        <w:bidi w:val="0"/>
        <w:spacing w:before="0" w:after="0"/>
        <w:jc w:val="center"/>
        <w:rPr/>
      </w:pPr>
      <w:r>
        <w:rPr/>
      </w:r>
    </w:p>
    <w:p>
      <w:pPr>
        <w:pStyle w:val="TextBody"/>
        <w:bidi w:val="0"/>
        <w:spacing w:lineRule="auto" w:line="268" w:before="0" w:after="0"/>
        <w:jc w:val="center"/>
        <w:rPr>
          <w:rFonts w:ascii="Arial;sans-serif" w:hAnsi="Arial;sans-serif"/>
          <w:b/>
          <w:color w:val="000000"/>
          <w:sz w:val="18"/>
        </w:rPr>
      </w:pPr>
      <w:r>
        <w:rPr>
          <w:rFonts w:ascii="Arial;sans-serif" w:hAnsi="Arial;sans-serif"/>
          <w:b/>
          <w:color w:val="000000"/>
          <w:sz w:val="18"/>
        </w:rPr>
        <w:t>CERTIFICATION PURSUANT TO</w:t>
      </w:r>
    </w:p>
    <w:p>
      <w:pPr>
        <w:pStyle w:val="TextBody"/>
        <w:bidi w:val="0"/>
        <w:spacing w:lineRule="auto" w:line="268" w:before="0" w:after="0"/>
        <w:jc w:val="center"/>
        <w:rPr>
          <w:rFonts w:ascii="Arial;sans-serif" w:hAnsi="Arial;sans-serif"/>
          <w:b/>
          <w:color w:val="000000"/>
          <w:sz w:val="18"/>
        </w:rPr>
      </w:pPr>
      <w:r>
        <w:rPr>
          <w:rFonts w:ascii="Arial;sans-serif" w:hAnsi="Arial;sans-serif"/>
          <w:b/>
          <w:color w:val="000000"/>
          <w:sz w:val="18"/>
        </w:rPr>
        <w:t>RULES 13a-14(a) AND 15d-14(a) UNDER THE SECURITIES EXCHANGE ACT OF 1934,</w:t>
      </w:r>
    </w:p>
    <w:p>
      <w:pPr>
        <w:pStyle w:val="TextBody"/>
        <w:bidi w:val="0"/>
        <w:spacing w:lineRule="auto" w:line="268" w:before="0" w:after="0"/>
        <w:jc w:val="center"/>
        <w:rPr>
          <w:rFonts w:ascii="Arial;sans-serif" w:hAnsi="Arial;sans-serif"/>
          <w:b/>
          <w:color w:val="000000"/>
          <w:sz w:val="18"/>
        </w:rPr>
      </w:pPr>
      <w:r>
        <w:rPr>
          <w:rFonts w:ascii="Arial;sans-serif" w:hAnsi="Arial;sans-serif"/>
          <w:b/>
          <w:color w:val="000000"/>
          <w:sz w:val="18"/>
        </w:rPr>
        <w:t>AS ADOPTED PURSUANT TO SECTION 302 OF THE SARBANES-OXLEY ACT OF 2002</w:t>
      </w:r>
    </w:p>
    <w:p>
      <w:pPr>
        <w:pStyle w:val="TextBody"/>
        <w:bidi w:val="0"/>
        <w:spacing w:before="0" w:after="0"/>
        <w:jc w:val="center"/>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I, Gregory Weinhoff, certify that:</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18"/>
        </w:rPr>
      </w:pPr>
      <w:r>
        <w:rPr>
          <w:rFonts w:ascii="Arial;sans-serif" w:hAnsi="Arial;sans-serif"/>
          <w:b w:val="false"/>
          <w:color w:val="000000"/>
          <w:sz w:val="18"/>
        </w:rPr>
        <w:t>1. I have reviewed this Quarterly Report on Form 10-Q of Centessa Pharmaceuticals plc;</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18"/>
        </w:rPr>
      </w:pPr>
      <w:r>
        <w:rPr>
          <w:rFonts w:ascii="Arial;sans-serif" w:hAnsi="Arial;sans-serif"/>
          <w:b w:val="false"/>
          <w:color w:val="000000"/>
          <w:sz w:val="18"/>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18"/>
        </w:rPr>
      </w:pPr>
      <w:r>
        <w:rPr>
          <w:rFonts w:ascii="Arial;sans-serif" w:hAnsi="Arial;sans-serif"/>
          <w:b w:val="false"/>
          <w:color w:val="000000"/>
          <w:sz w:val="18"/>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18"/>
        </w:rPr>
      </w:pPr>
      <w:r>
        <w:rPr>
          <w:rFonts w:ascii="Arial;sans-serif" w:hAnsi="Arial;sans-serif"/>
          <w:b w:val="false"/>
          <w:color w:val="000000"/>
          <w:sz w:val="18"/>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6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pPr>
      <w:r>
        <w:rPr/>
      </w:r>
    </w:p>
    <w:p>
      <w:pPr>
        <w:pStyle w:val="TextBody"/>
        <w:bidi w:val="0"/>
        <w:spacing w:lineRule="auto" w:line="26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pPr>
      <w:r>
        <w:rPr/>
      </w:r>
    </w:p>
    <w:p>
      <w:pPr>
        <w:pStyle w:val="TextBody"/>
        <w:bidi w:val="0"/>
        <w:spacing w:lineRule="auto" w:line="268" w:before="0" w:after="0"/>
        <w:ind w:left="0" w:right="0" w:firstLine="630"/>
        <w:jc w:val="both"/>
        <w:rPr>
          <w:rFonts w:ascii="Arial;sans-serif" w:hAnsi="Arial;sans-serif"/>
          <w:b w:val="false"/>
          <w:color w:val="000000"/>
          <w:sz w:val="18"/>
        </w:rPr>
      </w:pPr>
      <w:r>
        <w:rPr>
          <w:rFonts w:ascii="Arial;sans-serif" w:hAnsi="Arial;sans-serif"/>
          <w:b w:val="false"/>
          <w:color w:val="000000"/>
          <w:sz w:val="18"/>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6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18"/>
        </w:rPr>
      </w:pPr>
      <w:r>
        <w:rPr>
          <w:rFonts w:ascii="Arial;sans-serif" w:hAnsi="Arial;sans-serif"/>
          <w:b w:val="false"/>
          <w:color w:val="000000"/>
          <w:sz w:val="18"/>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firstLine="720"/>
        <w:jc w:val="both"/>
        <w:rPr>
          <w:rFonts w:ascii="Arial;sans-serif" w:hAnsi="Arial;sans-serif"/>
          <w:b w:val="false"/>
          <w:color w:val="000000"/>
          <w:sz w:val="18"/>
        </w:rPr>
      </w:pPr>
      <w:r>
        <w:rPr>
          <w:rFonts w:ascii="Arial;sans-serif" w:hAnsi="Arial;sans-serif"/>
          <w:b w:val="false"/>
          <w:color w:val="000000"/>
          <w:sz w:val="18"/>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pPr>
      <w:r>
        <w:rPr/>
      </w:r>
    </w:p>
    <w:p>
      <w:pPr>
        <w:pStyle w:val="TextBody"/>
        <w:bidi w:val="0"/>
        <w:spacing w:lineRule="auto" w:line="26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(b) 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4409" w:type="dxa"/>
        <w:jc w:val="left"/>
        <w:tblInd w:w="0" w:type="dxa"/>
        <w:tblLayout w:type="fixed"/>
        <w:tblCellMar>
          <w:top w:w="28" w:type="dxa"/>
          <w:left w:w="28" w:type="dxa"/>
          <w:bottom w:w="28" w:type="dxa"/>
          <w:right w:w="28" w:type="dxa"/>
        </w:tblCellMar>
      </w:tblPr>
      <w:tblGrid>
        <w:gridCol w:w="618"/>
        <w:gridCol w:w="544"/>
        <w:gridCol w:w="547"/>
        <w:gridCol w:w="120"/>
        <w:gridCol w:w="120"/>
        <w:gridCol w:w="120"/>
        <w:gridCol w:w="685"/>
        <w:gridCol w:w="685"/>
        <w:gridCol w:w="970"/>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Date: May 13, 2024</w:t>
            </w:r>
          </w:p>
        </w:tc>
        <w:tc>
          <w:tcPr>
            <w:tcW w:w="36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By:</w:t>
            </w:r>
          </w:p>
        </w:tc>
        <w:tc>
          <w:tcPr>
            <w:tcW w:w="234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/s/ Gregory Weinhoff</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Arial;sans-serif" w:hAnsi="Arial;sans-serif"/>
                <w:b/>
                <w:color w:val="000000"/>
                <w:sz w:val="18"/>
              </w:rPr>
            </w:pPr>
            <w:r>
              <w:rPr>
                <w:rFonts w:ascii="Arial;sans-serif" w:hAnsi="Arial;sans-serif"/>
                <w:b/>
                <w:color w:val="000000"/>
                <w:sz w:val="18"/>
              </w:rPr>
              <w:t>Gregory Weinhoff</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18"/>
              </w:rPr>
            </w:pPr>
            <w:r>
              <w:rPr>
                <w:rFonts w:ascii="Arial;sans-serif" w:hAnsi="Arial;sans-serif"/>
                <w:b/>
                <w:color w:val="000000"/>
                <w:sz w:val="18"/>
              </w:rPr>
              <w:t>Chief Financial Officer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color w:val="000000"/>
                <w:sz w:val="18"/>
              </w:rPr>
            </w:pPr>
            <w:r>
              <w:rPr>
                <w:rFonts w:ascii="Arial;sans-serif" w:hAnsi="Arial;sans-serif"/>
                <w:b/>
                <w:color w:val="000000"/>
                <w:sz w:val="18"/>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07"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Arial;sans-serif" w:hAnsi="Arial;sans-serif"/>
          <w:b/>
          <w:color w:val="000000"/>
          <w:sz w:val="20"/>
        </w:rPr>
      </w:pPr>
      <w:r>
        <w:rPr>
          <w:rFonts w:ascii="Arial;sans-serif" w:hAnsi="Arial;sans-serif"/>
          <w:b/>
          <w:color w:val="000000"/>
          <w:sz w:val="20"/>
        </w:rPr>
        <w:t>Exhibit 32.1</w:t>
      </w:r>
    </w:p>
    <w:p>
      <w:pPr>
        <w:pStyle w:val="TextBody"/>
        <w:bidi w:val="0"/>
        <w:spacing w:before="0" w:after="0"/>
        <w:jc w:val="center"/>
        <w:rPr/>
      </w:pPr>
      <w:r>
        <w:rPr/>
      </w:r>
    </w:p>
    <w:p>
      <w:pPr>
        <w:pStyle w:val="TextBody"/>
        <w:bidi w:val="0"/>
        <w:spacing w:lineRule="auto" w:line="268" w:before="0" w:after="0"/>
        <w:jc w:val="center"/>
        <w:rPr>
          <w:rFonts w:ascii="Arial;sans-serif" w:hAnsi="Arial;sans-serif"/>
          <w:b/>
          <w:color w:val="000000"/>
          <w:sz w:val="20"/>
        </w:rPr>
      </w:pPr>
      <w:r>
        <w:rPr>
          <w:rFonts w:ascii="Arial;sans-serif" w:hAnsi="Arial;sans-serif"/>
          <w:b/>
          <w:color w:val="000000"/>
          <w:sz w:val="20"/>
        </w:rPr>
        <w:t>CERTIFICATION PURSUANT TO</w:t>
      </w:r>
    </w:p>
    <w:p>
      <w:pPr>
        <w:pStyle w:val="TextBody"/>
        <w:bidi w:val="0"/>
        <w:spacing w:lineRule="auto" w:line="268" w:before="0" w:after="0"/>
        <w:jc w:val="center"/>
        <w:rPr>
          <w:rFonts w:ascii="Arial;sans-serif" w:hAnsi="Arial;sans-serif"/>
          <w:b/>
          <w:color w:val="000000"/>
          <w:sz w:val="20"/>
        </w:rPr>
      </w:pPr>
      <w:r>
        <w:rPr>
          <w:rFonts w:ascii="Arial;sans-serif" w:hAnsi="Arial;sans-serif"/>
          <w:b/>
          <w:color w:val="000000"/>
          <w:sz w:val="20"/>
        </w:rPr>
        <w:t>18 U.S.C. SECTION 1350, AS ADOPTED PURSUANT TO</w:t>
      </w:r>
    </w:p>
    <w:p>
      <w:pPr>
        <w:pStyle w:val="TextBody"/>
        <w:bidi w:val="0"/>
        <w:spacing w:lineRule="auto" w:line="268" w:before="0" w:after="0"/>
        <w:jc w:val="center"/>
        <w:rPr>
          <w:rFonts w:ascii="Arial;sans-serif" w:hAnsi="Arial;sans-serif"/>
          <w:b/>
          <w:color w:val="000000"/>
          <w:sz w:val="20"/>
        </w:rPr>
      </w:pPr>
      <w:r>
        <w:rPr>
          <w:rFonts w:ascii="Arial;sans-serif" w:hAnsi="Arial;sans-serif"/>
          <w:b/>
          <w:color w:val="000000"/>
          <w:sz w:val="20"/>
        </w:rPr>
        <w:t>SECTION 906 OF THE SARBANES-OXLEY ACT OF 2002</w:t>
      </w:r>
    </w:p>
    <w:p>
      <w:pPr>
        <w:pStyle w:val="TextBody"/>
        <w:bidi w:val="0"/>
        <w:spacing w:before="0" w:after="0"/>
        <w:jc w:val="center"/>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In connection with the Quarterly Report of Centessa Pharmaceuticals plc (the “Company”) on Form 10-Q for the period ended March 31, 2024 as filed with the Securities and Exchange Commission on the date hereof (the “Report”), I certify, pursuant to 18 U.S.C. § 1350, as adopted pursuant to § 906 of the Sarbanes-Oxley Act of 2002, that to the best of my knowledge:</w:t>
      </w:r>
    </w:p>
    <w:p>
      <w:pPr>
        <w:pStyle w:val="TextBody"/>
        <w:bidi w:val="0"/>
        <w:spacing w:before="0" w:after="0"/>
        <w:jc w:val="both"/>
        <w:rPr/>
      </w:pPr>
      <w:r>
        <w:rPr/>
      </w:r>
    </w:p>
    <w:p>
      <w:pPr>
        <w:pStyle w:val="TextBody"/>
        <w:bidi w:val="0"/>
        <w:spacing w:lineRule="auto" w:line="268" w:before="0" w:after="0"/>
        <w:jc w:val="both"/>
        <w:rPr/>
      </w:pPr>
      <w:r>
        <w:rPr>
          <w:rFonts w:ascii="Arial;sans-serif" w:hAnsi="Arial;sans-serif"/>
          <w:b w:val="false"/>
          <w:color w:val="000000"/>
          <w:sz w:val="20"/>
        </w:rPr>
        <w:t>(1)</w:t>
      </w:r>
      <w:r>
        <w:rPr>
          <w:color w:val="000000"/>
        </w:rPr>
        <w:t xml:space="preserve"> </w:t>
      </w:r>
      <w:r>
        <w:rPr>
          <w:rFonts w:ascii="Arial;sans-serif" w:hAnsi="Arial;sans-serif"/>
          <w:b w:val="false"/>
          <w:color w:val="000000"/>
          <w:sz w:val="20"/>
        </w:rPr>
        <w:t>The Report fully complies with the requirements of section 13(a) or 15(d) of the Securities Exchange Act of 1934, as amended; and</w:t>
      </w:r>
    </w:p>
    <w:p>
      <w:pPr>
        <w:pStyle w:val="TextBody"/>
        <w:bidi w:val="0"/>
        <w:spacing w:before="0" w:after="0"/>
        <w:jc w:val="both"/>
        <w:rPr/>
      </w:pPr>
      <w:r>
        <w:rPr/>
      </w:r>
    </w:p>
    <w:p>
      <w:pPr>
        <w:pStyle w:val="TextBody"/>
        <w:bidi w:val="0"/>
        <w:spacing w:lineRule="auto" w:line="268" w:before="0" w:after="0"/>
        <w:jc w:val="both"/>
        <w:rPr/>
      </w:pPr>
      <w:r>
        <w:rPr>
          <w:rFonts w:ascii="Arial;sans-serif" w:hAnsi="Arial;sans-serif"/>
          <w:b w:val="false"/>
          <w:color w:val="000000"/>
          <w:sz w:val="20"/>
        </w:rPr>
        <w:t>(2)</w:t>
      </w:r>
      <w:r>
        <w:rPr>
          <w:color w:val="000000"/>
        </w:rPr>
        <w:t xml:space="preserve"> </w:t>
      </w:r>
      <w:r>
        <w:rPr>
          <w:rFonts w:ascii="Arial;sans-serif" w:hAnsi="Arial;sans-serif"/>
          <w:b w:val="false"/>
          <w:color w:val="000000"/>
          <w:sz w:val="20"/>
        </w:rPr>
        <w:t>The information contained in the Report fairly presents, in all material respects, the financial condition and results of operations of the Company.</w:t>
      </w:r>
    </w:p>
    <w:p>
      <w:pPr>
        <w:pStyle w:val="TextBody"/>
        <w:bidi w:val="0"/>
        <w:spacing w:before="0" w:after="0"/>
        <w:jc w:val="left"/>
        <w:rPr/>
      </w:pPr>
      <w:r>
        <w:rPr/>
      </w:r>
    </w:p>
    <w:tbl>
      <w:tblPr>
        <w:tblW w:w="4619" w:type="dxa"/>
        <w:jc w:val="left"/>
        <w:tblInd w:w="0" w:type="dxa"/>
        <w:tblLayout w:type="fixed"/>
        <w:tblCellMar>
          <w:top w:w="28" w:type="dxa"/>
          <w:left w:w="28" w:type="dxa"/>
          <w:bottom w:w="28" w:type="dxa"/>
          <w:right w:w="28" w:type="dxa"/>
        </w:tblCellMar>
      </w:tblPr>
      <w:tblGrid>
        <w:gridCol w:w="629"/>
        <w:gridCol w:w="554"/>
        <w:gridCol w:w="557"/>
        <w:gridCol w:w="134"/>
        <w:gridCol w:w="134"/>
        <w:gridCol w:w="136"/>
        <w:gridCol w:w="722"/>
        <w:gridCol w:w="722"/>
        <w:gridCol w:w="1031"/>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13, 2024</w:t>
            </w:r>
          </w:p>
        </w:tc>
        <w:tc>
          <w:tcPr>
            <w:tcW w:w="40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47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Saurabh Saha</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Saurabh Saha</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Chief Executive Officer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108"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Arial;sans-serif" w:hAnsi="Arial;sans-serif"/>
          <w:b/>
          <w:color w:val="000000"/>
          <w:sz w:val="20"/>
        </w:rPr>
      </w:pPr>
      <w:r>
        <w:rPr>
          <w:rFonts w:ascii="Arial;sans-serif" w:hAnsi="Arial;sans-serif"/>
          <w:b/>
          <w:color w:val="000000"/>
          <w:sz w:val="20"/>
        </w:rPr>
        <w:t>Exhibit 32.2</w:t>
      </w:r>
    </w:p>
    <w:p>
      <w:pPr>
        <w:pStyle w:val="TextBody"/>
        <w:bidi w:val="0"/>
        <w:spacing w:lineRule="auto" w:line="268" w:before="0" w:after="0"/>
        <w:jc w:val="center"/>
        <w:rPr>
          <w:rFonts w:ascii="Arial;sans-serif" w:hAnsi="Arial;sans-serif"/>
          <w:b/>
          <w:color w:val="000000"/>
          <w:sz w:val="20"/>
        </w:rPr>
      </w:pPr>
      <w:r>
        <w:rPr>
          <w:rFonts w:ascii="Arial;sans-serif" w:hAnsi="Arial;sans-serif"/>
          <w:b/>
          <w:color w:val="000000"/>
          <w:sz w:val="20"/>
        </w:rPr>
        <w:t>CERTIFICATION PURSUANT TO</w:t>
      </w:r>
    </w:p>
    <w:p>
      <w:pPr>
        <w:pStyle w:val="TextBody"/>
        <w:bidi w:val="0"/>
        <w:spacing w:lineRule="auto" w:line="268" w:before="0" w:after="0"/>
        <w:jc w:val="center"/>
        <w:rPr>
          <w:rFonts w:ascii="Arial;sans-serif" w:hAnsi="Arial;sans-serif"/>
          <w:b/>
          <w:color w:val="000000"/>
          <w:sz w:val="20"/>
        </w:rPr>
      </w:pPr>
      <w:r>
        <w:rPr>
          <w:rFonts w:ascii="Arial;sans-serif" w:hAnsi="Arial;sans-serif"/>
          <w:b/>
          <w:color w:val="000000"/>
          <w:sz w:val="20"/>
        </w:rPr>
        <w:t>18 U.S.C. SECTION 1350, AS ADOPTED PURSUANT TO</w:t>
      </w:r>
    </w:p>
    <w:p>
      <w:pPr>
        <w:pStyle w:val="TextBody"/>
        <w:bidi w:val="0"/>
        <w:spacing w:lineRule="auto" w:line="268" w:before="0" w:after="0"/>
        <w:jc w:val="center"/>
        <w:rPr>
          <w:rFonts w:ascii="Arial;sans-serif" w:hAnsi="Arial;sans-serif"/>
          <w:b/>
          <w:color w:val="000000"/>
          <w:sz w:val="20"/>
        </w:rPr>
      </w:pPr>
      <w:r>
        <w:rPr>
          <w:rFonts w:ascii="Arial;sans-serif" w:hAnsi="Arial;sans-serif"/>
          <w:b/>
          <w:color w:val="000000"/>
          <w:sz w:val="20"/>
        </w:rPr>
        <w:t>SECTION 906 OF THE SARBANES-OXLEY ACT OF 2002</w:t>
      </w:r>
    </w:p>
    <w:p>
      <w:pPr>
        <w:pStyle w:val="TextBody"/>
        <w:bidi w:val="0"/>
        <w:spacing w:before="0" w:after="0"/>
        <w:jc w:val="center"/>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In connection with the Quarterly Report of Centessa Pharmaceuticals plc (the “Company”) on Form 10-Q for the period ended March 31, 2024 as filed with the Securities and Exchange Commission on the date hereof (the “Report”), I certify, pursuant to 18 U.S.C. § 1350, as adopted pursuant to § 906 of the Sarbanes-Oxley Act of 2002, that to the best of my knowledge:</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(1) The Report fully complies with the requirements of section 13(a) or 15(d) of the Securities Exchange Act of 1934, as amended; and</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(2) The information contained in the Report fairly presents, in all material respects, the financial condition and results of operations of the Company.</w:t>
      </w:r>
    </w:p>
    <w:p>
      <w:pPr>
        <w:pStyle w:val="TextBody"/>
        <w:bidi w:val="0"/>
        <w:spacing w:before="0" w:after="0"/>
        <w:jc w:val="left"/>
        <w:rPr/>
      </w:pPr>
      <w:r>
        <w:rPr/>
      </w:r>
    </w:p>
    <w:tbl>
      <w:tblPr>
        <w:tblW w:w="4589" w:type="dxa"/>
        <w:jc w:val="left"/>
        <w:tblInd w:w="0" w:type="dxa"/>
        <w:tblLayout w:type="fixed"/>
        <w:tblCellMar>
          <w:top w:w="28" w:type="dxa"/>
          <w:left w:w="28" w:type="dxa"/>
          <w:bottom w:w="28" w:type="dxa"/>
          <w:right w:w="28" w:type="dxa"/>
        </w:tblCellMar>
      </w:tblPr>
      <w:tblGrid>
        <w:gridCol w:w="629"/>
        <w:gridCol w:w="554"/>
        <w:gridCol w:w="557"/>
        <w:gridCol w:w="134"/>
        <w:gridCol w:w="134"/>
        <w:gridCol w:w="136"/>
        <w:gridCol w:w="715"/>
        <w:gridCol w:w="715"/>
        <w:gridCol w:w="1015"/>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13, 2024</w:t>
            </w:r>
          </w:p>
        </w:tc>
        <w:tc>
          <w:tcPr>
            <w:tcW w:w="40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445"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Gregory Weinhoff</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Gregory Weinhoff</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Chief Financial Officer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Principal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09"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47903/000119312522258932/d378676dex31.htm" TargetMode="External"/><Relationship Id="rId3" Type="http://schemas.openxmlformats.org/officeDocument/2006/relationships/hyperlink" Target="https://www.sec.gov/Archives/edgar/data/1847903/000119312522258932/d378676dex31.htm" TargetMode="External"/><Relationship Id="rId4" Type="http://schemas.openxmlformats.org/officeDocument/2006/relationships/hyperlink" Target="https://www.sec.gov/Archives/edgar/data/1847903/000119312521170068/d123754dex41.htm" TargetMode="External"/><Relationship Id="rId5" Type="http://schemas.openxmlformats.org/officeDocument/2006/relationships/hyperlink" Target="https://www.sec.gov/Archives/edgar/data/1847903/000119312521170068/d123754dex41.htm" TargetMode="External"/><Relationship Id="rId6" Type="http://schemas.openxmlformats.org/officeDocument/2006/relationships/hyperlink" Target="https://www.sec.gov/Archives/edgar/data/1847903/000119312521170068/d123754dex41.htm" TargetMode="External"/><Relationship Id="rId7" Type="http://schemas.openxmlformats.org/officeDocument/2006/relationships/hyperlink" Target="https://www.sec.gov/Archives/edgar/data/1847903/000119312521170068/d123754dex41.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77197</Words>
  <Characters>430258</Characters>
  <CharactersWithSpaces>505764</CharactersWithSpaces>
  <Paragraphs>2321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