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13,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Saurabh Saha, M.D., Ph.D.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Dorothy Hodgkin Building Babraham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Campus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Babraham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Kingdom CB22 3FH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Centessa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Pharmaceuticals Ltd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S-1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March 15,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0001847903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Dr. Saha: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submitted March 15,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from the CEO, page i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the extent that this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precedes the Summary, please balance the presentation and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the discussion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asset centricity business model by explaining that you are a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newly incorporated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holding company that has acquired subsidiary companies.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Saurabh Saha, M.D., Ph.D.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LastNameSaurabh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 Saha, M.D., Ph.D.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NameCentessa Pharmaceuticals Ltd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213, 2021 Page 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Overview, page 1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disclosures on pages 19 and 111, please revise page 1 of the Summary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clarify that Centessa only recently commenced operations after simultaneously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acquiring 100% equity interests in ten pre-revenue development-stage biotechnology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in January 2021. The Summary disclosure should also explain, if true,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were formed by Medicxi and that each of the Centessa Subsidiaries was in Medicxi 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 at the time of the acquisition.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Summary, where appropriate, to discuss how the ten</w:t>
      </w:r>
    </w:p>
    <w:p>
      <w:pPr>
        <w:sectPr>
          <w:pgSz w:w="11900" w:h="1684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 were selected for acquisition. In this regard, it should be clear whether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Medicxi determined which of its portfolio companies would be part of the new company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which ones would not. To the extent that Medicxi did not control these subsidiary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companies, please clarify whether arms-length negotiations were conducted with each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Subsidiary and whether negotiations were conducted with other current 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former Medicxi portfolio companies.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the graphic on page 2. With reference to comments 2 and 3 above, please tell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the basis for your claim that your model attracts validated assets and subject matter</w:t>
      </w:r>
    </w:p>
    <w:p>
      <w:pPr>
        <w:ind w:left="960"/>
        <w:spacing w:after="0"/>
        <w:tabs>
          <w:tab w:leader="none" w:pos="3980" w:val="left"/>
          <w:tab w:leader="none" w:pos="5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experts. Clarify the term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validated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in the paragraphs preceding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graphic. Also, tell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 why you show seven new companies in the future graphic as opposed to a different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 that founder-subject matter experts will be directly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incentivized and appropriately supported to develop and bring medicines to market. We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2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note your disclosure that your focus on data-driven decision-making is aimed 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enabling you to embrace and implement a "fail fast, and fail early" philosophy to close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programs expeditiously when data dictates. Please provide additional disclosure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how you will incentivize the founder-subject matter experts to develop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bring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medicines to market and/or to "fail fast, and fail early."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a February 16, 2021 Financial Times article which quotes your former Chief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Scientific Officer and reports that your scientists hold shares in their unit and the overall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umbrella company, and will leave if their project fails. Accordingly, please tell us,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revise, as applicable, to discuss whether your founder-subject matter experts and others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equity stakes in the Centessa Subsidiaries or whether these subsidiaries are wholly-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by the parent.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remove the reference on page 3 to "first-in-class" as this statement implies an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expectation of regulatory approval and is inappropriate given the stage of development for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programs.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 127, please clarify in the pipeline table or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jc w:val="center"/>
        <w:ind w:right="727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Saurabh Saha, M.D., Ph.D. FirstName   LastNameSaurabh</w:t>
      </w:r>
    </w:p>
    <w:p>
      <w:pPr>
        <w:ind w:right="5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 Saha, M.D., Ph.D. Comapany</w:t>
      </w:r>
    </w:p>
    <w:p>
      <w:pPr>
        <w:spacing w:after="0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NameCentessa Pharmaceuticals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313, 2021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text immediately below it that the Phase 3 Alert study for lixivaptan is not a registrational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 and that lixivaptan requires additional clinical studies prior to submission of an NDA.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also make similar revisions for the table on page 152.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PearlRiver Bio has one preclinical program that is an "undisclosed" next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generation EFGR inhibitor. Please explain to us why this program is sufficiently material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your business to warrant inclusion in your pipeline table or revise your table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a brief narrative description of the significance of the validation legend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pipeline table. In particular, please disclose what is meant by "precedented human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activity" and "human genetics."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Operating Model, page 5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15 indicating that Centessa Subsidiaries have their own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boards of directors and that conflicts of interest may result from a corporate structure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there are boards of directors at the parent and subsidiary levels. Given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on page 98 that each Centessa Subsidiary is wholly-owned by the Centessa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parent entity, please explain why the Centessa Subsidiaries are retaining separate boards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directors. Explain the duties and function of these subsidiary boards, including what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boards can do in the the event that they disagree with the sufficiency of resources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provided by the parent or otherwise disagree with parent decisions concerning how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subsidiary operates. Prospectus Summary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Financial Data, page 12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include the condensed historical predecessor and successor financial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statements as of and for the periods ended December 31, 2020 and December 31, 2019.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Alternatively, please tell us why you did not include this summary historical financial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label your "Unaudited pro forma condensed combined balance sheet data"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of December 31, 2020 as "condensed combined balance sheet data" as of December 31,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 since this financial information contains successor historical condensed combined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data as well as pro forma balance sheet data. Risk Factors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officers currently serve, and in the future may serve, as directors or officers of our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Subsidiaries..., page 17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identify any additional officers who are also directors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officers of your subsidiaries and the subsidiaries on which they serve.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clarify whether officers who serve as directors and/or officers of subsidiaries also receive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339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compensation for serving in such capacities. Saurabh Saha, M.D., Ph.D.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 April 13,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Third-party claims of intellectual property infringement, misappropriation or other violations,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44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are aware of an opposition proceeding at the EPO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brought by European Oppositions Limited against an EP patent owned by the La Jolla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Institute of Allergy and Immunology. Please revise to clarify whether this opposition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proceeding relates to one of the issued patents licensed to Capella. If so, please also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3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such disclosure on page 235. Use of Proceeds, page 97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provide separate estimates for each of the three candidates identified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first bullet point and clarify whether the net proceeds from this offering will allow you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complete the clinical trials you identify.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 Capital Reorganization and Re-registration, page 99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here, or elsewhere, as appropriate, to describe the materials terms of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contribution agreement. Also, file these agreements as exhibits pursuant to Regulation S-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K, Item 601.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Condensed Combined Financial Information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3" w:name="page4"/>
    <w:bookmarkEnd w:id="3"/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3. Estimated consideration and preliminary purchase price allocation., page 112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determined the fair value of the 89,516,188 ordinary shares issued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 of this transaction to be $2.92 per share utilizing the recent transaction method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then used the option pricing method to allocate the fair value to the ordinary shares.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your filing to disclose in more detail the underlying assumptions utilized in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method and option pricing method including the discount factor for lack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marketability and how these assumptions were derived.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determined that the fair value of the contingent value rights issued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Palladio shareholders was $22.7 million and that you applied a cumulative probability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achieving the specified milestone and applied it to the potential payout, which is currently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expected during the first quarter of 2022. Please revise to disclose in more detail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underlying assumptions utilized in this method and how these assumptions were derived.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Funding Requirements, page 121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737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risk factor disclosure at the bottom of page 15, please revise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LastNameSaurabh Saha, M.D., Ph.D.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in greater detail the costs and timeline involved in building out the larger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NameCentessa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organization.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Pharmaceuticals</w:t>
      </w:r>
    </w:p>
    <w:p>
      <w:pPr>
        <w:ind w:left="242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Ltdto clarify whether you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presently have the funds</w:t>
      </w:r>
    </w:p>
    <w:p>
      <w:pPr>
        <w:ind w:left="38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necessary</w:t>
      </w:r>
    </w:p>
    <w:p>
      <w:pPr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13,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do</w:t>
      </w:r>
    </w:p>
    <w:p>
      <w:pPr>
        <w:ind w:left="1060"/>
        <w:spacing w:after="0"/>
        <w:tabs>
          <w:tab w:leader="none" w:pos="2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 Page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4 so.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Saurabh Saha, M.D., Ph.D.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LastNameSaurabh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 Saha, M.D., Ph.D.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7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NameCentessa Pharmaceuticals Ltd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13, 2021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513, 2021 Page 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Limited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Contractual Obligations and Other Commitments, page 123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confirm whether the CVRs will be triggered when Palladio initiates its ACTION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Study, which you disclose is expected to commence by the first quarter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2022.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59"/>
        <w:spacing w:after="0" w:line="27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Centessa Pharmaceuticals Limited Critical Accounting Policies Share-Based Compensation, page 123</w:t>
      </w:r>
    </w:p>
    <w:p>
      <w:pPr>
        <w:spacing w:after="0" w:line="17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IPO and the estimated offering price. This information will help facilitate 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review of your accounting for equity issuances, including stock compensation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beneficial conversion features. Please discuss with the staff how to submit your response.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Licensing Arrangements, page 127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the description of the Morphogen-IX License Agreement to disclose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annual licensing fee, royalty term, and termination provisions.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4" w:name="page5"/>
    <w:bookmarkEnd w:id="4"/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 of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Predecessor Group and ...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 Operations, page 133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Given the importance of your research and development expenses to your operations,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discussion here and on pages 135 and 136 to provide a break-out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projects for your research and development expenses incurred during each period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Pipeline, page 151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extent not already disclosed, please disclose when each of your subsidiaries was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6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founded and where its operations are based. Pega-One, page 178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any of the adverse events observed in the imgatuzumab clinical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trials constituted a serious adverse event, and, if so, indicate whether such event was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deemed treatment related.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disclosure in this section describes Roche's development work 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imgatuzumab. Please revise to disclose Pega-One's business activities since acquiring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105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Saurabh Saha, M.D., Ph.D. Centessa Pharmaceuticals Ltd April 13, 2021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6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5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imgatuzumab license in April 2020, including any research and development efforts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179" w:firstLine="948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undertaken to date. Z Factor Limited, page 185</w:t>
      </w:r>
    </w:p>
    <w:p>
      <w:pPr>
        <w:spacing w:after="0" w:line="16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ZF887 is highlighted in your Summary pipeline table 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Accordingly, please expand your disclosure regarding ZF887 to describe in more detail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research done to date and additional development plans for the near-term future.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Capella Bioscience Ltd., page 195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202 that Capella seeks to "rapidly" develop CBS004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SSc with a novel clinical design strategy, followed by SLE and CLE. Please revise this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to remove any implication that you will be successful in commercializing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candidates in a rapid or accelerated manner as such statements are speculative.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Intellectual Property and License Agreements, page 231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for certain of your subsidaries' patent portfolios, you disclose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portfolios include claims directed to the subsidaries' disclosed product candidates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preclinical assets, but do not clarify whether the issued U.S. and foreign patents relate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product candidates and programs. Please revise your disclosure to clarify whether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of your issued patents include claims directed to your disclosed product candidates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preclinical assets and, to the extent not already disclosed, please disclose the type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protection you have (e.g., composition of matter, method, or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regarding Pega-One's license agreement with Roche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the aggregate payments due upon meeting certain milestones. Please also clarify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Centessa's initial public offering would trigger the issuance of equity to Roche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and, if so, the terms of such issuance.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on page 17 indicating that each of the Centessa Subsidiaries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licenses intellectual property from third parties. Please revise to disclose the terms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license and collaboration agreement for the following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0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subsidiaries, or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advise: Capella Bioscience, LockBody, Orexia Therapeutics, PearlRiver Bio, and Janpix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659" w:firstLine="8"/>
        <w:spacing w:after="0" w:line="235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refer to your disclosure on page 29 that "all of your current programs are in-licensed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third parties." Please confirm that where you describe certain patent portfolios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17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"owned," that these are not licensed intellectual property. FirstName LastNameSaurabh Saha, M.D., Ph.D.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35" w:lineRule="auto"/>
        <w:tabs>
          <w:tab w:leader="none" w:pos="737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reference to your disclosure on pages 46 and 48 regarding opposition proceedings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NameCentessa</w:t>
      </w: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against</w:t>
      </w:r>
      <w:r>
        <w:rPr>
          <w:rFonts w:ascii="Courier New" w:cs="Courier New" w:eastAsia="Courier New" w:hAnsi="Courier New"/>
          <w:sz w:val="16"/>
          <w:szCs w:val="16"/>
          <w:color w:val="auto"/>
        </w:rPr>
        <w:t>Pharmaceuticals</w:t>
      </w:r>
    </w:p>
    <w:p>
      <w:pPr>
        <w:ind w:left="158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certain patents,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Ltd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disclose here any contested proceedings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third party</w:t>
      </w:r>
    </w:p>
    <w:p>
      <w:pPr>
        <w:ind w:left="740"/>
        <w:spacing w:after="0" w:line="238" w:lineRule="auto"/>
        <w:tabs>
          <w:tab w:leader="none" w:pos="1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claims</w:t>
        <w:tab/>
        <w:t>with respect</w:t>
      </w: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13, 2021 Page 6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to patents material to your subsidiaries.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left="1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Saurabh Saha, M.D., Ph.D.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LastNameSaurabh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 Saha, M.D., Ph.D.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tabs>
          <w:tab w:leader="none" w:pos="12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NameCentessa Pharmaceuticals Ltd</w:t>
      </w:r>
    </w:p>
    <w:p>
      <w:pPr>
        <w:jc w:val="center"/>
        <w:ind w:right="779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13, 2021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713, 2021 Page 7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Employees and Human Capital, page 256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number of full-time employees you have. See Item 101(h)(4)(xii)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Compensation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Narrative Disclosure to Summary Compensation Table, page 266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whether the agreements with Messrs. Huntington, Baglin, Morrell, Finlay,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Dr. Coleman have been amended or terminated as a result of the January 2021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5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business combinations. Executive Compensation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 in Control and other Severance Arrangement, page 270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description of the incentivization arrangements you have with each of Z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Factor, Morphogen-IX, and LockBody. Please disclose, where appropriate, whether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incentivization arrangements with each of your other subsidiaries and, if so,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such arrangements. Please also file these as exhibits to the registration statement,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tell us why you believe this is not required. Principal Shareholders, page 280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footnotes 1-3 to identify the person or persons with voting and/or dispositive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control over the shares.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as an exhibit the employment agreement with your Chief Financial Officer,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Gregory Weinhoff.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979" w:firstLine="8"/>
        <w:spacing w:after="0" w:line="235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4439" w:firstLine="84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 Saurabh Saha, M.D., Ph.D.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 LastNameSaurabh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2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Centessa Pharmaceuticals Ltd Saha, M.D., Ph.D. Comapany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NameCentessa Pharmaceuticals Ltd</w:t>
            </w: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13,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1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813,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</w:t>
            </w:r>
          </w:p>
        </w:tc>
        <w:tc>
          <w:tcPr>
            <w:tcW w:w="300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8</w:t>
            </w:r>
          </w:p>
        </w:tc>
      </w:tr>
      <w:tr>
        <w:trPr>
          <w:trHeight w:val="203"/>
        </w:trPr>
        <w:tc>
          <w:tcPr>
            <w:tcW w:w="64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139"/>
          </w:cols>
          <w:pgMar w:left="320" w:top="136" w:right="1440" w:bottom="0" w:gutter="0" w:footer="0" w:header="0"/>
        </w:sectPr>
      </w:pPr>
    </w:p>
    <w:bookmarkStart w:id="6" w:name="page7"/>
    <w:bookmarkEnd w:id="6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may contact Tara Harkins at (202) 551-3639 or Dan Gordon at (202)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551-3486 if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Irene Paik at (202) 551-6553 or Joe McCann at (202) 551-6262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Edwin 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Connor - Goodwin Procter LLP</w:t>
      </w:r>
    </w:p>
    <w:sectPr>
      <w:pgSz w:w="11900" w:h="16838" w:orient="portrait"/>
      <w:cols w:equalWidth="0" w:num="3">
        <w:col w:w="320" w:space="640"/>
        <w:col w:w="740" w:space="300"/>
        <w:col w:w="813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507ED7AB"/>
    <w:multiLevelType w:val="hybridMultilevel"/>
    <w:lvl w:ilvl="0">
      <w:lvlJc w:val="left"/>
      <w:lvlText w:val="%1."/>
      <w:numFmt w:val="decimal"/>
      <w:start w:val="2"/>
    </w:lvl>
  </w:abstractNum>
  <w:abstractNum w:abstractNumId="1">
    <w:nsid w:val="2EB141F2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1B71EFB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79E2A9E3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7545E146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515F007C"/>
    <w:multiLevelType w:val="hybridMultilevel"/>
    <w:lvl w:ilvl="0">
      <w:lvlJc w:val="left"/>
      <w:lvlText w:val="%1."/>
      <w:numFmt w:val="decimal"/>
      <w:start w:val="17"/>
    </w:lvl>
  </w:abstractNum>
  <w:abstractNum w:abstractNumId="6">
    <w:nsid w:val="5BD062C2"/>
    <w:multiLevelType w:val="hybridMultilevel"/>
    <w:lvl w:ilvl="0">
      <w:lvlJc w:val="left"/>
      <w:lvlText w:val="%1."/>
      <w:numFmt w:val="decimal"/>
      <w:start w:val="18"/>
    </w:lvl>
  </w:abstractNum>
  <w:abstractNum w:abstractNumId="7">
    <w:nsid w:val="12200854"/>
    <w:multiLevelType w:val="hybridMultilevel"/>
    <w:lvl w:ilvl="0">
      <w:lvlJc w:val="left"/>
      <w:lvlText w:val="%1."/>
      <w:numFmt w:val="decimal"/>
      <w:start w:val="21"/>
    </w:lvl>
  </w:abstractNum>
  <w:abstractNum w:abstractNumId="8">
    <w:nsid w:val="4DB127F8"/>
    <w:multiLevelType w:val="hybridMultilevel"/>
    <w:lvl w:ilvl="0">
      <w:lvlJc w:val="left"/>
      <w:lvlText w:val="%1."/>
      <w:numFmt w:val="decimal"/>
      <w:start w:val="24"/>
    </w:lvl>
  </w:abstractNum>
  <w:abstractNum w:abstractNumId="9">
    <w:nsid w:val="216231B"/>
    <w:multiLevelType w:val="hybridMultilevel"/>
    <w:lvl w:ilvl="0">
      <w:lvlJc w:val="left"/>
      <w:lvlText w:val="%1."/>
      <w:numFmt w:val="decimal"/>
      <w:start w:val="33"/>
    </w:lvl>
  </w:abstractNum>
  <w:abstractNum w:abstractNumId="10">
    <w:nsid w:val="1F16E9E8"/>
    <w:multiLevelType w:val="hybridMultilevel"/>
    <w:lvl w:ilvl="0">
      <w:lvlJc w:val="left"/>
      <w:lvlText w:val="%1."/>
      <w:numFmt w:val="decimal"/>
      <w:start w:val="35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2021-06-25T23:19:35Z</dcterms:created>
  <dcterms:modified xsi:type="dcterms:W3CDTF">2021-06-25T23:19:35Z</dcterms:modified>
</cp:coreProperties>
</file>