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068ddefa14a.htm"/>
      <w:bookmarkStart w:id="1" w:name="ksd2406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CENTESSA PHARMACEUTICALS PLC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by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Email to Key Partners/Stakeholders </w:t>
      </w:r>
    </w:p>
    <w:p>
      <w:pPr>
        <w:pStyle w:val="TextBody"/>
        <w:bidi w:val="0"/>
        <w:spacing w:before="120" w:after="0"/>
        <w:jc w:val="left"/>
        <w:rPr>
          <w:rFonts w:ascii="Times New Roman" w:hAnsi="Times New Roman"/>
          <w:sz w:val="20"/>
        </w:rPr>
      </w:pPr>
      <w:r>
        <w:rPr>
          <w:rFonts w:ascii="Times New Roman" w:hAnsi="Times New Roman"/>
          <w:b/>
          <w:sz w:val="20"/>
        </w:rPr>
        <w:t>To:</w:t>
      </w:r>
      <w:r>
        <w:rPr>
          <w:rFonts w:ascii="Times New Roman" w:hAnsi="Times New Roman"/>
          <w:sz w:val="20"/>
        </w:rPr>
        <w:t xml:space="preserve"> Partners / Key Vendors </w:t>
      </w:r>
    </w:p>
    <w:p>
      <w:pPr>
        <w:pStyle w:val="TextBody"/>
        <w:bidi w:val="0"/>
        <w:spacing w:before="120" w:after="0"/>
        <w:jc w:val="left"/>
        <w:rPr>
          <w:rFonts w:ascii="Times New Roman" w:hAnsi="Times New Roman"/>
          <w:sz w:val="20"/>
        </w:rPr>
      </w:pPr>
      <w:r>
        <w:rPr>
          <w:rFonts w:ascii="Times New Roman" w:hAnsi="Times New Roman"/>
          <w:b/>
          <w:sz w:val="20"/>
        </w:rPr>
        <w:t>From:</w:t>
      </w:r>
      <w:r>
        <w:rPr>
          <w:rFonts w:ascii="Times New Roman" w:hAnsi="Times New Roman"/>
          <w:sz w:val="20"/>
        </w:rPr>
        <w:t xml:space="preserve"> [INSERT NAME/TITLE OF SENDER] </w:t>
      </w:r>
    </w:p>
    <w:p>
      <w:pPr>
        <w:pStyle w:val="TextBody"/>
        <w:bidi w:val="0"/>
        <w:spacing w:before="0" w:after="0"/>
        <w:jc w:val="left"/>
        <w:rPr>
          <w:rFonts w:ascii="Times New Roman" w:hAnsi="Times New Roman"/>
          <w:sz w:val="20"/>
        </w:rPr>
      </w:pPr>
      <w:r>
        <w:rPr>
          <w:rFonts w:ascii="Times New Roman" w:hAnsi="Times New Roman"/>
          <w:b/>
          <w:sz w:val="20"/>
        </w:rPr>
        <w:t>Subject:</w:t>
      </w:r>
      <w:r>
        <w:rPr>
          <w:rFonts w:ascii="Times New Roman" w:hAnsi="Times New Roman"/>
          <w:sz w:val="20"/>
        </w:rPr>
        <w:t xml:space="preserve"> Lilly to Acquire Centessa </w:t>
      </w:r>
    </w:p>
    <w:p>
      <w:pPr>
        <w:pStyle w:val="TextBody"/>
        <w:bidi w:val="0"/>
        <w:spacing w:before="120" w:after="0"/>
        <w:jc w:val="left"/>
        <w:rPr>
          <w:rFonts w:ascii="Times New Roman" w:hAnsi="Times New Roman"/>
          <w:sz w:val="20"/>
        </w:rPr>
      </w:pPr>
      <w:r>
        <w:rPr>
          <w:rFonts w:ascii="Times New Roman" w:hAnsi="Times New Roman"/>
          <w:sz w:val="20"/>
        </w:rPr>
        <w:t xml:space="preserve">As a valued [partner] of Centessa, I am reaching out today to share some exciting news about our company. Today, we announced that we have entered into a definitive agreement to be acquired by Eli Lilly (“Lilly”). You can read the press release on our website announcing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At this point, we do not anticipate changes to Centessa’s operations, and we expect you will continue to interface with the same members of the Centessa team. The transaction is anticipated to close in the third quarter of 2026, subject to approval by Centessa shareholders, sanction by the High Court of Justice of England and Wales and satisfaction of other customary closing conditions, including receipt of regulatory approvals. Until then, Centessa and Lilly continue to operate as separate companies. We expect to update you as the process proceeds. </w:t>
      </w:r>
    </w:p>
    <w:p>
      <w:pPr>
        <w:pStyle w:val="TextBody"/>
        <w:bidi w:val="0"/>
        <w:spacing w:before="240" w:after="0"/>
        <w:jc w:val="left"/>
        <w:rPr>
          <w:rFonts w:ascii="Times New Roman" w:hAnsi="Times New Roman"/>
          <w:sz w:val="20"/>
        </w:rPr>
      </w:pPr>
      <w:r>
        <w:rPr>
          <w:rFonts w:ascii="Times New Roman" w:hAnsi="Times New Roman"/>
          <w:sz w:val="20"/>
        </w:rPr>
        <w:t xml:space="preserve">As you are likely aware, Lilly is a global leader in innovative medicines. By combining our complementary pipeline and expertise with Lilly’s global development, regulatory, and commercial capabilities, we will be even better positioned to realize faster the full potential of our orexin receptor 2 (OX2R) agonist portfolio, which includes cleminorexton (formerly known as ORX750) our most advanced OX2R agonist for the treatment of narcolepsy type 1 (NT1), narcolepsy type 2 (NT2) and idiopathic hypersomnia (IH), and address large unmet medical needs. </w:t>
      </w:r>
    </w:p>
    <w:p>
      <w:pPr>
        <w:pStyle w:val="TextBody"/>
        <w:bidi w:val="0"/>
        <w:spacing w:before="240" w:after="0"/>
        <w:jc w:val="left"/>
        <w:rPr>
          <w:rFonts w:ascii="Times New Roman" w:hAnsi="Times New Roman"/>
          <w:sz w:val="20"/>
        </w:rPr>
      </w:pPr>
      <w:r>
        <w:rPr>
          <w:rFonts w:ascii="Times New Roman" w:hAnsi="Times New Roman"/>
          <w:sz w:val="20"/>
        </w:rPr>
        <w:t xml:space="preserve">Please reach out to [contact] if you have further questions regarding this announcement. </w:t>
      </w:r>
    </w:p>
    <w:p>
      <w:pPr>
        <w:pStyle w:val="TextBody"/>
        <w:bidi w:val="0"/>
        <w:spacing w:before="240" w:after="0"/>
        <w:jc w:val="left"/>
        <w:rPr>
          <w:rFonts w:ascii="Times New Roman" w:hAnsi="Times New Roman"/>
          <w:sz w:val="20"/>
        </w:rPr>
      </w:pPr>
      <w:r>
        <w:rPr>
          <w:rFonts w:ascii="Times New Roman" w:hAnsi="Times New Roman"/>
          <w:sz w:val="20"/>
        </w:rPr>
        <w:t xml:space="preserve">We appreciate working with you and thank you for your partnership.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[INSERT NAME/TITLE OF SENDER] </w:t>
      </w:r>
    </w:p>
    <w:p>
      <w:pPr>
        <w:pStyle w:val="TextBody"/>
        <w:bidi w:val="0"/>
        <w:spacing w:before="0" w:after="0"/>
        <w:jc w:val="left"/>
        <w:rPr>
          <w:rFonts w:ascii="Times New Roman" w:hAnsi="Times New Roman"/>
          <w:sz w:val="20"/>
        </w:rPr>
      </w:pPr>
      <w:r>
        <w:rPr>
          <w:rFonts w:ascii="Times New Roman" w:hAnsi="Times New Roman"/>
          <w:sz w:val="20"/>
        </w:rPr>
        <w:t xml:space="preserve">Centessa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Takeover Code Does Not Apply </w:t>
      </w:r>
    </w:p>
    <w:p>
      <w:pPr>
        <w:pStyle w:val="TextBody"/>
        <w:bidi w:val="0"/>
        <w:spacing w:before="120" w:after="0"/>
        <w:jc w:val="left"/>
        <w:rPr>
          <w:rFonts w:ascii="Times New Roman" w:hAnsi="Times New Roman"/>
          <w:sz w:val="20"/>
        </w:rPr>
      </w:pPr>
      <w:r>
        <w:rPr>
          <w:rFonts w:ascii="Times New Roman" w:hAnsi="Times New Roman"/>
          <w:sz w:val="20"/>
        </w:rPr>
        <w:t>Centessa Pharmaceuticals plc is not a company subject to regulation under the United Kingdom City Code on Takeovers and Mergers (the “UK Takeover Code”), therefore no dealing disclosures are required to be made under Rule 8 of the UK Takeover Code by shareholders of the Company or Parent</w:t>
      </w:r>
      <w:r>
        <w:rPr>
          <w:rFonts w:ascii="Times New Roman" w:hAnsi="Times New Roman"/>
          <w:b/>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the Company intends to file with the Securities and Exchange Commission (the “SEC”) a preliminary and definitive proxy statement on Schedule 14A (the “Proxy Statement”), the definitive version of which (if and when available) will be mailed to the Company’s shareholders. The Company may also file other documents with the SEC regarding the Acquisition. This Current Report is not a substitute for the Proxy Statement or any other document which the Company may file with the SEC. BEFORE MAKING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VOTING DECISION, SHAREHOLDERS ARE URGED TO READ THE PROXY STATEMENT (WHICH WILL INCLUDE AN EXPLANATORY STATEMENT IN RESPECT OF THE SCHEME OF ARRANGEMENT OF THE COMPANY, IN ACCORDANCE WITH THE REQUIREMENTS OF THE U.K. COMPANIES ACT 2006) AND ANY OTHER RELEVANT DOCUMENTS THAT ARE FILED OR WILL BE FILED WITH THE SEC, AS WELL AS ANY AMENDMENTS OR SUPPLEMENTS TO SUCH DOCUMENTS AND DOCUMENTS INCORPORATED BY REFERENCE THEREIN, CAREFULLY AND IN THEIR ENTIRETY (IF AND WHEN THEY BECOME AVAILABLE) BECAUSE THEY WILL CONTAIN IMPORTANT INFORMATION. Any vote in respect of the resolutions to be proposed at the Company’s shareholder meeting to approve the acquisition, the scheme or related matters, or other responses in relation to the acquisition, should be made only on the basis of the information contained in the definitive proxy statement (including the scheme document). Shareholders may obtain a free copy of the Proxy Statement and other relevant documents containing important information about Parent, the Company and the Acquisition (if and when they become available) once such documents are filed with the SEC at the SEC’s website at </w:t>
      </w:r>
      <w:r>
        <w:rPr>
          <w:rFonts w:ascii="Times New Roman" w:hAnsi="Times New Roman"/>
          <w:sz w:val="20"/>
          <w:u w:val="single"/>
        </w:rPr>
        <w:t>www.sec.gov</w:t>
      </w:r>
      <w:r>
        <w:rPr>
          <w:rFonts w:ascii="Times New Roman" w:hAnsi="Times New Roman"/>
          <w:sz w:val="20"/>
        </w:rPr>
        <w:t xml:space="preserve">. Copies of the documents filed with the SEC by the Company will be available free of charge on the Company’s website at investors.centessa.com or by contacting the Company’s Investors Relations Department at </w:t>
      </w:r>
      <w:r>
        <w:rPr>
          <w:rFonts w:ascii="Times New Roman" w:hAnsi="Times New Roman"/>
          <w:sz w:val="20"/>
          <w:u w:val="single"/>
        </w:rPr>
        <w:t>investors@centessa.com</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other employees may be deemed to be participants in the solicitation of proxies from the shareholders of the Company in respect of the Acquisition. the Company’s shareholders may obtain information regarding the Company’s directors and executive officers in the Company’s Annual Report on Form 10-K for the year ended December 31, 2024, which was filed with the SEC on March 24, 2025 and the Company’s definitive proxy statement for its 2025 Annual General Meeting, which was filed with the SEC on May 6, 2025, as well as any statements of beneficial ownership filed with the SEC after such proxy statement. Information regarding Parent’s directors and executive officers is contained in Parent’s Annual Report on Form 10-K for the year ended December 31, 2025, which was filed with the SEC on February 12, 2026 and Parent’s definitive proxy statement for its 2026 Annual Meeting of Shareholders, which was filed with the SEC on March 20, 2026, as well as any statements of beneficial ownership filed with the SEC after such proxy statement. Additional information regarding the identity of potential participants, and their direct or indirect interests, by security holdings or otherwise, will be included in the Proxy Statement and any other relevant documents that are filed or will be filed with the SEC relating to the Acquisition. You may obtain free copies of these documents (if and when they become available) using the sources indicated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including Section 27A of the Securities Act of 1933, as amended (the “Securities Act”), and Section 21E of the Securities Exchange Act of 1934, as amended, including with respect to the Acquisition. Such forward-looking statements include, but are not limited to, statements regarding: the Acquisition; the parties’ ability to satisfy the conditions to the consummation of the Acquisition, including in connection with obtaining shareholder, High Court and regulatory approvals, and the expected timetable for the Acquisition; and the anticipated occurrence, manner and timing of the closing of the Acquisition.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risks and uncertainties include, but are not limited to: the possibility that the Company’s shareholders may not approve the implementation of the Acquisition; the Scheme of Arrangement implementing the Acquisition is not sanctioned by the High Court of Justice of England and Wales; the Company’s receipt of any competing offers or acquisition proposals; a failure to (or delay in) receiving the required regulatory clearances for the Acquisition; a condition to closing of the Acquisition may not be satisfied (or waived); the ability of each party to consummate the Acquisition; the closing of the Acquisition might be delayed or not occur at all; the diversion of management time and attention from ongoing business operations and opportunities; the response of competitors to the Acquisition; the effect of the Acquisition and the public announcement of the Acquisition on the Company’s operations and its relationships with its suppliers, business partners, management and employees, including its ability to attract and retain key personnel; the outcome of any legal proceedings that could be instituted against the parties to the Acquisition; the risks inherent in drug research, development and commercialization; disruption in the Company’s plans and operations attributable to the Acquisition; changes in the Company’s business during the period between announcement and closing of the Acquisition; the effects of the Acquisition (or the announcement thereof) on the Company’s share price; the risks related to non-achievement of any milestone and that holders of the CVRs will not receive any payments in respect of the CVRs;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the “Risk Factors” section of the Company’s Quarterly Report on Form 10-Q filed with the SEC on November 5, 2025, as well as discussions of potential risks, uncertainties and other important factors, in the Company’s most recent filings with the SEC and in other filings that the Company makes with the SEC in the future. There can be no assurance that the Acquisition will be consummated in the anticipated timeframe or at all, that any event, change or other circumstance that could give rise to the termination of the definitive agreement for the Acquisition will not occur or that any product candidates will be approved on anticipated timelines or at all. All forward-looking statements in this Current Report are based on information available to the Company as of the date of this Current Report. The Company expressly disclaims any obligation to publicly update or revise the forward-looking statements, except as required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Acquisition or otherwise, nor shall there be any sale, issuance or transfer of securities in any jurisdiction in contravention of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1744</Words>
  <Characters>9676</Characters>
  <CharactersWithSpaces>11432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