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shd w:fill="FFFFFF" w:val="clear"/>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001-40445 </w:t>
      </w:r>
    </w:p>
    <w:p>
      <w:pPr>
        <w:pStyle w:val="TextBody"/>
        <w:bidi w:val="0"/>
        <w:spacing w:lineRule="auto" w:line="256" w:before="0" w:after="0"/>
        <w:jc w:val="center"/>
        <w:rPr>
          <w:rFonts w:ascii="Times New Roman;serif" w:hAnsi="Times New Roman;serif"/>
          <w:b/>
          <w:color w:val="000000"/>
          <w:sz w:val="36"/>
        </w:rPr>
      </w:pPr>
      <w:r>
        <w:rPr>
          <w:rFonts w:ascii="Times New Roman;serif" w:hAnsi="Times New Roman;serif"/>
          <w:b/>
          <w:color w:val="000000"/>
          <w:sz w:val="36"/>
        </w:rPr>
        <w:t>CENTESSA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635" w:type="dxa"/>
        <w:jc w:val="center"/>
        <w:tblInd w:w="0" w:type="dxa"/>
        <w:tblLayout w:type="fixed"/>
        <w:tblCellMar>
          <w:top w:w="28" w:type="dxa"/>
          <w:left w:w="28" w:type="dxa"/>
          <w:bottom w:w="28" w:type="dxa"/>
          <w:right w:w="28" w:type="dxa"/>
        </w:tblCellMar>
      </w:tblPr>
      <w:tblGrid>
        <w:gridCol w:w="949"/>
        <w:gridCol w:w="836"/>
        <w:gridCol w:w="839"/>
        <w:gridCol w:w="109"/>
        <w:gridCol w:w="109"/>
        <w:gridCol w:w="109"/>
        <w:gridCol w:w="109"/>
        <w:gridCol w:w="109"/>
        <w:gridCol w:w="109"/>
        <w:gridCol w:w="992"/>
        <w:gridCol w:w="992"/>
        <w:gridCol w:w="1001"/>
        <w:gridCol w:w="109"/>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98-1612294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3rd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Ashley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Altrincham</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Cheshire WA14 2DT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 (617) 468-5770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287"/>
        <w:gridCol w:w="1837"/>
        <w:gridCol w:w="1858"/>
        <w:gridCol w:w="454"/>
        <w:gridCol w:w="454"/>
        <w:gridCol w:w="456"/>
        <w:gridCol w:w="836"/>
        <w:gridCol w:w="836"/>
        <w:gridCol w:w="1187"/>
      </w:tblGrid>
      <w:tr>
        <w:trPr/>
        <w:tc>
          <w:tcPr>
            <w:tcW w:w="228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59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59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Ordinary shares, nominal value £0.002 per share </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CNTA</w:t>
            </w:r>
          </w:p>
        </w:tc>
        <w:tc>
          <w:tcPr>
            <w:tcW w:w="28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9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American Depositary Shares, each representing one ordinary share, nominal value £0.002 per share </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CNTA</w:t>
            </w:r>
          </w:p>
        </w:tc>
        <w:tc>
          <w:tcPr>
            <w:tcW w:w="28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*Not for trading, but only in connection with the listing of the American Depositary Shares on The Nasdaq Stock Market, LLC.</w:t>
      </w:r>
    </w:p>
    <w:p>
      <w:pPr>
        <w:pStyle w:val="TextBody"/>
        <w:bidi w:val="0"/>
        <w:spacing w:lineRule="auto" w:line="288" w:before="160" w:after="283"/>
        <w:ind w:left="0" w:right="0" w:firstLine="72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60" w:after="283"/>
        <w:ind w:left="0" w:right="0" w:firstLine="72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160" w:after="283"/>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160" w:after="283"/>
        <w:jc w:val="left"/>
        <w:rPr/>
      </w:pPr>
      <w:r>
        <w:rPr>
          <w:rFonts w:ascii="Times New Roman;serif" w:hAnsi="Times New Roman;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before="160" w:after="283"/>
        <w:jc w:val="center"/>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154,728,966 ordinary shares as of April 28,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Summary of the Material Risks Associated with Our Business</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you should be aware of in evaluating our business. These risks are described more fully in Item 1A - Risk Factors, and include, but are not limited to, the following: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Transaction Agreement we entered into on March 31, 2026 with Eli Lilly and Company and LDH XV Corporation, and the risks and uncertainties and potential impacts and timing relating thereto.</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We may not be successful in our efforts to build a pipeline of product candidates with commercial value.</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A single or limited number of programs, developmental assets or product candidates may comprise a large proportion of our value.</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We face challenges, risks and expenses related to our operations as well as the management of the expected growth in the scale and complexity of our operations.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We have incurred net losses since inception, and we expect to continue to incur losses for the foreseeable future and may never achieve or maintain profitability.</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We will need substantial additional funds to advance development of our product candidates, and we cannot guarantee that we will have sufficient funds available in the future to develop and commercialize our current or future product candidates.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Our loan facility and payment obligations under the Loan and Security Agreement with Oxford Finance contain operating and financial covenants that restrict our business and financing activities, are subject to acceleration in specified circumstances and may adversely affect our financial position or results of operations and our ability to raise additional capital which in turn may increase our vulnerability to adverse regulatory developments or economic or business downturns or which may result in Oxford Finance taking possession of our assets and disposing of any collateral.</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Our product candidates are in various stages of development, including several in discovery, preclinical, and clinical stages, and may fail in development or suffer delays that materially adversely affect their commercial viability and we may fail to differentiate our molecules, including cleminorexton (formerly referred to as ORX750), ORX142, ORX489 and other orexin agonist molecules from other available treatment options including other molecules in development.</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We may not be successful in our efforts to identify, discover, in-license or otherwise acquire additional product candidates and may fail to capitalize on programs or product candidates that may be a greater commercial opportunity or for which there is a greater likelihood of success.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Success in preclinical studies or early clinical trials may not be indicative of results obtained in later trials.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We may encounter substantial delays or challenges in the initiation, conduct or completion of our clinical trials, and the results of clinical development are uncertain.</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We may be unable to obtain U.S. or foreign regulatory approval and, as a result, unable to develop and/or commercialize our product candidates.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We rely, and expect to continue to rely, on third parties to conduct our preclinical studies and clinical trials and if these third parties perform in an unsatisfactory manner, our business could be substantially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of the Material Risks Associated with Our Business (continued)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Preclinical and clinical development is a long and expensive process and the outcomes are uncertain, and we may terminate one or more of our current preclinical and/or clinical development programs.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We could experience manufacturing problems that result in delays or other material disruptions in our development or commercialization of our programs or otherwise harm our business.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Business interruptions resulting from the Russia-Ukraine war, the Middle East conflict(s), tensions in U.S.-China relations, changes in trade policy, including the imposition of tariffs, or similar geo-political conflicts could cause a disruption to our business activities including the development of our product candidates and the conduct of clinical trials thereby adversely impacting our business.</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 xml:space="preserve">If we are unable to obtain and maintain sufficient patent and other intellectual property protection for our product candidates and technology or other product candidates that may be identified, or if the scope of the intellectual property protection obtained is not sufficiently broad, our competitors could develop and commercialize product candidates similar or identical to the product candidates, and our ability to successfully commercialize the product candidates and other product candidates that we may pursue may be impaired. </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The patent protection we obtain for our product candidates and technology may be challenged or not sufficient enough to provide us with any competitive advantage.</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A number of our programs and associated product candidates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We have never commercialized a product candidate and we may lack the necessary expertise, personnel and resources to successfully commercialize any of our products that receive regulatory approval on our own or together with collaborators.</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Our international operations may expose us to business, regulatory, legal, political, operational, financial, pricing and reimbursement risks associated with doing business across multiple jurisdictions outside of the United States.</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We are an emerging growth company, and we cannot be certain if the reduced reporting requirements applicable to emerging growth companies will make our ADSs less attractive to investors.</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We have in the past and may in the future identify material weaknesses in our internal control systems over financial reporting that may cause us to fail to meet our reporting obligations or result in material misstatements in our financial statements. If we fail to remediate any material weaknesses, we may not be able to report our financial results accurately or to prevent fraud.</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Holders of ADSs may be subject to limitations on the transfer of their ADSs and the withdrawal of the underlying ordinary shares.</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While we do not believe we were a “passive foreign investment company” (“PFIC”) in 2025, there is uncertainty as to whether we are or will be a PFIC in the past or in the future. If we are a PFIC, there could be material adverse U.S. federal income tax consequences to U.S.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65" w:type="dxa"/>
        <w:jc w:val="left"/>
        <w:tblInd w:w="0" w:type="dxa"/>
        <w:tblLayout w:type="fixed"/>
        <w:tblCellMar>
          <w:top w:w="28" w:type="dxa"/>
          <w:left w:w="28" w:type="dxa"/>
          <w:bottom w:w="28" w:type="dxa"/>
          <w:right w:w="28" w:type="dxa"/>
        </w:tblCellMar>
      </w:tblPr>
      <w:tblGrid>
        <w:gridCol w:w="337"/>
        <w:gridCol w:w="295"/>
        <w:gridCol w:w="298"/>
        <w:gridCol w:w="2453"/>
        <w:gridCol w:w="2453"/>
        <w:gridCol w:w="2458"/>
        <w:gridCol w:w="167"/>
        <w:gridCol w:w="167"/>
        <w:gridCol w:w="237"/>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6">
              <w:r>
                <w:rPr>
                  <w:rStyle w:val="InternetLink"/>
                  <w:rFonts w:ascii="Times New Roman;serif" w:hAnsi="Times New Roman;serif"/>
                  <w:b/>
                  <w:color w:val="0000FF"/>
                  <w:sz w:val="20"/>
                  <w:u w:val="single"/>
                </w:rPr>
                <w:t xml:space="preserve">PART I. </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6">
              <w:r>
                <w:rPr>
                  <w:rStyle w:val="InternetLink"/>
                  <w:rFonts w:ascii="Times New Roman;serif" w:hAnsi="Times New Roman;serif"/>
                  <w:b w:val="false"/>
                  <w:color w:val="0000FF"/>
                  <w:sz w:val="20"/>
                  <w:u w:val="single"/>
                </w:rPr>
                <w:t>FINANCIAL INFORMATION</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e9b362b96062444292dd13506ca98f43_16">
              <w:r>
                <w:rPr>
                  <w:rStyle w:val="InternetLink"/>
                  <w:rFonts w:ascii="Times New Roman;serif" w:hAnsi="Times New Roman;serif"/>
                  <w:b w:val="false"/>
                  <w:strike w:val="false"/>
                  <w:dstrike w:val="false"/>
                  <w:color w:val="000000"/>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9">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9">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19">
              <w:r>
                <w:rPr>
                  <w:rStyle w:val="InternetLink"/>
                  <w:rFonts w:ascii="Times New Roman;serif" w:hAnsi="Times New Roman;serif"/>
                  <w:b w:val="false"/>
                  <w:strike w:val="false"/>
                  <w:dstrike w:val="false"/>
                  <w:color w:val="000000"/>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22">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22">
              <w:r>
                <w:rPr>
                  <w:rStyle w:val="InternetLink"/>
                  <w:rFonts w:ascii="Times New Roman;serif" w:hAnsi="Times New Roman;serif"/>
                  <w:b w:val="false"/>
                  <w:strike w:val="false"/>
                  <w:dstrike w:val="false"/>
                  <w:color w:val="000000"/>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25">
              <w:r>
                <w:rPr>
                  <w:rStyle w:val="InternetLink"/>
                  <w:rFonts w:ascii="Times New Roman;serif" w:hAnsi="Times New Roman;serif"/>
                  <w:b w:val="false"/>
                  <w:color w:val="0000FF"/>
                  <w:sz w:val="20"/>
                  <w:u w:val="single"/>
                </w:rPr>
                <w:t>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25">
              <w:r>
                <w:rPr>
                  <w:rStyle w:val="InternetLink"/>
                  <w:rFonts w:ascii="Times New Roman;serif" w:hAnsi="Times New Roman;serif"/>
                  <w:b w:val="false"/>
                  <w:strike w:val="false"/>
                  <w:dstrike w:val="false"/>
                  <w:color w:val="000000"/>
                  <w:sz w:val="20"/>
                  <w:u w:val="none"/>
                  <w:effect w:val="none"/>
                </w:rPr>
                <w:t>7</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28">
              <w:r>
                <w:rPr>
                  <w:rStyle w:val="InternetLink"/>
                  <w:rFonts w:ascii="Times New Roman;serif" w:hAnsi="Times New Roman;serif"/>
                  <w:b w:val="false"/>
                  <w:color w:val="0000FF"/>
                  <w:sz w:val="20"/>
                  <w:u w:val="single"/>
                </w:rPr>
                <w:t>Consolidated Statements of Shareholders’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28">
              <w:r>
                <w:rPr>
                  <w:rStyle w:val="InternetLink"/>
                  <w:rFonts w:ascii="Times New Roman;serif" w:hAnsi="Times New Roman;serif"/>
                  <w:b w:val="false"/>
                  <w:strike w:val="false"/>
                  <w:dstrike w:val="false"/>
                  <w:color w:val="000000"/>
                  <w:sz w:val="20"/>
                  <w:u w:val="none"/>
                  <w:effect w:val="none"/>
                </w:rPr>
                <w:t>8</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31">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31">
              <w:r>
                <w:rPr>
                  <w:rStyle w:val="InternetLink"/>
                  <w:rFonts w:ascii="Times New Roman;serif" w:hAnsi="Times New Roman;serif"/>
                  <w:b w:val="false"/>
                  <w:strike w:val="false"/>
                  <w:dstrike w:val="false"/>
                  <w:color w:val="000000"/>
                  <w:sz w:val="20"/>
                  <w:u w:val="none"/>
                  <w:effect w:val="none"/>
                </w:rPr>
                <w:t>9</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34">
              <w:r>
                <w:rPr>
                  <w:rStyle w:val="InternetLink"/>
                  <w:rFonts w:ascii="Times New Roman;serif" w:hAnsi="Times New Roman;serif"/>
                  <w:b w:val="false"/>
                  <w:color w:val="000080"/>
                  <w:sz w:val="20"/>
                  <w:u w:val="single"/>
                </w:rPr>
                <w:t>Notes to Unaudited</w:t>
              </w:r>
            </w:hyperlink>
            <w:hyperlink w:anchor="ie9b362b96062444292dd13506ca98f43_34">
              <w:r>
                <w:rPr>
                  <w:rStyle w:val="InternetLink"/>
                  <w:rFonts w:ascii="Times New Roman;serif" w:hAnsi="Times New Roman;serif"/>
                  <w:b w:val="false"/>
                  <w:color w:val="000080"/>
                  <w:sz w:val="20"/>
                  <w:u w:val="single"/>
                </w:rPr>
                <w:t xml:space="preserve"> Interim</w:t>
              </w:r>
            </w:hyperlink>
            <w:hyperlink w:anchor="ie9b362b96062444292dd13506ca98f43_34">
              <w:r>
                <w:rPr>
                  <w:rStyle w:val="InternetLink"/>
                  <w:rFonts w:ascii="Times New Roman;serif" w:hAnsi="Times New Roman;serif"/>
                  <w:b w:val="false"/>
                  <w:color w:val="000080"/>
                  <w:sz w:val="20"/>
                  <w:u w:val="single"/>
                </w:rPr>
                <w:t xml:space="preserve"> Consolidated Financial Statements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34">
              <w:r>
                <w:rPr>
                  <w:rStyle w:val="InternetLink"/>
                  <w:rFonts w:ascii="Times New Roman;serif" w:hAnsi="Times New Roman;serif"/>
                  <w:b w:val="false"/>
                  <w:strike w:val="false"/>
                  <w:dstrike w:val="false"/>
                  <w:color w:val="000000"/>
                  <w:sz w:val="20"/>
                  <w:u w:val="none"/>
                  <w:effect w:val="none"/>
                </w:rPr>
                <w:t>10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67">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67">
              <w:r>
                <w:rPr>
                  <w:rStyle w:val="InternetLink"/>
                  <w:rFonts w:ascii="Times New Roman;serif" w:hAnsi="Times New Roman;serif"/>
                  <w:b w:val="false"/>
                  <w:strike w:val="false"/>
                  <w:dstrike w:val="false"/>
                  <w:color w:val="000000"/>
                  <w:sz w:val="20"/>
                  <w:u w:val="none"/>
                  <w:effect w:val="none"/>
                </w:rPr>
                <w:t>25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91">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91">
              <w:r>
                <w:rPr>
                  <w:rStyle w:val="InternetLink"/>
                  <w:rFonts w:ascii="Times New Roman;serif" w:hAnsi="Times New Roman;serif"/>
                  <w:b w:val="false"/>
                  <w:color w:val="000080"/>
                  <w:sz w:val="20"/>
                  <w:u w:val="single"/>
                </w:rPr>
                <w:t>Quantitative and Qualitative Disclosure</w:t>
              </w:r>
            </w:hyperlink>
            <w:hyperlink w:anchor="ie9b362b96062444292dd13506ca98f43_91">
              <w:r>
                <w:rPr>
                  <w:rStyle w:val="InternetLink"/>
                  <w:rFonts w:ascii="Times New Roman;serif" w:hAnsi="Times New Roman;serif"/>
                  <w:b w:val="false"/>
                  <w:color w:val="000080"/>
                  <w:sz w:val="20"/>
                  <w:u w:val="single"/>
                </w:rPr>
                <w:t>s</w:t>
              </w:r>
            </w:hyperlink>
            <w:hyperlink w:anchor="ie9b362b96062444292dd13506ca98f43_91">
              <w:r>
                <w:rPr>
                  <w:rStyle w:val="InternetLink"/>
                  <w:rFonts w:ascii="Times New Roman;serif" w:hAnsi="Times New Roman;serif"/>
                  <w:b w:val="false"/>
                  <w:color w:val="000080"/>
                  <w:sz w:val="20"/>
                  <w:u w:val="single"/>
                </w:rPr>
                <w:t xml:space="preserve">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91">
              <w:r>
                <w:rPr>
                  <w:rStyle w:val="InternetLink"/>
                  <w:rFonts w:ascii="Times New Roman;serif" w:hAnsi="Times New Roman;serif"/>
                  <w:b w:val="false"/>
                  <w:strike w:val="false"/>
                  <w:dstrike w:val="false"/>
                  <w:color w:val="000000"/>
                  <w:sz w:val="20"/>
                  <w:u w:val="none"/>
                  <w:effect w:val="none"/>
                </w:rPr>
                <w:t>33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94">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94">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94">
              <w:r>
                <w:rPr>
                  <w:rStyle w:val="InternetLink"/>
                  <w:rFonts w:ascii="Times New Roman;serif" w:hAnsi="Times New Roman;serif"/>
                  <w:b w:val="false"/>
                  <w:strike w:val="false"/>
                  <w:dstrike w:val="false"/>
                  <w:color w:val="000000"/>
                  <w:sz w:val="20"/>
                  <w:u w:val="none"/>
                  <w:effect w:val="none"/>
                </w:rPr>
                <w:t>33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97">
              <w:r>
                <w:rPr>
                  <w:rStyle w:val="InternetLink"/>
                  <w:rFonts w:ascii="Times New Roman;serif" w:hAnsi="Times New Roman;serif"/>
                  <w:b/>
                  <w:color w:val="0000FF"/>
                  <w:sz w:val="20"/>
                  <w:u w:val="single"/>
                </w:rPr>
                <w:t xml:space="preserve">PART II. </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97">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97">
              <w:r>
                <w:rPr>
                  <w:rStyle w:val="InternetLink"/>
                  <w:rFonts w:ascii="Times New Roman;serif" w:hAnsi="Times New Roman;serif"/>
                  <w:b w:val="false"/>
                  <w:strike w:val="false"/>
                  <w:dstrike w:val="false"/>
                  <w:color w:val="000000"/>
                  <w:sz w:val="20"/>
                  <w:u w:val="none"/>
                  <w:effect w:val="none"/>
                </w:rPr>
                <w:t>35</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00">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00">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100">
              <w:r>
                <w:rPr>
                  <w:rStyle w:val="InternetLink"/>
                  <w:rFonts w:ascii="Times New Roman;serif" w:hAnsi="Times New Roman;serif"/>
                  <w:b w:val="false"/>
                  <w:strike w:val="false"/>
                  <w:dstrike w:val="false"/>
                  <w:color w:val="000000"/>
                  <w:sz w:val="20"/>
                  <w:u w:val="none"/>
                  <w:effect w:val="none"/>
                </w:rPr>
                <w:t>35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03">
              <w:r>
                <w:rPr>
                  <w:rStyle w:val="InternetLink"/>
                  <w:rFonts w:ascii="Times New Roman;serif" w:hAnsi="Times New Roman;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03">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103">
              <w:r>
                <w:rPr>
                  <w:rStyle w:val="InternetLink"/>
                  <w:rFonts w:ascii="Times New Roman;serif" w:hAnsi="Times New Roman;serif"/>
                  <w:b w:val="false"/>
                  <w:strike w:val="false"/>
                  <w:dstrike w:val="false"/>
                  <w:color w:val="000000"/>
                  <w:sz w:val="20"/>
                  <w:u w:val="none"/>
                  <w:effect w:val="none"/>
                </w:rPr>
                <w:t>35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33">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33">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133">
              <w:r>
                <w:rPr>
                  <w:rStyle w:val="InternetLink"/>
                  <w:rFonts w:ascii="Times New Roman;serif" w:hAnsi="Times New Roman;serif"/>
                  <w:b w:val="false"/>
                  <w:strike w:val="false"/>
                  <w:dstrike w:val="false"/>
                  <w:color w:val="000000"/>
                  <w:sz w:val="20"/>
                  <w:u w:val="none"/>
                  <w:effect w:val="none"/>
                </w:rPr>
                <w:t>103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36">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36">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136">
              <w:r>
                <w:rPr>
                  <w:rStyle w:val="InternetLink"/>
                  <w:rFonts w:ascii="Times New Roman;serif" w:hAnsi="Times New Roman;serif"/>
                  <w:b w:val="false"/>
                  <w:strike w:val="false"/>
                  <w:dstrike w:val="false"/>
                  <w:color w:val="000000"/>
                  <w:sz w:val="20"/>
                  <w:u w:val="none"/>
                  <w:effect w:val="none"/>
                </w:rPr>
                <w:t>104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39">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39">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139">
              <w:r>
                <w:rPr>
                  <w:rStyle w:val="InternetLink"/>
                  <w:rFonts w:ascii="Times New Roman;serif" w:hAnsi="Times New Roman;serif"/>
                  <w:b w:val="false"/>
                  <w:strike w:val="false"/>
                  <w:dstrike w:val="false"/>
                  <w:color w:val="000000"/>
                  <w:sz w:val="20"/>
                  <w:u w:val="none"/>
                  <w:effect w:val="none"/>
                </w:rPr>
                <w:t>104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42">
              <w:r>
                <w:rPr>
                  <w:rStyle w:val="InternetLink"/>
                  <w:rFonts w:ascii="Times New Roman;serif" w:hAnsi="Times New Roman;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42">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142">
              <w:r>
                <w:rPr>
                  <w:rStyle w:val="InternetLink"/>
                  <w:rFonts w:ascii="Times New Roman;serif" w:hAnsi="Times New Roman;serif"/>
                  <w:b w:val="false"/>
                  <w:strike w:val="false"/>
                  <w:dstrike w:val="false"/>
                  <w:color w:val="000000"/>
                  <w:sz w:val="20"/>
                  <w:u w:val="none"/>
                  <w:effect w:val="none"/>
                </w:rPr>
                <w:t>104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45">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145">
              <w:r>
                <w:rPr>
                  <w:rStyle w:val="InternetLink"/>
                  <w:rFonts w:ascii="Times New Roman;serif" w:hAnsi="Times New Roman;serif"/>
                  <w:b w:val="false"/>
                  <w:strike w:val="false"/>
                  <w:dstrike w:val="false"/>
                  <w:color w:val="000000"/>
                  <w:sz w:val="20"/>
                  <w:u w:val="none"/>
                  <w:effect w:val="none"/>
                </w:rPr>
                <w:t>105</w:t>
              </w:r>
            </w:hyperlink>
          </w:p>
        </w:tc>
      </w:tr>
      <w:tr>
        <w:trPr/>
        <w:tc>
          <w:tcPr>
            <w:tcW w:w="829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9b362b96062444292dd13506ca98f43_148">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362b96062444292dd13506ca98f43_148">
              <w:r>
                <w:rPr>
                  <w:rStyle w:val="InternetLink"/>
                  <w:rFonts w:ascii="Times New Roman;serif" w:hAnsi="Times New Roman;serif"/>
                  <w:b w:val="false"/>
                  <w:strike w:val="false"/>
                  <w:dstrike w:val="false"/>
                  <w:color w:val="000000"/>
                  <w:sz w:val="20"/>
                  <w:u w:val="none"/>
                  <w:effect w:val="none"/>
                </w:rPr>
                <w:t>106</w:t>
              </w:r>
            </w:hyperlink>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(“10-Q”) contains express or implied forward-looking statements within the meaning of Section 27A of the Securities Act of 1933, as amended, and Section 21E of the Securities Exchange Act of 1934, as amended, that involve substantial risks and uncertainties. In some cases, forward-looking statements may be identified by the words “may,” “might,” “will,” “could,” “would,” “should,” “expect,” “intend,” “plan,” “objective,” “anticipate,” “believe,” “estimate,” “predict,” “potential,” “continue,” “ongoing,” “aim,” “seek,” “strive,”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10-Q are based upon information available to our management as of the date of this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10-Q include, but are not limited to, statements about: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proposed transaction with Eli Lilly and Company is subject to a number of conditions beyond our control. Failure to complete the proposed acquisition within the expected time frame, or at all, could have a material adverse effect on our business, operating results, financial condition and our stock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initiation, timing, progress and results (preliminary, interim or final) of our preclinical studies and clinical trials, and our research and development programs including cleminorexton, ORX142, ORX489 and other orexin agonist molecules;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execute our research and clinical development plans and our expectations on and the timing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and ability to advance our pipeline and product candidates into, and successfully complete, clinical trials;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identify screen, recruit and maintain a sufficient number of, or any, subjects in our existing and anticipated studies or clinical trials including the ongoing Phase 1 first-in-human, clinical trial and Phase 2 clinical trial of cleminorexton, the Phase 1 first-in-human clinical trial of ORX142, and other orexin agonist molecules;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differentiate cleminorexton, ORX142, ORX489, and other orexin agonist molecules from other treatment options;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development and therapeutic potential of cleminorexton, ORX142, ORX489 and other orexin agonist molecules;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expectations relating to the ongoing Phase 1 first-in-human, clinical trial, and the Phase 2 clinical trial of cleminorexton, and the Phase 1 first-in-human clinical trials of ORX142 and ORX489, including, in each case, the predicted timing of enrollment, the predicted efficacious doses of cleminorexton, ORX142, and ORX489 and our ability to successfully conduct our clinical development of cleminorexton, ORX142, and ORX489;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safety and tolerability profile of our product candidates;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reliance on the success of our product candidates and our pipeline programs;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discover and develop transformational medicines for patients including identifying and advancing additional product candidates into clinical development;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become the partner of choice to attract founder-subject matter experts with high conviction programs;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timing or likelihood of regulatory filings and approvals;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inflation on increasing costs of labor, research, manufacturing and clinical trial expenses;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impact of the Russia-Ukraine war, the Middle East conflict(s) and tensions in U.S.-China relations on our business and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commercialization of our product candidates, if approved;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develop sales and marketing capabilities;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pricing, coverage and reimbursement of our product candidates, if approved;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implementation of our business model, strategic plans for our business, product candidates and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scope of protection we are able to establish and maintain for intellectual property rights covering our product candidates and technology;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operate our business without infringing the intellectual property rights and proprietary technology of third parties;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cost associated with prosecuting and maintaining our intellectual property and with defending intellectual property infringement, product liability and other claims;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legal and regulatory developments in the United States, the European Union, the United Kingdom and other jurisdictions;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estimates of our expenses, future revenues, capital requirements and our needs for additional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potential benefits of strategic collaboration agreements and our ability to negotiate and enter into strategic arrangements;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identify collaboration opportunities and to establish and maintain collaborations;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judiciously manage and allocate our cash;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on our anticipated cash runway;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obtain additional funding;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fulfill our obligations under the Loan and Security Agreement with Oxford Finance LLC (as Collateral Agent and Lender), Oxford Finance Credit Fund II LP (as a Lender) and Oxford Finance Credit Fund III LP (as a Lender) (collectively “Oxford Finance”);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rate and degree of market acceptance of any approved products;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developments relating to our competitors and our industry, including competing therapies and our ability to respond to such developments;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effectively manage our anticipated growth;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attract and retain qualified employees and key personnel;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expectations regarding the period during which we qualify as an emerging growth company under the JOBS Act;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statements regarding future revenue, hiring plans, expenses, capital expenditures, capital requirements and share performance;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expected use of proceeds of </w:t>
      </w:r>
      <w:r>
        <w:rPr>
          <w:rFonts w:ascii="Times New Roman;serif" w:hAnsi="Times New Roman;serif"/>
          <w:b w:val="false"/>
          <w:color w:val="000000"/>
          <w:sz w:val="20"/>
          <w:shd w:fill="FFFFFF" w:val="clear"/>
        </w:rPr>
        <w:t xml:space="preserve">our capital </w:t>
      </w:r>
      <w:r>
        <w:rPr>
          <w:rFonts w:ascii="Times New Roman;serif" w:hAnsi="Times New Roman;serif"/>
          <w:b w:val="false"/>
          <w:color w:val="000000"/>
          <w:sz w:val="20"/>
        </w:rPr>
        <w:t xml:space="preserve">raises;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future trading price of the ADSs and impact of securities analysts’ reports on these prices;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and uncertainties, including those listed under the caption “Risk Factors.”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You should refer to the section titled “</w:t>
      </w:r>
      <w:hyperlink w:anchor="ie9b362b96062444292dd13506ca98f43_103">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in this 10-Q for a discussion of important factors that may cause our actual results to differ materially from those expressed or implied by our forward-looking statements. As a result of these factors, we cannot be assured that the forward-looking statements in this 10-Q will prove to be accurate. Furthermore, if our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10-Q and the documents that we reference in this 10-Q and have filed as exhibits to this 10-Q completely and with the understanding that our actual future results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Centessa Pharmaceuticals plc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42"/>
        <w:gridCol w:w="2295"/>
        <w:gridCol w:w="2049"/>
        <w:gridCol w:w="217"/>
        <w:gridCol w:w="852"/>
        <w:gridCol w:w="112"/>
        <w:gridCol w:w="109"/>
        <w:gridCol w:w="109"/>
        <w:gridCol w:w="109"/>
        <w:gridCol w:w="231"/>
        <w:gridCol w:w="906"/>
        <w:gridCol w:w="174"/>
      </w:tblGrid>
      <w:tr>
        <w:trPr/>
        <w:tc>
          <w:tcPr>
            <w:tcW w:w="3042"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incentive receivable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687,495 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160,632 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£0.002 nominal value: 222,480,776 shares authorized, 154,728,966 issued and outstanding at March 31, 2026: 222,480,776 shares authorized, 149,228,068 issued and outstanding at December 31, 2025</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1,750,996 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1,709,978 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(1,265,475)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(1,186,234)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526,863 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641,763 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687,495 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i/>
          <w:color w:val="000000"/>
          <w:sz w:val="18"/>
        </w:rPr>
      </w:pPr>
      <w:r>
        <w:rPr>
          <w:rFonts w:ascii="Times New Roman;serif" w:hAnsi="Times New Roman;serif"/>
          <w:b/>
          <w:i/>
          <w:color w:val="000000"/>
          <w:sz w:val="18"/>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Centessa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389"/>
        <w:gridCol w:w="1720"/>
        <w:gridCol w:w="1724"/>
        <w:gridCol w:w="109"/>
        <w:gridCol w:w="109"/>
        <w:gridCol w:w="109"/>
        <w:gridCol w:w="109"/>
        <w:gridCol w:w="109"/>
        <w:gridCol w:w="109"/>
        <w:gridCol w:w="109"/>
        <w:gridCol w:w="303"/>
        <w:gridCol w:w="971"/>
        <w:gridCol w:w="124"/>
        <w:gridCol w:w="109"/>
        <w:gridCol w:w="109"/>
        <w:gridCol w:w="109"/>
        <w:gridCol w:w="303"/>
        <w:gridCol w:w="971"/>
        <w:gridCol w:w="124"/>
        <w:gridCol w:w="109"/>
        <w:gridCol w:w="109"/>
        <w:gridCol w:w="109"/>
        <w:gridCol w:w="159"/>
      </w:tblGrid>
      <w:tr>
        <w:trPr/>
        <w:tc>
          <w:tcPr>
            <w:tcW w:w="2389"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 for sale securities during period, net of tax of $0.2 million in 2026 and $0 in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net (loss) gain on available for sale marketable securities included in net loss, net of tax of $0.1 million in 2026 and $0.8 million in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ordinary share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ordinary shares outstanding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153,549,733 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133,033,541 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i/>
          <w:color w:val="000000"/>
          <w:sz w:val="18"/>
        </w:rPr>
      </w:pPr>
      <w:r>
        <w:rPr>
          <w:rFonts w:ascii="Times New Roman;serif" w:hAnsi="Times New Roman;serif"/>
          <w:b/>
          <w:i/>
          <w:color w:val="000000"/>
          <w:sz w:val="18"/>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Centessa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share data)</w:t>
      </w:r>
    </w:p>
    <w:tbl>
      <w:tblPr>
        <w:tblW w:w="10205" w:type="dxa"/>
        <w:jc w:val="left"/>
        <w:tblInd w:w="0" w:type="dxa"/>
        <w:tblLayout w:type="fixed"/>
        <w:tblCellMar>
          <w:top w:w="28" w:type="dxa"/>
          <w:left w:w="28" w:type="dxa"/>
          <w:bottom w:w="28" w:type="dxa"/>
          <w:right w:w="28" w:type="dxa"/>
        </w:tblCellMar>
      </w:tblPr>
      <w:tblGrid>
        <w:gridCol w:w="1019"/>
        <w:gridCol w:w="365"/>
        <w:gridCol w:w="369"/>
        <w:gridCol w:w="109"/>
        <w:gridCol w:w="533"/>
        <w:gridCol w:w="533"/>
        <w:gridCol w:w="196"/>
        <w:gridCol w:w="109"/>
        <w:gridCol w:w="109"/>
        <w:gridCol w:w="109"/>
        <w:gridCol w:w="196"/>
        <w:gridCol w:w="436"/>
        <w:gridCol w:w="109"/>
        <w:gridCol w:w="109"/>
        <w:gridCol w:w="109"/>
        <w:gridCol w:w="109"/>
        <w:gridCol w:w="196"/>
        <w:gridCol w:w="886"/>
        <w:gridCol w:w="109"/>
        <w:gridCol w:w="109"/>
        <w:gridCol w:w="109"/>
        <w:gridCol w:w="109"/>
        <w:gridCol w:w="272"/>
        <w:gridCol w:w="792"/>
        <w:gridCol w:w="152"/>
        <w:gridCol w:w="109"/>
        <w:gridCol w:w="109"/>
        <w:gridCol w:w="109"/>
        <w:gridCol w:w="196"/>
        <w:gridCol w:w="890"/>
        <w:gridCol w:w="109"/>
        <w:gridCol w:w="109"/>
        <w:gridCol w:w="109"/>
        <w:gridCol w:w="109"/>
        <w:gridCol w:w="196"/>
        <w:gridCol w:w="751"/>
        <w:gridCol w:w="156"/>
      </w:tblGrid>
      <w:tr>
        <w:trPr/>
        <w:tc>
          <w:tcPr>
            <w:tcW w:w="101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149,228,068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1,709,978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2,714</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(1,186,234)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526,863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5,296,060 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351,988 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to pay employee withholding tax on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available for sale securities,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realized net (loss) gain on available for sale marketable securities included in net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154,728,966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1,750,996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1,408</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(1,265,475)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487,348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132,631,587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1,385,675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4,213</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401,545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ordinary shares under ATM program,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to pay employee withholding tax on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available for sale securities,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realized net (loss) gain on available for sale marketable securities included in net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133,554,598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1,398,647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2,075</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(1,014,837)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386,247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i/>
          <w:color w:val="000000"/>
          <w:sz w:val="18"/>
        </w:rPr>
      </w:pPr>
      <w:r>
        <w:rPr>
          <w:rFonts w:ascii="Times New Roman;serif" w:hAnsi="Times New Roman;serif"/>
          <w:b/>
          <w:i/>
          <w:color w:val="000000"/>
          <w:sz w:val="18"/>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Centessa Pharmaceuticals plc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465"/>
        <w:gridCol w:w="2133"/>
        <w:gridCol w:w="2150"/>
        <w:gridCol w:w="712"/>
        <w:gridCol w:w="422"/>
        <w:gridCol w:w="406"/>
        <w:gridCol w:w="109"/>
        <w:gridCol w:w="109"/>
        <w:gridCol w:w="109"/>
        <w:gridCol w:w="663"/>
        <w:gridCol w:w="391"/>
        <w:gridCol w:w="536"/>
      </w:tblGrid>
      <w:tr>
        <w:trPr/>
        <w:tc>
          <w:tcPr>
            <w:tcW w:w="2465"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6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(26,135)</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discount of marketable securities</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exit fee of long-term debt</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deferred taxes</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incentive receivable</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 net</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(29,550)</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(57,246)</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 in marketable securities</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(297,476)</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investments in marketable securities</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75,088</w:t>
            </w:r>
          </w:p>
        </w:tc>
      </w:tr>
      <w:tr>
        <w:trPr/>
        <w:tc>
          <w:tcPr>
            <w:tcW w:w="6748"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1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(222,388)</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issuance of shares under ATM program, net of issuance costs</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option exercises</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employee withholding taxes related to withheld shares for stock based compensation plans</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on cash and cash equivalents</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(278,065)</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383,221</w:t>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105,156</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1,681</w:t>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payments reducing operating lease liabilities</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i/>
          <w:color w:val="000000"/>
          <w:sz w:val="18"/>
        </w:rPr>
      </w:pPr>
      <w:r>
        <w:rPr>
          <w:rFonts w:ascii="Times New Roman;serif" w:hAnsi="Times New Roman;serif"/>
          <w:b/>
          <w:i/>
          <w:color w:val="000000"/>
          <w:sz w:val="18"/>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Centessa Pharmaceuticals plc (“Centessa” or “the Company”) is a clinical-stage biotechnology company pioneering a new class of therapeutics in orexin-based neuroscience. We are developing a franchise of small molecule orexin receptor 2 (OX2R) agonists designed to address neuroscience diseases underpinned by dysregulation of wakefulness, attention, cognition, mood, and other symptoms, each grounded in the shared biology of the orexin pathway. Centessa was incorporated on October 26, 2020 as a limited liability company under the laws of England and Wales. In connection with the Company’s initial public offering, or IPO, the Company re-registered Centessa Pharmaceuticals Limited as an English public limited company and renamed it as Centessa Pharmaceuticals plc.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The Proposed Lilly Transaction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31, 2026, we entered into a Transaction Agreement (the “Transaction Agreement”) with Eli Lilly and Company, an Indiana corporation (“Lilly” or “Parent”), and LDH XV Corporation, a Delaware corporation, and direct wholly owned subsidiary of Parent (“Purchaser”), pursuant to which Purchaser (and/or at Parent’s election its nominee(s)), will acquire our entire issued and to be issued share capital (including shares represented by our ADSs) pursuant to a court-sanctioned scheme of arrangement under Part 26 of the UK Companies Act 2006 (the “Scheme of Arrangement” and such acquisition, the “Transaction”), for $38.00 in cash per share, without interest, plus one non-transferable contingent value right entitling the holders to receive up to three contingent cash payments of up to an aggregate of $9.00 per share, contingent upon the achievement of specified milestones set forth in the Contingent Value Rights Agreement (the “CVR Agreement”), substantially in the form attached as Annex I to the Transaction Agreement (such contingent value rights, the “CVRs” and, together with the Cash Consideration, the “Transaction Consideration”). The Transaction is expected to close in the third quarter of 2026, subject to certain customary closing conditions, including the approval of the Scheme of Arrangement by our shareholders, the sanction of the Scheme of Arrangement by the High Court of Justice of England and Wales and receipt of the required regulatory approvals. See “Note 3 – Eli Lilly Agreement” in this Form 10-Q for additional information regarding the Transaction.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Risks and Liquidity</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Company is subject to risks common to other life science companies in various stages of development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w:t>
      </w:r>
      <w:r>
        <w:rPr>
          <w:rFonts w:ascii="Times New Roman;serif" w:hAnsi="Times New Roman;serif"/>
          <w:b w:val="false"/>
          <w:color w:val="000000"/>
          <w:sz w:val="20"/>
          <w:shd w:fill="FFFFFF" w:val="clear"/>
        </w:rPr>
        <w:t>rams, into an</w:t>
      </w:r>
      <w:r>
        <w:rPr>
          <w:rFonts w:ascii="Times New Roman;serif" w:hAnsi="Times New Roman;serif"/>
          <w:b w:val="false"/>
          <w:color w:val="000000"/>
          <w:sz w:val="20"/>
        </w:rPr>
        <w:t xml:space="preserve">d through human clinical trials and/or enter into collaborations for its programs and commercialize any of its product candidates, it may be unable to produce product revenue or achieve profitability.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losses and negative cash flows from operations since inception and the Company had an accumulated deficit of $1.27 billion as of March 31, 2026. The Company anticipates incurring additional losses until such time, if ever, that it can generate significant sales of the product candidates currently in development. Substantial additional capital will be needed by the Company to fund its operations and to develop its product candidates.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Company entered into a sales agreement, dated January 27, 2023 and amended and restated on November 24, 2025 (the “Sales Agreement”), by and between Centessa Pharmaceuticals plc and Leerink Partners LLC. As sales agent, Leerink Partners LLC provided for the issuance and sale by the Company of up to $250.0 million of its ordinary shares represented by American Depository Shares (“ADSs”) from time to time in “at-the-market” offerings (“ATM Program”). In the three months ended March 31, 2026, the Company has not sold any ordinary shares under the ATM Program. Since the inception of the ATM program in 2023, as of March 31, 2026, the Company sold 4,663,354</w:t>
      </w:r>
      <w:r>
        <w:rPr>
          <w:color w:val="000000"/>
          <w:shd w:fill="FFFFFF" w:val="clear"/>
        </w:rPr>
        <w:t xml:space="preserve"> </w:t>
      </w:r>
      <w:r>
        <w:rPr>
          <w:rFonts w:ascii="Times New Roman;serif" w:hAnsi="Times New Roman;serif"/>
          <w:b w:val="false"/>
          <w:color w:val="000000"/>
          <w:sz w:val="20"/>
          <w:shd w:fill="FFFFFF" w:val="clear"/>
        </w:rPr>
        <w:t xml:space="preserve">ordinary shares under the ATM Program, resulting in net proceeds of approximately </w:t>
      </w:r>
      <w:r>
        <w:rPr>
          <w:rFonts w:ascii="Times New Roman;serif" w:hAnsi="Times New Roman;serif"/>
          <w:b w:val="false"/>
          <w:color w:val="000000"/>
          <w:sz w:val="20"/>
        </w:rPr>
        <w:t>$36.6 million under the Sales Agreement</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In 2025, the Company completed an offering of its ordinary shares </w:t>
      </w:r>
      <w:r>
        <w:rPr>
          <w:rFonts w:ascii="Times New Roman;serif" w:hAnsi="Times New Roman;serif"/>
          <w:b w:val="false"/>
          <w:color w:val="000000"/>
          <w:sz w:val="20"/>
        </w:rPr>
        <w:t xml:space="preserve">through the sale and issuance of a cumulative 13,372,093 ADSs. Each ADS represents one ordinary share with a nominal value of £0.002 per ordinary share. </w:t>
      </w:r>
      <w:r>
        <w:rPr>
          <w:rFonts w:ascii="Times New Roman;serif" w:hAnsi="Times New Roman;serif"/>
          <w:b w:val="false"/>
          <w:color w:val="000000"/>
          <w:sz w:val="20"/>
          <w:shd w:fill="FFFFFF" w:val="clear"/>
        </w:rPr>
        <w:t xml:space="preserve">The completed offerings, which included the underwriters’ over-allotment option to purchase additional shares, was made pursuant to the Shelf registration. The net proceeds of these offerings, after deducting underwriting discounts and commissions and offering expenses, was approximately </w:t>
      </w:r>
      <w:r>
        <w:rPr>
          <w:rFonts w:ascii="Times New Roman;serif" w:hAnsi="Times New Roman;serif"/>
          <w:b w:val="false"/>
          <w:color w:val="000000"/>
          <w:sz w:val="20"/>
        </w:rPr>
        <w:t>$269.2 million</w:t>
      </w:r>
      <w:r>
        <w:rPr>
          <w:rFonts w:ascii="Times New Roman;serif" w:hAnsi="Times New Roman;serif"/>
          <w:b w:val="false"/>
          <w:color w:val="000000"/>
          <w:sz w:val="20"/>
          <w:shd w:fill="FFFFFF" w:val="clear"/>
        </w:rPr>
        <w:t xml:space="preserve">. The Company intends to use the net proceeds from the offerings, together with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existing cash, cash equivalents, and investments, to fund the continued development of its product candidates, as well as for general corporate purposes.</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The Company expects its existing cash, cash equivalents and investments </w:t>
      </w:r>
      <w:r>
        <w:rPr>
          <w:rFonts w:ascii="Times New Roman;serif" w:hAnsi="Times New Roman;serif"/>
          <w:b w:val="false"/>
          <w:color w:val="000000"/>
          <w:sz w:val="20"/>
        </w:rPr>
        <w:t xml:space="preserve">as of March 31, 2026 of $533.7 million </w:t>
      </w:r>
      <w:r>
        <w:rPr>
          <w:rFonts w:ascii="Times New Roman;serif" w:hAnsi="Times New Roman;serif"/>
          <w:b w:val="false"/>
          <w:color w:val="000000"/>
          <w:sz w:val="20"/>
          <w:shd w:fill="FFFFFF" w:val="clear"/>
        </w:rPr>
        <w:t xml:space="preserve">will be sufficient to fund its expected operating expenses and capital expenditure requirements for at least the next twelve months from the date of issuance of these </w:t>
      </w:r>
      <w:r>
        <w:rPr>
          <w:rFonts w:ascii="Times New Roman;serif" w:hAnsi="Times New Roman;serif"/>
          <w:b w:val="false"/>
          <w:color w:val="000000"/>
          <w:sz w:val="20"/>
        </w:rPr>
        <w:t>unaudited interim consolidated financial statements.</w:t>
      </w:r>
    </w:p>
    <w:p>
      <w:pPr>
        <w:pStyle w:val="TextBody"/>
        <w:bidi w:val="0"/>
        <w:spacing w:lineRule="auto" w:line="288" w:before="360" w:after="283"/>
        <w:jc w:val="both"/>
        <w:rPr/>
      </w:pPr>
      <w:r>
        <w:rPr>
          <w:rFonts w:ascii="Times New Roman;serif" w:hAnsi="Times New Roman;serif"/>
          <w:b w:val="false"/>
          <w:i/>
          <w:color w:val="000000"/>
          <w:sz w:val="20"/>
        </w:rPr>
        <w:t>Emerging Growth Company and Smaller Reporting Company Status</w:t>
      </w:r>
      <w:r>
        <w:rPr>
          <w:color w:val="000000"/>
        </w:rPr>
        <w:t xml:space="preserv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JOBS Act. Under the JOBS Act, emerging growth companies can delay the adoption of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of audited financial statements in a registration statement for an initial public offering, an exemption from the requirement to provide an auditor’s report on internal controls over financial reporting pursuant to Section 404 of the Sarbanes-Oxley Act of 2002, as amended, an exemption from any requirement that may be adopted by the Public Company Accounting Oversight Board regarding mandatory audit firm rotation and less extensive disclosure about our executive compensation arrangements. The Company has elected to use the extended transition period for complying with new or revised accounting standards that have different effective dates for public and private companies until the earlier of the date that (i) it is no longer an emerging growth company or (ii) the Company affirmatively and irrevocably opts out of the extended transition period provided in the JOBS Act.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remain an emerging growth company until the earliest of (i) the last day of its first fiscal year in which it has total annual gross revenues of $1.235 billion or more, (ii) the last day of its first fiscal year following the fifth anniversary of the closing of its initial public offering, (iii) the date on which it is deemed to be a “large accelerated filer,” under the rules of the SEC, or (iv) the date on which we have issued more than $1.0 billion in non-convertible debt securities during the prior three-year period.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January 1, 2026, the Company ceased to be a “smaller reporting company” (“SRC”) as defined in the Exchange Act. For the first fiscal quarter of 2026, the Company is no longer permitted to take advantage of scaled disclosure requirements for SRCs. The Company will retain its non-accelerated filer status for its filings due in the fiscal year 2026. The Company anticipates that it will have to comply with the auditor attestation requirements of Section 404(b) of the Sarbanes-Oxley Act for the year ended December 31, 2026, and its independent registered public accounting firm will have to evaluate and report on the effectiveness of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should be read in conjunction with the annual audited consolidated financial statements of Centessa Pharmaceuticals plc and related notes which can be found in our Annual Report on Form 10-K for the year ended December 31, 2025 (the “2025 Annual Report”). The Summary of Significant Accounting Policies included in the Company’s annual financial statements have not materially changed, except as set forth below.</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Basis of Presentation and Consolidation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Updates (“ASUs”) promulgated by the Financial Accounting Standards Board (“FASB”).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interim consolidated financial statements include all normal and recurring adjustments (which consist primarily of accruals, estimates and assumptions that impact the financial statements) considered necessary to present fairly:</w:t>
      </w:r>
    </w:p>
    <w:p>
      <w:pPr>
        <w:pStyle w:val="TextBody"/>
        <w:bidi w:val="0"/>
        <w:spacing w:before="0" w:after="0"/>
        <w:jc w:val="left"/>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Company’s financial position as of March 31, 2026 and as of December 31, 2025;</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Company’s results of operations for the three months ended March 31, 2026 and March 31, 2025; and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Company’s cash flows for the three months ended March 31, 2026 and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Operating results for the Company for the three months ended March 31, 2026 are not necessarily indicative of the results that may be expected for the full year. The unaudited interim consolidated financial</w:t>
      </w:r>
      <w:r>
        <w:rPr>
          <w:color w:val="000000"/>
          <w:shd w:fill="FFFFFF" w:val="clear"/>
        </w:rPr>
        <w:t xml:space="preserve"> </w:t>
      </w:r>
      <w:r>
        <w:rPr>
          <w:rFonts w:ascii="Times New Roman;serif" w:hAnsi="Times New Roman;serif"/>
          <w:b w:val="false"/>
          <w:color w:val="000000"/>
          <w:sz w:val="20"/>
          <w:shd w:fill="FFFFFF" w:val="clear"/>
        </w:rPr>
        <w:t xml:space="preserve">statements presented herein do not contain all of the required disclosures under U.S. GAAP for annual financial statements. Notes to the financial statements which would substantially duplicate the disclosure contained in the audited financial statements for fiscal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as reported in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Annual Report have been omitted. Therefore, these unaudited interim consolidated financial statements should be read in conjunction with the annual audited consolidated financial state</w:t>
      </w:r>
      <w:r>
        <w:rPr>
          <w:rFonts w:ascii="Times New Roman;serif" w:hAnsi="Times New Roman;serif"/>
          <w:b w:val="false"/>
          <w:color w:val="000000"/>
          <w:sz w:val="20"/>
        </w:rPr>
        <w:t xml:space="preserve">ments and related notes for Centessa Pharmaceuticals plc found in the Form 10-K for the year ended December 31, 2025 filed with the SEC.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unaudited interim consolidated financial statements include the accounts of Centessa Pharmaceuticals plc, and its wholly owned subsidiaries. All intercompany accounts and transactions have been eliminated in consolidation.</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Cash, Cash Equivalents, and Restricted Cash</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Company’s consolidated balance sheets that sum to the total of the amounts shown in the consolidated statement of cash flows as of March 31, 2026 and March 31, 2025 (in thousands):</w:t>
      </w:r>
    </w:p>
    <w:p>
      <w:pPr>
        <w:pStyle w:val="TextBody"/>
        <w:bidi w:val="0"/>
        <w:spacing w:before="0" w:after="0"/>
        <w:jc w:val="both"/>
        <w:rPr/>
      </w:pPr>
      <w:r>
        <w:rPr/>
      </w:r>
    </w:p>
    <w:tbl>
      <w:tblPr>
        <w:tblW w:w="7358" w:type="dxa"/>
        <w:jc w:val="center"/>
        <w:tblInd w:w="0" w:type="dxa"/>
        <w:tblLayout w:type="fixed"/>
        <w:tblCellMar>
          <w:top w:w="28" w:type="dxa"/>
          <w:left w:w="28" w:type="dxa"/>
          <w:bottom w:w="28" w:type="dxa"/>
          <w:right w:w="28" w:type="dxa"/>
        </w:tblCellMar>
      </w:tblPr>
      <w:tblGrid>
        <w:gridCol w:w="1738"/>
        <w:gridCol w:w="1526"/>
        <w:gridCol w:w="1535"/>
        <w:gridCol w:w="211"/>
        <w:gridCol w:w="721"/>
        <w:gridCol w:w="109"/>
        <w:gridCol w:w="109"/>
        <w:gridCol w:w="109"/>
        <w:gridCol w:w="109"/>
        <w:gridCol w:w="211"/>
        <w:gridCol w:w="826"/>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Investments in Marketable Securities</w:t>
      </w:r>
    </w:p>
    <w:p>
      <w:pPr>
        <w:pStyle w:val="TextBody"/>
        <w:bidi w:val="0"/>
        <w:spacing w:lineRule="auto" w:line="268" w:before="120" w:after="283"/>
        <w:ind w:left="0" w:right="0" w:firstLine="720"/>
        <w:jc w:val="both"/>
        <w:rPr/>
      </w:pPr>
      <w:r>
        <w:rPr>
          <w:rFonts w:ascii="Times New Roman;serif" w:hAnsi="Times New Roman;serif"/>
          <w:b w:val="false"/>
          <w:color w:val="000000"/>
          <w:sz w:val="20"/>
          <w:shd w:fill="FFFFFF" w:val="clear"/>
        </w:rPr>
        <w:t>The Company invests its excess cash in money market funds, U.S. Treasury securities, U.S. government agency securities, corporate debt securities, commercial paper, and municipal bonds. The Company’s investment policy limits investments to money market funds, certain types of debt securities issued by the U.S. Government and its agencies, corporate notes, commercial paper and municipal bonds, and places restrictions on the credit ratings, maturities and concentration by type and issu</w:t>
      </w:r>
      <w:r>
        <w:rPr>
          <w:rFonts w:ascii="Times New Roman;serif" w:hAnsi="Times New Roman;serif"/>
          <w:b w:val="false"/>
          <w:color w:val="000000"/>
          <w:sz w:val="20"/>
        </w:rPr>
        <w:t xml:space="preserve">er. Securities with original maturities of three months or less when purchased are included in cash and cash equivalents. </w:t>
      </w:r>
      <w:r>
        <w:rPr>
          <w:rFonts w:ascii="Times New Roman;serif" w:hAnsi="Times New Roman;serif"/>
          <w:b w:val="false"/>
          <w:color w:val="000000"/>
          <w:sz w:val="20"/>
          <w:shd w:fill="FFFFFF" w:val="clear"/>
        </w:rPr>
        <w:t>We</w:t>
      </w:r>
      <w:r>
        <w:rPr>
          <w:color w:val="000000"/>
        </w:rPr>
        <w:t xml:space="preserve"> </w:t>
      </w:r>
      <w:r>
        <w:rPr>
          <w:rFonts w:ascii="Times New Roman;serif" w:hAnsi="Times New Roman;serif"/>
          <w:b w:val="false"/>
          <w:color w:val="000000"/>
          <w:sz w:val="20"/>
        </w:rPr>
        <w:t xml:space="preserve">consider investments with original maturities greater than three months and remaining maturities less than one year to be short-term investments, while remaining maturities greater than one year are classified as long-term investments.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investments in U.S. government Treasury and agency securities, corporate notes, commercial paper, and municipal bonds were classified as available-for-sale securities, which are recorded at fair value. Unrealized gains and losses on available-for-sale securities are reported net of related income taxes in accumulated other comprehensive income until realized. Purchase premiums and discounts are amortized to interest income over the terms of the related securities. </w:t>
      </w:r>
    </w:p>
    <w:p>
      <w:pPr>
        <w:pStyle w:val="TextBody"/>
        <w:bidi w:val="0"/>
        <w:spacing w:lineRule="auto" w:line="288" w:before="3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Reclassifications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amounts in the prior period financial statements have been reclassified to conform to the presentation of the current period financial statements. These reclassifications had no effect on previously reported net loss or comprehensive loss.</w:t>
      </w:r>
    </w:p>
    <w:p>
      <w:pPr>
        <w:pStyle w:val="TextBody"/>
        <w:bidi w:val="0"/>
        <w:spacing w:lineRule="auto" w:line="288" w:before="3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Use of Estimates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unaudited interim consolidated financial statements in conformity with U.S. GAAP requires management to make estimates and assumptions that affect the reported amounts of assets and liabilities and disclosure of contingent assets and liabilities as of the date of the unaudited interim consolidated financial statements and the reported amounts of expenses during the reporting period. Actual results could differ from those estimates.</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Estimates and assumptions are periodically reviewed and the effects of revisions are reflected in the unaudited interim consolidated financial statements in the period they are determined to be necessary. </w:t>
      </w:r>
      <w:r>
        <w:rPr>
          <w:rFonts w:ascii="Times New Roman;serif" w:hAnsi="Times New Roman;serif"/>
          <w:b w:val="false"/>
          <w:color w:val="000000"/>
          <w:sz w:val="20"/>
        </w:rPr>
        <w:t xml:space="preserve">On an ongoing basis, an evaluation of estimates and judgments are required, including those related to accrued and prepaid research and development expenses, share-based compensation expense and tax related matters. Estimates are based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estimates are recorded in the period in which they become known. Actual results may differ from these estimates under different assumptions or conditions.</w:t>
      </w:r>
    </w:p>
    <w:p>
      <w:pPr>
        <w:pStyle w:val="TextBody"/>
        <w:bidi w:val="0"/>
        <w:spacing w:lineRule="auto" w:line="26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License and other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revenues from collaboration, license or other research or sale arrangements when or as performance obligations are satisfied. For milestone payments, the Company assesses, at contract inception, whether the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until the approvals are obtained as it is outside of the control of the Company. If it is probable that significant revenue reversal will not occur, the Company will estimate the milestone payments using the most likely amount method. The Company reassesses the milestones each reporting period to determine the probability of achievement. Any potential consideration received in the form of royalty or sales-based milestones will be recorded when the customer’s subsequent sales or usages occur.</w:t>
      </w:r>
    </w:p>
    <w:p>
      <w:pPr>
        <w:pStyle w:val="TextBody"/>
        <w:bidi w:val="0"/>
        <w:spacing w:lineRule="auto" w:line="288" w:before="3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Net Loss Per Ordinary Share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have been excluded from the computation of diluted weighted-average ordinary shares outstanding for the three months ended March 31, 2026 and March 31, 2025, as they would be anti-dilutive:</w:t>
      </w:r>
    </w:p>
    <w:p>
      <w:pPr>
        <w:pStyle w:val="TextBody"/>
        <w:bidi w:val="0"/>
        <w:spacing w:before="0" w:after="0"/>
        <w:jc w:val="left"/>
        <w:rPr/>
      </w:pPr>
      <w:r>
        <w:rPr/>
      </w:r>
    </w:p>
    <w:tbl>
      <w:tblPr>
        <w:tblW w:w="5831" w:type="dxa"/>
        <w:jc w:val="center"/>
        <w:tblInd w:w="0" w:type="dxa"/>
        <w:tblLayout w:type="fixed"/>
        <w:tblCellMar>
          <w:top w:w="28" w:type="dxa"/>
          <w:left w:w="28" w:type="dxa"/>
          <w:bottom w:w="28" w:type="dxa"/>
          <w:right w:w="28" w:type="dxa"/>
        </w:tblCellMar>
      </w:tblPr>
      <w:tblGrid>
        <w:gridCol w:w="732"/>
        <w:gridCol w:w="644"/>
        <w:gridCol w:w="648"/>
        <w:gridCol w:w="591"/>
        <w:gridCol w:w="534"/>
        <w:gridCol w:w="536"/>
        <w:gridCol w:w="109"/>
        <w:gridCol w:w="109"/>
        <w:gridCol w:w="109"/>
        <w:gridCol w:w="652"/>
        <w:gridCol w:w="482"/>
        <w:gridCol w:w="685"/>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34,746 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1,154,321 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1,125,346 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15,428,753 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20,300,306 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16,583,074 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21,460,398 </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Eli Lilly Agreement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Transaction Agreement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31, 2026, we entered into a Transaction Agreement with Lilly and Purchaser. Under the terms of the Transaction Agreement, Purchaser (and/or at Parent’s election, its nominee(s)) will acquire the entire issued and to be issued share capital of the Company (the “Acquisition”) by means of the Scheme of Arrangement. Upon the Scheme of Arrangement becoming effective, the Company will become a wholly owned subsidiary of Purchaser.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effective time of the Scheme of Arrangement (the “Effective Time”), holders of the Company Shares (including Company Shares represented by our ADSs), will be entitled to receive (i) $38.00 in cash per Company Share, without interest (the “Cash Consideration”), plus (ii) one non-transferable contingent value right entitling the holders to receive contingent cash payments of up to an aggregate of $9.00 per Company Share, contingent upon the achievement of specified milestones set forth in the CVR Agreement. The Acquisition and the Scheme of Arrangement have been recommended by the board of directors of the Company (the “Company Board”) and the boards of directors of Parent and Purchaser.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Treatment of Company Equity Awards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Transaction Agreement, at the Effective Time: (i) each outstanding option with an exercise price below the cash consideration (each such option, a “Company Cash-Out Option”), whether vested or unvested, will be canceled and converted into the right to receive (A) a cash payment equal to the excess of the cash consideration over the exercise price, multiplied by the number of shares underlying such Company Cash-Out Option (less applicable withholding), and (B) one CVR per underlying Company Cash-Out Option; (ii) each outstanding option with an exercise price equal to or above the cash consideration (each such option, a “Company Underwater Option”) will fully vest prior to the Effective Time and will be exercisable prior to the Effective Time, with any portion remaining unexercised as of the Effective Time canceled for no consideration; and (iii) each outstanding restricted stock unit otherwise (each such restricted stock unit, a “Company RSU”) will fully vest and, at the Effective Time, will be canceled and converted into the right to receive (A) a cash payment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consideration multiplied by the number of shares underlying such Company RSU (less applicable withholding) and (B) one CVR per underlying Company RSU.</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Conditions to Completion of the Acquisition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Acquisition is subject to customary closing conditions, including, among other things: (a) the approval of the Scheme of Arrangement by a majority in number representing not less than three-fourths (75%) in value of the members or class of members (as the case may be) present and voting (either in person or by proxy) at the Scheme Meeting (as defined in the Transaction Agreement) (including any separate class meeting which may be required by the High Court of Justice of England and Wales (the “Court”)) and the passing of the Company Shareholder Resolution (as defined in the Transaction Agreement) by members representing not less than three-fourths (75%) of the total voting rights of eligible members present and voting (either in person or by proxy) at the Company GM (as defined in the Transaction Agreement), (b) the sanctioning of the Scheme of Arrangement by the Court, (c) the expiration or termination of the applicable waiting period (and any extension thereof) under the Hart-Scott-Rodino Antitrust Improvements Act of 1976, as amended (the “HSR Act”), (d) the absence of any order, decree or ruling that remains in effect and enjoins, prevents, prohibits, or makes illegal the consummation of the Contemplated Transactions, (e) that each party’s respective representations and warranties, subject to certain customary materiality standards set forth in the Transaction Agreement, shall be true and correct as of the Effective Time, (f) the performance or compliance in all material respects with the other party’s obligations under the Transaction Agreement, and (g) no Company Material Adverse Effect (as defined in the Transaction Agreement) having occurred that is continuing at the Effective Time.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Representations and Warranties; Covenants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Transaction Agreement includes customary representations, warranties and covenants of the Company, Parent and Purchaser. The Company has agreed, among other things, to use commercially reasonable efforts to operate its business in the ordinary course until the earlier of the Effective Time or the date the Transaction Agreement is terminated, and not to engage in specified types of transactions during such period. The Company has also agreed to customary non-solicitation restrictions, including not to initiate, solicit, knowingly encourage or knowingly facilitate discussions with third parties regarding other proposals for alternative business combination transactions involving the Company or change the recommendation of the Company Board to the Company’s shareholders regarding the Scheme of Arrangement, in each case, except as otherwise permitted by the Transaction Agreement, including to enter into an alternative transaction that constitutes a Superior Proposal (as defined in the Transaction Agreement) in compliance with the Company Board’s fiduciary duties under applicable law and subject to payment of a termination fee. Parent, Purchaser and the Company have agreed to use reasonable best efforts to take actions that may be required in order to obtain antitrust approval of the proposed transaction, subject to certain limitations.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Termination and Termination Fee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Transaction Agreement also includes customary termination provisions for both the Company and Parent, including, among others, the right of both parties to terminate for failure to consummate the transactions contemplated by the Transaction Agreement and the Scheme of Arrangement (together, the “Contemplated Transactions”) on or before September 30, 2026, which date shall be extended to March 31, 2027 if the closing condition regarding the expiration of the waiting period (and any extension thereof) under the HSR Act remains unsatisfied. If the Transaction Agreement is terminated under certain circumstances specified in the Transaction Agreement, the Company will be required to pay Parent a termination fee of approximately $63 million (including under specified circumstances in connection with the Company’s entry into an agreement with respect to a Superior Proposal or the Company Board’s change of recommendation in favor of the Acquisition). The parties to the Transaction Agreement are also entitled to specifically enforce the terms and provisions of the Transaction Agreement.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Voting and Support Agreements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31, 2026, in connection with the execution and delivery of the Transaction Agreement, entities affiliated with Medicxi Ventures, Index Ventures and affiliates of General Atlantic (collectively, the “Supporting Shareholders”), solely in their respective capacities as shareholders of the Company, each entered into a voting and support agreement (collectively, the “Voting Agreements”) with Parent and the Company, pursuant to which each Supporting Shareholder agreed, among other things, (i) to vote (or cause to vote) in favor of the Scheme of Arrangement and the Company Shareholder Resolution, (ii) to vote against other proposals to acquire the Company and (iii) to certain other restrictions on its ability to take actions with respect to the Company and its Company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Voting Agreements have been included to provide information regarding their terms. They are not intended to modify or supplement any factual disclosures about the applicable Supporting Shareholder or the Company in any public reports filed with the SEC by the Company.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Voting Agreements is qualified in all respects by reference to the full copy of the form of Voting Agreement.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Contingent Value Rights Agreement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or prior to the Effective Time, Parent, Purchaser and Computershare Inc., a Delaware Corporation, and its affiliate, Computershare Trust Company, N.A., a federally chartered trust company, will enter into the CVR Agreement. Pursuant to the Transaction Agreement, each holder of Company Shares (including Company Shares represented by the ADS) and each holder of Company Covered Award (as defined in the CVR Agreement) will be entitled to receive one CVR for each Company Share or Company Covered Award, as applicable, which represents the right to receive contingent cash payments of up to an aggregate of $9.00 per Company Share, without interest and less any applicable tax withholding upon the achievement of specified regulatory milestones for cleminorexton (formerly ORX750) or ORX142 (the “Milestones”). The Milestones include receipt of U.S. regulatory approval for ORX750 or ORX142 for the treatment of idiopathic hypersomnia, any indication and narcolepsy type 2, respectively, in each case prior to the applicable milestone deadline. The CVR will be subject to the terms and conditions set forth in the CVR Agreement. Each CVR represents a contractual right only. The CVRs will not be transferable, except in the limited circumstances specified in the CVR Agreement, will not be evidenced by certificate or other instrument and will not be registered or listed for trading. The CVRs will not have any voting or dividend rights and will not represent any equity or ownership interest in Purchaser or the Company.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potential payout of the CVR is subject to various risks and uncertainties related to the development of cleminorexton or ORX142 and U.S. Food and Drug Administration clearances.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 Milestones will be achieved prior to their expiration or termination of the CVR Agreement, or that payment will be required of Parent with respect to the Milestones.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CVR Agreement does not purport to be complete and is subject to, and is qualified in its entirety by, the full text of the form of the CVR Agreement.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incurred approximately $2.5 million in advisory fees related to the proposed Lilly transaction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Genmab License Agreement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Background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14, 2025, the Company entered into a license agreement (the “License Agreement”) with Genmab A/S (“Genmab”) pursuant to which the Company granted to Genmab an exclusive worldwide license to leverage its proprietary LockBody technology platform to perform research on up to three undisclosed targets selected during a multi-year research period. Additionally, the License Agreement provides Genmab with the option to obtain an exclusive commercial license for worldwide development and commercialization of products against each of the selected three targets. Genmab will conduct all research and development activities under the License Agreement, which may combine the Company’s LockBody technology with Genmab’s proprietary antibody technologies. The LockBody technology platform is designed to improve the therapeutic index of therapies by allowing the conditional activation of potent cell killing mechanisms in diseased tissue, but not in non-diseased tissue.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License Agreement, the Company received a non-refundable upfront payment of $15.0 million related to the license of the LockBody technology platform. Additionally, the Company may receive, in the future, an aggregate of up to $15.0 million when (and if) Genmab exercises the options to acquire the exclusive commercial licenses as discussed above. Further, the Company is eligible to receive potential payouts of up to $234.0 million in development, regulatory and sales milestones per product, as well as tiered royalties ranging in the mid single-digits on annual global net licensed product sales.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License Agreement includes various representations, warranties, covenants, indemnities, and other customary provisions. Unless earlier terminated in accordance with its terms, the License Agreement will expire upon expiration of the last royalty term for the last licensed product. Genmab may terminate the License Agreement or on a target-by-target basis for convenience upon specified time periods. On a target-by-target basis, if Genmab elects not to exercise its option for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exclusive commercial license for worldwide development and commercialization of products against the applicable target (a “Reserved Target”), then the License Agreement will automatically terminate with respect to such Reserved Target. Subject to the terms and specified exceptions set forth in the License Agreement, either party may terminate the License Agreement for the other party’s uncured material breach or insolvency upon a specified notice period.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Treatment</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 Company assessed the License Agreement in accordance with ASC 606, </w:t>
      </w:r>
      <w:r>
        <w:rPr>
          <w:rFonts w:ascii="Times New Roman;serif" w:hAnsi="Times New Roman;serif"/>
          <w:b w:val="false"/>
          <w:i/>
          <w:color w:val="000000"/>
          <w:sz w:val="20"/>
        </w:rPr>
        <w:t>Revenue with Contracts from Customers</w:t>
      </w:r>
      <w:r>
        <w:rPr>
          <w:rFonts w:ascii="Times New Roman;serif" w:hAnsi="Times New Roman;serif"/>
          <w:b w:val="false"/>
          <w:color w:val="000000"/>
          <w:sz w:val="20"/>
        </w:rPr>
        <w:t>, and concluded that the promises in the License Agreement represent a transaction with a customer. The following promises within the License Agreement were identified: (i) the exclusive license of the LockBody technology platform and the ability to perform research on up to three targets, (ii) initial and continuing know-how transfer for the LockBody technology platform, and (iii) participation in a joint steering committee (“JSC”). The promises related to the know-how transfer and JSC participation were determined to be immaterial in the context of the contract as the time commitment and related cost is expected to be inconsequential to the total contract consideration. Accordingly, they were not assessed as performance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Company also evaluated the options to acquire exclusive commercial licenses contained within the License Agreement to determine if they provide Genmab with any material rights. The Company concluded that the options were not issued at a significant and incremental discount and therefore do not provide Genmab with a material right. As such, these options were excluded as performance obligations and will be accounted for when (and if) they are exercised.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As a result, the Company determined that the promise to provide the exclusive license constitutes a single performance obligation within the License Agreement.</w:t>
      </w:r>
      <w:r>
        <w:rPr>
          <w:color w:val="000000"/>
        </w:rPr>
        <w:t xml:space="preserve"> </w:t>
      </w:r>
      <w:r>
        <w:rPr>
          <w:rFonts w:ascii="Times New Roman;serif" w:hAnsi="Times New Roman;serif"/>
          <w:b w:val="false"/>
          <w:color w:val="000000"/>
          <w:sz w:val="20"/>
        </w:rPr>
        <w:t>Further, the exclusive license represents functional intellectual property given the Company will not be providing any additional services to Genmab outside of the right to use the licensed intellectual property. Accordingly, the $15.0 million up front payment was recognized as revenue at a point in time, upon delivery of the exclusive license to Genmab at contract inception.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has constrained all variable consideration related to potential milestone payments associated with the License Agreement given the level of uncertainty associated with their achievement. Accordingly, no revenue relating to these milestones has been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Fair Value Measurement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cash, prepaid expenses, tax incentive receivable and accounts payable, are shown at cost, which approximates fair value due to the short-term nature of these instruments.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Company follows the provisions of FASB ASC Topic 820,</w:t>
      </w:r>
      <w:r>
        <w:rPr>
          <w:color w:val="000000"/>
        </w:rPr>
        <w:t xml:space="preserve"> </w:t>
      </w:r>
      <w:r>
        <w:rPr>
          <w:rFonts w:ascii="Times New Roman;serif" w:hAnsi="Times New Roman;serif"/>
          <w:b w:val="false"/>
          <w:i/>
          <w:color w:val="000000"/>
          <w:sz w:val="20"/>
        </w:rPr>
        <w:t>Fair Value Measurement</w:t>
      </w:r>
      <w:r>
        <w:rPr>
          <w:rFonts w:ascii="Times New Roman;serif" w:hAnsi="Times New Roman;serif"/>
          <w:b w:val="false"/>
          <w:color w:val="000000"/>
          <w:sz w:val="20"/>
        </w:rPr>
        <w:t>, for financial assets and liabilities measured on a recurring basis. The guidance requires fair value measurements be classified and disclosed in one of the following three categories:</w:t>
      </w:r>
    </w:p>
    <w:p>
      <w:pPr>
        <w:pStyle w:val="TextBody"/>
        <w:bidi w:val="0"/>
        <w:spacing w:lineRule="auto" w:line="288" w:before="120" w:after="283"/>
        <w:ind w:left="0" w:right="0" w:hanging="1080"/>
        <w:jc w:val="both"/>
        <w:rPr/>
      </w:pPr>
      <w:r>
        <w:rPr>
          <w:rFonts w:ascii="Times New Roman;serif" w:hAnsi="Times New Roman;serif"/>
          <w:b w:val="false"/>
          <w:i/>
          <w:color w:val="000000"/>
          <w:sz w:val="20"/>
        </w:rPr>
        <w:t>Level 1:    </w:t>
      </w:r>
      <w:r>
        <w:rPr>
          <w:rFonts w:ascii="Times New Roman;serif" w:hAnsi="Times New Roman;serif"/>
          <w:b w:val="false"/>
          <w:color w:val="000000"/>
          <w:sz w:val="20"/>
        </w:rPr>
        <w:t>Unadjusted quoted prices in active markets that are accessible at the measurement date for identical, unrestricted assets or liabilities.</w:t>
      </w:r>
    </w:p>
    <w:p>
      <w:pPr>
        <w:pStyle w:val="TextBody"/>
        <w:bidi w:val="0"/>
        <w:spacing w:lineRule="auto" w:line="288" w:before="120" w:after="283"/>
        <w:ind w:left="0" w:right="0" w:hanging="1080"/>
        <w:jc w:val="both"/>
        <w:rPr/>
      </w:pPr>
      <w:r>
        <w:rPr>
          <w:rFonts w:ascii="Times New Roman;serif" w:hAnsi="Times New Roman;serif"/>
          <w:b w:val="false"/>
          <w:i/>
          <w:color w:val="000000"/>
          <w:sz w:val="20"/>
        </w:rPr>
        <w:t>Level 2:</w:t>
      </w:r>
      <w:r>
        <w:rPr>
          <w:color w:val="000000"/>
        </w:rPr>
        <w:t>    </w:t>
      </w:r>
      <w:r>
        <w:rPr>
          <w:rFonts w:ascii="Times New Roman;serif" w:hAnsi="Times New Roman;serif"/>
          <w:b w:val="false"/>
          <w:color w:val="000000"/>
          <w:sz w:val="20"/>
        </w:rPr>
        <w:t>Quoted prices in markets that are not active, or inputs which are observable, either directly or indirectly, for substantially the full term of the asset or liabilities.</w:t>
      </w:r>
    </w:p>
    <w:p>
      <w:pPr>
        <w:pStyle w:val="TextBody"/>
        <w:bidi w:val="0"/>
        <w:spacing w:lineRule="auto" w:line="288" w:before="120" w:after="283"/>
        <w:ind w:left="0" w:right="0" w:hanging="1080"/>
        <w:jc w:val="both"/>
        <w:rPr/>
      </w:pPr>
      <w:r>
        <w:rPr>
          <w:rFonts w:ascii="Times New Roman;serif" w:hAnsi="Times New Roman;serif"/>
          <w:b w:val="false"/>
          <w:i/>
          <w:color w:val="000000"/>
          <w:sz w:val="20"/>
        </w:rPr>
        <w:t>Level 3:    </w:t>
      </w:r>
      <w:r>
        <w:rPr>
          <w:rFonts w:ascii="Times New Roman;serif" w:hAnsi="Times New Roman;serif"/>
          <w:b w:val="false"/>
          <w:color w:val="000000"/>
          <w:sz w:val="20"/>
        </w:rPr>
        <w:t>Prices or valuation techniques that require inputs that are both significant to the fair value measurement and unobservable (i.e., supported by little or no market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fair value hierarchy table presents information about the Company’s financial assets measured and carried at fair value (amounts in thousands):</w:t>
      </w:r>
    </w:p>
    <w:tbl>
      <w:tblPr>
        <w:tblW w:w="10205" w:type="dxa"/>
        <w:jc w:val="left"/>
        <w:tblInd w:w="0" w:type="dxa"/>
        <w:tblLayout w:type="fixed"/>
        <w:tblCellMar>
          <w:top w:w="28" w:type="dxa"/>
          <w:left w:w="28" w:type="dxa"/>
          <w:bottom w:w="28" w:type="dxa"/>
          <w:right w:w="28" w:type="dxa"/>
        </w:tblCellMar>
      </w:tblPr>
      <w:tblGrid>
        <w:gridCol w:w="1253"/>
        <w:gridCol w:w="1021"/>
        <w:gridCol w:w="1020"/>
        <w:gridCol w:w="299"/>
        <w:gridCol w:w="1023"/>
        <w:gridCol w:w="154"/>
        <w:gridCol w:w="109"/>
        <w:gridCol w:w="109"/>
        <w:gridCol w:w="109"/>
        <w:gridCol w:w="337"/>
        <w:gridCol w:w="1320"/>
        <w:gridCol w:w="173"/>
        <w:gridCol w:w="109"/>
        <w:gridCol w:w="109"/>
        <w:gridCol w:w="109"/>
        <w:gridCol w:w="413"/>
        <w:gridCol w:w="798"/>
        <w:gridCol w:w="215"/>
        <w:gridCol w:w="109"/>
        <w:gridCol w:w="109"/>
        <w:gridCol w:w="109"/>
        <w:gridCol w:w="211"/>
        <w:gridCol w:w="826"/>
        <w:gridCol w:w="161"/>
      </w:tblGrid>
      <w:tr>
        <w:trPr/>
        <w:tc>
          <w:tcPr>
            <w:tcW w:w="125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 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agency securities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431,311 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481,859 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165"/>
        <w:gridCol w:w="990"/>
        <w:gridCol w:w="994"/>
        <w:gridCol w:w="301"/>
        <w:gridCol w:w="1033"/>
        <w:gridCol w:w="156"/>
        <w:gridCol w:w="109"/>
        <w:gridCol w:w="109"/>
        <w:gridCol w:w="109"/>
        <w:gridCol w:w="344"/>
        <w:gridCol w:w="1349"/>
        <w:gridCol w:w="177"/>
        <w:gridCol w:w="109"/>
        <w:gridCol w:w="109"/>
        <w:gridCol w:w="109"/>
        <w:gridCol w:w="440"/>
        <w:gridCol w:w="850"/>
        <w:gridCol w:w="229"/>
        <w:gridCol w:w="109"/>
        <w:gridCol w:w="109"/>
        <w:gridCol w:w="109"/>
        <w:gridCol w:w="211"/>
        <w:gridCol w:w="826"/>
        <w:gridCol w:w="159"/>
      </w:tblGrid>
      <w:tr>
        <w:trPr/>
        <w:tc>
          <w:tcPr>
            <w:tcW w:w="116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 at reporting date using</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w:t>
              <w:br/>
              <w:t>in 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other</w:t>
              <w:br/>
              <w:t>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unobservable 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agency securities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465,962 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549,774 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classify our investments in available-for-sale U.S. Treasury securities and the money market fund into Level 1 of the ASC Topic 820 hierarchy because fair values represent quoted market prices for identical or comparable instruments. The Company estimates the fair value of its U.S. government agency securities, corporate debt securities, commercial paper, and municipal bonds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amortized cost bases and fair values of the Company’s fixed income investments as of March 31, 2026 (amounts in thousands):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71"/>
        <w:gridCol w:w="1191"/>
        <w:gridCol w:w="1198"/>
        <w:gridCol w:w="223"/>
        <w:gridCol w:w="874"/>
        <w:gridCol w:w="115"/>
        <w:gridCol w:w="109"/>
        <w:gridCol w:w="109"/>
        <w:gridCol w:w="109"/>
        <w:gridCol w:w="410"/>
        <w:gridCol w:w="909"/>
        <w:gridCol w:w="214"/>
        <w:gridCol w:w="109"/>
        <w:gridCol w:w="109"/>
        <w:gridCol w:w="109"/>
        <w:gridCol w:w="397"/>
        <w:gridCol w:w="920"/>
        <w:gridCol w:w="206"/>
        <w:gridCol w:w="109"/>
        <w:gridCol w:w="109"/>
        <w:gridCol w:w="109"/>
        <w:gridCol w:w="211"/>
        <w:gridCol w:w="826"/>
        <w:gridCol w:w="159"/>
      </w:tblGrid>
      <w:tr>
        <w:trPr/>
        <w:tc>
          <w:tcPr>
            <w:tcW w:w="137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Unrealized Gains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 included in Cash and cash equivalents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agency securities, included in:</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Treasury and government agency securities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included in:</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Corporate debt securities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178,194 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included in:</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paper</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 included in:</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Municipal bonds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aggregate:</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above with no unrealized loss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above with unrealized loss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482,564 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481,859 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end of March 31, 2026, the Company held approximately 73 debt securities, of which 52 were in an unrealized loss position as of the end of the period, with an aggregate fair value of $376.6 million. The Company has not recorded any allowance for credit losses as of March 31, 2026 as it believes the decline in fair value below amortized cost is not related to credit losses. These investments in an unrealized loss position were in this position for less than 12 months and there has been no change in the credit risk of such securities during the period. Securities are evaluated at the end of each reporting period for evidence of the credit-related impairment.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Gross unrealized gains and losses as of March 31, 2026 were $0.2 million and $0.9 million, respectively, recorded in accumulated other comprehensive (loss) income. On March 31, 2026, the Company entered into a Transaction Agreement and plan of merger with Eli Lilly (the “Transaction Agreement”), pursuant to which the Company will be acquired in a transaction expected to close in the third quarter of 2026, subject to the satisfaction of customary closing conditions including regulatory approvals and approval by the Company’s shareholders. The Transaction has not been determined to be probable as of March 31, 2026 for purposes of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Pursuant to the terms of the Transaction Agreement, the Company is required to liquidate its marketable securities portfolio and convert the proceeds to cash and cash equivalents prior to or upon closing the transaction. The Company’s obligation to convert these securities is contingent upon the closing of the Transaction Agreement. Accordingly, the Company has continued to classify its marketable securities as available-for-sale as of March 31, 2026, as the obligation to liquidate is contingent upon a closing that had not occurred as of the balance sheet date.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completion of the transaction, any unrealized gains or losses currently recognized in the accumulated other comprehensive (loss) income will be reclassified into earnings at the time of sale. </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amortized cost bases and fair values of the Company’s investments and money market fund as of December 31, 2025 (amounts in thousands):</w:t>
      </w:r>
    </w:p>
    <w:tbl>
      <w:tblPr>
        <w:tblW w:w="10205" w:type="dxa"/>
        <w:jc w:val="left"/>
        <w:tblInd w:w="0" w:type="dxa"/>
        <w:tblLayout w:type="fixed"/>
        <w:tblCellMar>
          <w:top w:w="28" w:type="dxa"/>
          <w:left w:w="28" w:type="dxa"/>
          <w:bottom w:w="28" w:type="dxa"/>
          <w:right w:w="28" w:type="dxa"/>
        </w:tblCellMar>
      </w:tblPr>
      <w:tblGrid>
        <w:gridCol w:w="1371"/>
        <w:gridCol w:w="1191"/>
        <w:gridCol w:w="1198"/>
        <w:gridCol w:w="223"/>
        <w:gridCol w:w="874"/>
        <w:gridCol w:w="115"/>
        <w:gridCol w:w="109"/>
        <w:gridCol w:w="109"/>
        <w:gridCol w:w="109"/>
        <w:gridCol w:w="410"/>
        <w:gridCol w:w="909"/>
        <w:gridCol w:w="214"/>
        <w:gridCol w:w="109"/>
        <w:gridCol w:w="109"/>
        <w:gridCol w:w="109"/>
        <w:gridCol w:w="397"/>
        <w:gridCol w:w="920"/>
        <w:gridCol w:w="206"/>
        <w:gridCol w:w="109"/>
        <w:gridCol w:w="109"/>
        <w:gridCol w:w="109"/>
        <w:gridCol w:w="211"/>
        <w:gridCol w:w="826"/>
        <w:gridCol w:w="159"/>
      </w:tblGrid>
      <w:tr>
        <w:trPr/>
        <w:tc>
          <w:tcPr>
            <w:tcW w:w="137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Unrealized Gains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 included in Cash and cash equivalents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agency securities, included in:</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Treasury and government agency securities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included in:</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Corporate debt securities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included in:</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paper</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aggregate:</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above with no unrealized loss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above with unrealized loss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549,441 </w:t>
            </w:r>
          </w:p>
        </w:tc>
        <w:tc>
          <w:tcPr>
            <w:tcW w:w="1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2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549,774 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end of December 31, 2025, the Company held approximately 79 securities, of which 37 were in an unrealized loss position as of the end of the period, with an aggregate fair value of $239.4 million. The Company has not recorded any allowance for credit losses as of December 31, 2025 as it believes the decline in fair value below amortized cost is not related to credit losses. These investments in an unrealized loss position were in this position for less than 12 months and there has been no change in the credit risk of such securities during the period. The Company does not intend to sell its investments and it is not more likely than not that the Company will be required to sell the securities before recovery of the amortized cost basis of its debt securities. Securities are evaluated at the end of each reporting period for evidence of the credit-related impairment.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Balance Sheet Components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(amounts in thousands):</w:t>
      </w:r>
    </w:p>
    <w:tbl>
      <w:tblPr>
        <w:tblW w:w="5594" w:type="dxa"/>
        <w:jc w:val="left"/>
        <w:tblInd w:w="0" w:type="dxa"/>
        <w:tblLayout w:type="fixed"/>
        <w:tblCellMar>
          <w:top w:w="28" w:type="dxa"/>
          <w:left w:w="28" w:type="dxa"/>
          <w:bottom w:w="28" w:type="dxa"/>
          <w:right w:w="28" w:type="dxa"/>
        </w:tblCellMar>
      </w:tblPr>
      <w:tblGrid>
        <w:gridCol w:w="1001"/>
        <w:gridCol w:w="877"/>
        <w:gridCol w:w="882"/>
        <w:gridCol w:w="211"/>
        <w:gridCol w:w="721"/>
        <w:gridCol w:w="109"/>
        <w:gridCol w:w="109"/>
        <w:gridCol w:w="109"/>
        <w:gridCol w:w="109"/>
        <w:gridCol w:w="109"/>
        <w:gridCol w:w="109"/>
        <w:gridCol w:w="109"/>
        <w:gridCol w:w="221"/>
        <w:gridCol w:w="757"/>
        <w:gridCol w:w="161"/>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(amounts in thousands):</w:t>
      </w:r>
    </w:p>
    <w:tbl>
      <w:tblPr>
        <w:tblW w:w="5594" w:type="dxa"/>
        <w:jc w:val="left"/>
        <w:tblInd w:w="0" w:type="dxa"/>
        <w:tblLayout w:type="fixed"/>
        <w:tblCellMar>
          <w:top w:w="28" w:type="dxa"/>
          <w:left w:w="28" w:type="dxa"/>
          <w:bottom w:w="28" w:type="dxa"/>
          <w:right w:w="28" w:type="dxa"/>
        </w:tblCellMar>
      </w:tblPr>
      <w:tblGrid>
        <w:gridCol w:w="1001"/>
        <w:gridCol w:w="877"/>
        <w:gridCol w:w="882"/>
        <w:gridCol w:w="211"/>
        <w:gridCol w:w="721"/>
        <w:gridCol w:w="109"/>
        <w:gridCol w:w="109"/>
        <w:gridCol w:w="109"/>
        <w:gridCol w:w="109"/>
        <w:gridCol w:w="109"/>
        <w:gridCol w:w="109"/>
        <w:gridCol w:w="109"/>
        <w:gridCol w:w="221"/>
        <w:gridCol w:w="757"/>
        <w:gridCol w:w="161"/>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(amounts in thousands):</w:t>
      </w:r>
    </w:p>
    <w:tbl>
      <w:tblPr>
        <w:tblW w:w="5132" w:type="dxa"/>
        <w:jc w:val="left"/>
        <w:tblInd w:w="0" w:type="dxa"/>
        <w:tblLayout w:type="fixed"/>
        <w:tblCellMar>
          <w:top w:w="28" w:type="dxa"/>
          <w:left w:w="28" w:type="dxa"/>
          <w:bottom w:w="28" w:type="dxa"/>
          <w:right w:w="28" w:type="dxa"/>
        </w:tblCellMar>
      </w:tblPr>
      <w:tblGrid>
        <w:gridCol w:w="989"/>
        <w:gridCol w:w="867"/>
        <w:gridCol w:w="873"/>
        <w:gridCol w:w="211"/>
        <w:gridCol w:w="616"/>
        <w:gridCol w:w="109"/>
        <w:gridCol w:w="109"/>
        <w:gridCol w:w="109"/>
        <w:gridCol w:w="109"/>
        <w:gridCol w:w="245"/>
        <w:gridCol w:w="716"/>
        <w:gridCol w:w="179"/>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7.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Debt as of March 31, 2026 and December 31, 2025 (in thousands):</w:t>
      </w:r>
    </w:p>
    <w:p>
      <w:pPr>
        <w:pStyle w:val="TextBody"/>
        <w:bidi w:val="0"/>
        <w:spacing w:before="0" w:after="0"/>
        <w:jc w:val="both"/>
        <w:rPr/>
      </w:pPr>
      <w:r>
        <w:rPr/>
      </w:r>
    </w:p>
    <w:tbl>
      <w:tblPr>
        <w:tblW w:w="10178" w:type="dxa"/>
        <w:jc w:val="left"/>
        <w:tblInd w:w="0" w:type="dxa"/>
        <w:tblLayout w:type="fixed"/>
        <w:tblCellMar>
          <w:top w:w="28" w:type="dxa"/>
          <w:left w:w="28" w:type="dxa"/>
          <w:bottom w:w="28" w:type="dxa"/>
          <w:right w:w="28" w:type="dxa"/>
        </w:tblCellMar>
      </w:tblPr>
      <w:tblGrid>
        <w:gridCol w:w="2719"/>
        <w:gridCol w:w="2390"/>
        <w:gridCol w:w="2405"/>
        <w:gridCol w:w="211"/>
        <w:gridCol w:w="826"/>
        <w:gridCol w:w="109"/>
        <w:gridCol w:w="109"/>
        <w:gridCol w:w="109"/>
        <w:gridCol w:w="109"/>
        <w:gridCol w:w="211"/>
        <w:gridCol w:w="826"/>
        <w:gridCol w:w="154"/>
      </w:tblGrid>
      <w:tr>
        <w:trPr/>
        <w:tc>
          <w:tcPr>
            <w:tcW w:w="2719"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and Security Agreement (“LSA”):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term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and unamortized end of term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and Security Agreement (carried at amortized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fair value of LSA, classified as Level 2 under ASC Topic 820, </w:t>
            </w:r>
            <w:r>
              <w:rPr>
                <w:rFonts w:ascii="Times New Roman;serif" w:hAnsi="Times New Roman;serif"/>
                <w:b w:val="false"/>
                <w:i/>
                <w:color w:val="000000"/>
                <w:sz w:val="20"/>
              </w:rPr>
              <w:t>Fair Value Measurement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principal payments, including the end of term charge, are as follows (in thousands):</w:t>
      </w:r>
    </w:p>
    <w:tbl>
      <w:tblPr>
        <w:tblW w:w="5915" w:type="dxa"/>
        <w:jc w:val="left"/>
        <w:tblInd w:w="0" w:type="dxa"/>
        <w:tblLayout w:type="fixed"/>
        <w:tblCellMar>
          <w:top w:w="28" w:type="dxa"/>
          <w:left w:w="28" w:type="dxa"/>
          <w:bottom w:w="28" w:type="dxa"/>
          <w:right w:w="28" w:type="dxa"/>
        </w:tblCellMar>
      </w:tblPr>
      <w:tblGrid>
        <w:gridCol w:w="1710"/>
        <w:gridCol w:w="1503"/>
        <w:gridCol w:w="1511"/>
        <w:gridCol w:w="211"/>
        <w:gridCol w:w="826"/>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Payments</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payments, including End of Term Charge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March 31, 2026, the Company entered into a Transaction Agreement pursuant to which the Company will be acquired in a transaction expected to close in the third quarter of 2026, subject to the satisfaction of customary closing conditions including regulatory approvals and approval by the Company’s shareholders. The Transaction has not been determined to be probable as of March 31, 2026 for purposes of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For additional information regarding the pending transaction, see Note 3. Pursuant to the terms of the Transaction Agreement, the Company is required to prepay in full its outstanding debt under the LSA upon the closing of the transaction. The Company’s obligation to prepay is contingent solely upon the closing of the Transaction, which had not occurred as of March 31, 2026. The Company’s outstanding debt matures in December 2029, and the Company was in compliance with all covenants under the LSA as of March 31, 2026. The Company has therefore continued to classify its outstanding debt under the LSA as noncurrent in the accompanying interim consolidated balance sheet as of March 31, 2026. Upon consummation of the Transaction, the Company expects to repay the outstanding principal balance, together with accrued interest, 2% prepayment fee and end of term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non-cancellable commitments for purchase of clinical materials, contract manufacturing, maintenance, and committed funding of up to $35.8 million, of which the Company expects to pay $30.2 million within one year and $5.6 million over one year to five years. The amount and timing of these payments vary depending on the rate of progress of development. Future clinical trial expenses have not been included within the purchase commitments because they are generally cancellable at any time upon less than 90 days’ prior written notice.</w:t>
      </w:r>
    </w:p>
    <w:p>
      <w:pPr>
        <w:pStyle w:val="TextBody"/>
        <w:bidi w:val="0"/>
        <w:spacing w:lineRule="auto" w:line="288" w:before="360" w:after="283"/>
        <w:jc w:val="both"/>
        <w:rPr/>
      </w:pPr>
      <w:r>
        <w:rPr>
          <w:rFonts w:ascii="Times New Roman;serif" w:hAnsi="Times New Roman;serif"/>
          <w:b w:val="false"/>
          <w:i/>
          <w:color w:val="000000"/>
          <w:sz w:val="20"/>
        </w:rPr>
        <w:t>Licensing</w:t>
      </w:r>
      <w:r>
        <w:rPr>
          <w:color w:val="000000"/>
          <w:shd w:fill="FFFFFF" w:val="clear"/>
        </w:rPr>
        <w:t xml:space="preserve"> </w:t>
      </w:r>
      <w:r>
        <w:rPr>
          <w:rFonts w:ascii="Times New Roman;serif" w:hAnsi="Times New Roman;serif"/>
          <w:b w:val="false"/>
          <w:i/>
          <w:color w:val="000000"/>
          <w:sz w:val="20"/>
          <w:shd w:fill="FFFFFF" w:val="clear"/>
        </w:rPr>
        <w:t>and Collaborative Arrangements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party to in-licensing and collaboration arrangements to develop and commercialize intellectual property. Included in research and development expense in the Company’s consolidated statement of operations and comprehensive loss for three months ended March 31, 2026 were aggregate incurred expenses of $4.8 million reflecting development milestone costs. As of March 31, 2026, the Company had $3.0 million in-licensing and collaborative arrangement milestone obligations recorded on its balance sheet in Accounts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Incentivization Agreements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2021, we established incentivization arrangements (as novated, amended or amended and restated from time to time) pursuant to which certain members of the senior management teams of each historically acquired subsidiary in January 2021 are eligible to earn certain payments based on the attainment of corresponding milestone performance by and/or an “exit event” of such historically acquired subsidiary, as applicable to each executive. As defined in the incentivization agreements, an “exit event” includes the sale or disposition (including via an out-licensing) of all or substantially all of the acquired subsidiary’s commercially valuable assets or, in the case of acquired subsidiaries with more than one asset, sale or disposition of one or more of such assets, or any sale or disposition of the applicable subsidiary’s equity which results in the purchaser of the equity acquiring a controlling interest in the applicable subsidiary.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Milestones may include the designation of a product candidate or the attainment of approvals, licenses, permits, certifications registrations or authorizations necessary for the sale of a particular product candidate or related molecules in the United States, France, Germany, Italy, Spain or the United Kingdom. Each milestone payment amount for each historically acquired subsidiary is in the low eight figure range to be divided among the members of the respective historically acquired subsidiary’s senior management team and employees according to the terms of its respective incentivization agreement. Any milestone payment earned will be payable in a lump sum within twenty (20) days after attainment of the milestone. Such milestone payment may be accelerated in the event of a Company change of control and would result in the termination of the applicable incentivization agreement. In addition, if a sale of a controlling interest in a historically acquired subsidiary or sale (or grant of an exclusive license) of its respective product candidate occurs prior to attainment of the milestone or within the three (3) year period following attainment of the milestone, an exit payment equal in the low teens percentage of the sales proceeds less any amounts previously paid as a milestone payment (if any) and any fees, costs and expenses of the sale (excluding any earn out, milestone, royalty payment or other contingent payments but including any escrow, holdback or similar amount) will become due and payable to certain employees and members of the historically acquired subsidiary’s senior management team. To the extent an exit event occurs following the occurrence of an adverse event (which includes the failure to achieve milestones within the specified time period), no exit payment will become due unless sale proceeds are in excess of an amount in the eight-figure range.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As of March 31, 2026, incentivization agreements associated with Centessa Bioscience, Inc. (formerly Palladio Bioscience, Inc.), Capella Bioscience Limited, Centessa Pharmaceuticals (Morphogen-IX) Limited (formerly Morphogen-IX Limited), Pearl River Bio, Pega-One SAS, ApcinteX Limited and Z-Factor Limited have ceased to apply following the discontinuation of the related programs. Incentivization agreements in respect of our orexin program and LockBody program continue to subsist.</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incentivization agreements contain standard termination provisions providing that the agreements shall terminate upon the occurrence of certain events, or automatically on December 31, 2035. Other events that may trigger termination include: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“exit event”;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occurrence of certain asset sales in conjunction with certain milestones;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date that is three years following achievement of certain milestones.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an Amended and Restated Incentivization Deed relating to Orexia Products, as it relates to the orexin program (originally entered into on January 23, 2021 and amended and restated on April 28, 2025, the “Incentivization Deed”), certain members of the senior management team of Orexia Therapeutics Limited are entitled to receive an aggregated cash payment of approximately $50 million upon the consummation of a qualifying change of control of Centessa, including the Proposed Lilly Transaction. Because this obligation arises only upon closing, no liability has been recognized in the unaudited interim consolidated balance sheet as of March 31, 2026. The Company currently expects the Proposed Lilly Transaction to close in the third quarter of 2026, at which time the obligation would become payable. As of March, 31, 2026, there are no obligations that are probable or reasonably possible related to the LockBody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Contingencies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have certain contingent liabilities that arise in the ordinary course of its business activities. The Company accrues a liability for such matters when it is probable that future expenditures will be made, and such expenditures can be reasonably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9. Share-based Compensation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Centessa Pharmaceuticals plc Stock Option and Incentive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Remaining shares available for future grants as of March 31, 2026 under the 2021 Stock Option and Incentive Plan (the “2021 Plan”) were 17,152,838.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share-based compensation expense in the following expense categories in the unaudited interim consolidated statements of operations and comprehensive loss (amounts in thousands):</w:t>
      </w:r>
    </w:p>
    <w:tbl>
      <w:tblPr>
        <w:tblW w:w="6545"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109"/>
        <w:gridCol w:w="109"/>
        <w:gridCol w:w="109"/>
        <w:gridCol w:w="325"/>
        <w:gridCol w:w="1112"/>
        <w:gridCol w:w="168"/>
        <w:gridCol w:w="109"/>
        <w:gridCol w:w="109"/>
        <w:gridCol w:w="109"/>
        <w:gridCol w:w="355"/>
        <w:gridCol w:w="1036"/>
        <w:gridCol w:w="25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br/>
        <w:t>    The Company recognized $2.7 million of non-cash share-based payment expense due to modifications of certain options and RSUs during the three months ended March 31, 2026, all of which were recorded in general and administrative expense.</w:t>
      </w:r>
    </w:p>
    <w:p>
      <w:pPr>
        <w:pStyle w:val="TextBody"/>
        <w:bidi w:val="0"/>
        <w:spacing w:lineRule="auto" w:line="288" w:before="3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Options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following table summarizes stock option activity for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w:t>
      </w:r>
    </w:p>
    <w:tbl>
      <w:tblPr>
        <w:tblW w:w="10205" w:type="dxa"/>
        <w:jc w:val="center"/>
        <w:tblInd w:w="0" w:type="dxa"/>
        <w:tblLayout w:type="fixed"/>
        <w:tblCellMar>
          <w:top w:w="28" w:type="dxa"/>
          <w:left w:w="28" w:type="dxa"/>
          <w:bottom w:w="28" w:type="dxa"/>
          <w:right w:w="28" w:type="dxa"/>
        </w:tblCellMar>
      </w:tblPr>
      <w:tblGrid>
        <w:gridCol w:w="903"/>
        <w:gridCol w:w="639"/>
        <w:gridCol w:w="644"/>
        <w:gridCol w:w="540"/>
        <w:gridCol w:w="541"/>
        <w:gridCol w:w="325"/>
        <w:gridCol w:w="109"/>
        <w:gridCol w:w="109"/>
        <w:gridCol w:w="109"/>
        <w:gridCol w:w="492"/>
        <w:gridCol w:w="1441"/>
        <w:gridCol w:w="255"/>
        <w:gridCol w:w="109"/>
        <w:gridCol w:w="109"/>
        <w:gridCol w:w="109"/>
        <w:gridCol w:w="776"/>
        <w:gridCol w:w="776"/>
        <w:gridCol w:w="778"/>
        <w:gridCol w:w="109"/>
        <w:gridCol w:w="109"/>
        <w:gridCol w:w="109"/>
        <w:gridCol w:w="238"/>
        <w:gridCol w:w="696"/>
        <w:gridCol w:w="180"/>
      </w:tblGrid>
      <w:tr>
        <w:trPr/>
        <w:tc>
          <w:tcPr>
            <w:tcW w:w="90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Aggregate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Intrinsic Value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19,683,162 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2,301,600 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(5,296,060)</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(1,259,949)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15,428,753 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7,579,852 </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March 31,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15,428,753 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options granted was $16.46 per share for the three months ended March 31, 2026. As of March 31, 2026, the total unrecognized compensation expense related to unvested stock option awards was $84.0 million, which the Company expects to recognize over a weighted-average period of 3.3 years.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trading price of $39.72 per ADS, which is the closing price as of March 31, 2026, the aggregate intrinsic value of outstanding options as of March 31, 2026 was $407.0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9b362b96062444292dd13506ca98f43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Centessa Pharmaceuticals plc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Unaudited Interim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fair value of each option was estimated on the date of grant under the Black-Scholes option pricing model using the weighted average assumptions in the table below:</w:t>
      </w:r>
    </w:p>
    <w:tbl>
      <w:tblPr>
        <w:tblW w:w="3653" w:type="dxa"/>
        <w:jc w:val="center"/>
        <w:tblInd w:w="0" w:type="dxa"/>
        <w:tblLayout w:type="fixed"/>
        <w:tblCellMar>
          <w:top w:w="28" w:type="dxa"/>
          <w:left w:w="28" w:type="dxa"/>
          <w:bottom w:w="28" w:type="dxa"/>
          <w:right w:w="28" w:type="dxa"/>
        </w:tblCellMar>
      </w:tblPr>
      <w:tblGrid>
        <w:gridCol w:w="951"/>
        <w:gridCol w:w="835"/>
        <w:gridCol w:w="839"/>
        <w:gridCol w:w="255"/>
        <w:gridCol w:w="256"/>
        <w:gridCol w:w="517"/>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Restricted Share Units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following table summarizes ordinary share activity related to the restricted stock programs for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w:t>
      </w:r>
    </w:p>
    <w:tbl>
      <w:tblPr>
        <w:tblW w:w="9967" w:type="dxa"/>
        <w:jc w:val="center"/>
        <w:tblInd w:w="0" w:type="dxa"/>
        <w:tblLayout w:type="fixed"/>
        <w:tblCellMar>
          <w:top w:w="28" w:type="dxa"/>
          <w:left w:w="28" w:type="dxa"/>
          <w:bottom w:w="28" w:type="dxa"/>
          <w:right w:w="28" w:type="dxa"/>
        </w:tblCellMar>
      </w:tblPr>
      <w:tblGrid>
        <w:gridCol w:w="1419"/>
        <w:gridCol w:w="1245"/>
        <w:gridCol w:w="1250"/>
        <w:gridCol w:w="109"/>
        <w:gridCol w:w="109"/>
        <w:gridCol w:w="109"/>
        <w:gridCol w:w="285"/>
        <w:gridCol w:w="977"/>
        <w:gridCol w:w="147"/>
        <w:gridCol w:w="109"/>
        <w:gridCol w:w="109"/>
        <w:gridCol w:w="109"/>
        <w:gridCol w:w="858"/>
        <w:gridCol w:w="2503"/>
        <w:gridCol w:w="629"/>
      </w:tblGrid>
      <w:tr>
        <w:trPr/>
        <w:tc>
          <w:tcPr>
            <w:tcW w:w="141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984,059 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650,200 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(351,988)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(127,950)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1,154,321 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compensation expense</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at March 31, 2026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weighted average recognition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Employee Share Purchase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no shares have been purchased or issued under the 2021 Employee Share Purchase Plan (the “ESPP”) and remaining shares reserved for the ESPP were 2,708,615.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120" w:after="283"/>
        <w:ind w:left="0" w:right="0" w:firstLine="720"/>
        <w:jc w:val="both"/>
        <w:rPr/>
      </w:pPr>
      <w:r>
        <w:rPr>
          <w:rFonts w:ascii="Times New Roman;serif" w:hAnsi="Times New Roman;serif"/>
          <w:b w:val="false"/>
          <w:color w:val="000000"/>
          <w:sz w:val="20"/>
        </w:rPr>
        <w:t>Centessa Pharmaceuticals plc is a clinical-stage biotechnology company pioneering a new class of therapeutics in orexin-based neuroscience. While the Company received non-recurring revenue related to the out-license of Genmab and related antibodies for the three months ended March 31, 2025, the Company’</w:t>
      </w:r>
      <w:r>
        <w:rPr>
          <w:rFonts w:ascii="Times New Roman;serif" w:hAnsi="Times New Roman;serif"/>
          <w:b w:val="false"/>
          <w:color w:val="000000"/>
          <w:sz w:val="20"/>
          <w:shd w:fill="FFFFFF" w:val="clear"/>
        </w:rPr>
        <w:t>s ability to generate recurring product revenue and to become profitable will depend upon the ability to s</w:t>
      </w:r>
      <w:r>
        <w:rPr>
          <w:rFonts w:ascii="Times New Roman;serif" w:hAnsi="Times New Roman;serif"/>
          <w:b w:val="false"/>
          <w:color w:val="000000"/>
          <w:sz w:val="20"/>
        </w:rPr>
        <w:t xml:space="preserve">uccessfully develop, obtain regulatory approval and commercialize any current and future product candidates.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manages the business as one segment. Its operating results are regularly reviewed by the Company’s Chief Executive Officer, who is the chief operating decision-maker (“CODM”), based on available financial information prepared on a consolidated basis. The CODM evaluates its performance based primarily on research and development efforts and the results of clinical trials. The CODM also utilizes the Company’s long-range plan as a strategic tool to allocate resources according to the Company’s strategic objectives. The consolidated net loss is used to monitor budget versus actual results in assessing segment performance and the allocation of resources. Assets provided to the CODM are consistent with those reported on the Consolidated Balance Sheets with particular emphasis on the Company’s available liquidity, including its cash, cash equivalents and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reportable segment loss, including significant expenses regularly provided to the CODM, attributable to the Company’s reportable segment for the three months ended March 31, 2026 and March 31, 2025 (in thousands):</w:t>
      </w:r>
    </w:p>
    <w:tbl>
      <w:tblPr>
        <w:tblW w:w="10205" w:type="dxa"/>
        <w:jc w:val="left"/>
        <w:tblInd w:w="0" w:type="dxa"/>
        <w:tblLayout w:type="fixed"/>
        <w:tblCellMar>
          <w:top w:w="28" w:type="dxa"/>
          <w:left w:w="28" w:type="dxa"/>
          <w:bottom w:w="28" w:type="dxa"/>
          <w:right w:w="28" w:type="dxa"/>
        </w:tblCellMar>
      </w:tblPr>
      <w:tblGrid>
        <w:gridCol w:w="2918"/>
        <w:gridCol w:w="2281"/>
        <w:gridCol w:w="2273"/>
        <w:gridCol w:w="233"/>
        <w:gridCol w:w="815"/>
        <w:gridCol w:w="129"/>
        <w:gridCol w:w="109"/>
        <w:gridCol w:w="109"/>
        <w:gridCol w:w="109"/>
        <w:gridCol w:w="232"/>
        <w:gridCol w:w="810"/>
        <w:gridCol w:w="187"/>
      </w:tblGrid>
      <w:tr>
        <w:trPr/>
        <w:tc>
          <w:tcPr>
            <w:tcW w:w="2918"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 2025</w:t>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and other revenue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Cleminorexton¹</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Orexin program expenses</w:t>
            </w:r>
            <w:r>
              <w:rPr>
                <w:rFonts w:ascii="Times New Roman;serif" w:hAnsi="Times New Roman;serif"/>
                <w:b w:val="false"/>
                <w:color w:val="000000"/>
                <w:sz w:val="12"/>
              </w:rPr>
              <w:t>1</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LockBody technology program expenses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R&amp;D program expenses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R&amp;D expenses: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Personnel expenses</w:t>
            </w:r>
            <w:r>
              <w:rPr>
                <w:rFonts w:ascii="Times New Roman;serif" w:hAnsi="Times New Roman;serif"/>
                <w:b w:val="false"/>
                <w:color w:val="000000"/>
                <w:sz w:val="12"/>
              </w:rPr>
              <w:t>2</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tax incentives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internal R&amp;D expenses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expenses¹</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3</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loss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¹ Beginning December 31, 2025, expenses related to the cleminorexton trial have been identified as significant segment expenses. The expenses for this trial have been recast for periods prior to December 31, 2025. These amounts were previously combined and disclosed under “OX2R program expenses” for the quarter ended March 31, 2025.</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² Excludes share-based compensation which is presented separately below</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Other segment items includes Other non-operating income (expense), net</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should be read in conjunction with the unaudited interim consolidated financial statements and related notes thereto, included elsewhere herein and the audited consolidated financial statements and notes thereto for the year ended December 31, 2025 and the related Management’s Discussion and Analysis of Financial Condition and Results of Operation, all of which are contained in our Annual Report on Form 10-K (the “2025 Annual Report”) filed with the SEC.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pioneering a new class of therapeutics in orexin-based neuroscience. We are developing a franchise of small molecule orexin receptor 2 (OX2R) agonists designed to address neuroscience diseases underpinned by dysregulation of wakefulness, attention, cognition, mood, and other symptoms, each grounded in the shared biology of the orexin pathway. Our OX2R agonist pipeline includes cleminorexton (formerly referred to as ORX750), our most advanced OX2R agonist development candidate, ORX142, ORX489, and other OX2R agonists in preclinical development, and research efforts on differentiated pharmacology associated with the activation of the orexin system. We also have an early-stage immuno-oncology program focused on our novel LockBody® technology platform.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own worldwide rights to all of our pipeline programs and may opportunistically evaluate and enter into strategic partnerships around certain product candidates, targets, geographies, or disease areas.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The Proposed Lilly Transaction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31, 2026, we entered into a Transaction Agreement (the “Transaction Agreement”) with Eli Lilly and Company, an Indiana corporation (“Lilly” or “Parent”), and LDH XV Corporation, a Delaware corporation, and direct wholly owned subsidiary of Parent (“Purchaser”), pursuant to which Purchaser (and/or at Parent’s election its nominee(s)), will acquire our entire issued and to be issued share capital (including shares represented by our ADSs) pursuant to a court-sanctioned scheme of arrangement under Part 26 of the UK Companies Act 2006 (the “Scheme of Arrangement” and such acquisition, the “Transaction”), for $38.00 in cash per share, without interest, plus one non-transferable contingent value right entitling the holders to receive up to three contingent cash payments of up to an aggregate of $9.00 per share, contingent upon the achievement of specified milestones set forth in the Contingent Value Rights Agreement (the “CVR Agreement”), substantially in the form attached as Annex I to the Transaction Agreement (such contingent value rights, the “CVRs” and, together with the Cash Consideration, the “Transaction Consideration”). The Transaction is expected to close in the third quarter of 2026, subject to certain customary closing conditions, including the approval of the Scheme of Arrangement by our shareholders, the sanction of the Scheme of Arrangement by the High Court of Justice of England and Wales and receipt of the required regulatory approvals.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cash, cash equivalents and investments of $533.7 million. Since inception, we have devoted substantially all of our resources to acquiring and developing product and technology rights, conducting research and development in its discovery and enabling stages, advancing clinical and preclinical trials, business operations and raising capital. We have incurred recurring losses and negative cash flows from operations since inception and have funded operations primarily through the sale and issuance of our equity securities and debt financing. The ability to generate product revenue sufficient to achieve profitability will depend heavily on the successful development and eventual commercialization of current or future product candidates. We expect to continue to incur significant expenses and operating losses for the foreseeable future in connection with ongoing development activities related to our pipeline programs as we advance the preclinical and clinical development of product candidates; perform research activities as we seek to discover and develop additional programs and product candidates; carry out maintenance, expansion enforcement, defense, and protection of our intellectual property portfolio; and hire additional research and development, clinical and commercial personnel. Further, inflation may affect our use of capital resources by increasing our cost of labor, research, manufacturing and clinical trial expenses. Based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current operating model and development plans, we expect cash, cash equivalents and investments as of March 31, 2026 of $533.7 million</w:t>
      </w:r>
      <w:r>
        <w:rPr>
          <w:color w:val="000000"/>
          <w:shd w:fill="FFFFFF" w:val="clear"/>
        </w:rPr>
        <w:t xml:space="preserve"> </w:t>
      </w:r>
      <w:r>
        <w:rPr>
          <w:rFonts w:ascii="Times New Roman;serif" w:hAnsi="Times New Roman;serif"/>
          <w:b w:val="false"/>
          <w:color w:val="000000"/>
          <w:sz w:val="20"/>
          <w:shd w:fill="FFFFFF" w:val="clear"/>
        </w:rPr>
        <w:t xml:space="preserve">to fund our operations into </w:t>
      </w:r>
      <w:r>
        <w:rPr>
          <w:rFonts w:ascii="Times New Roman;serif" w:hAnsi="Times New Roman;serif"/>
          <w:b w:val="false"/>
          <w:color w:val="000000"/>
          <w:sz w:val="20"/>
        </w:rPr>
        <w:t>mid-2028</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While we received non-recurring revenue related to out-licensing in the past, our ability to generate recurring product revenue and to become profitable will depend upon the ability to s</w:t>
      </w:r>
      <w:r>
        <w:rPr>
          <w:rFonts w:ascii="Times New Roman;serif" w:hAnsi="Times New Roman;serif"/>
          <w:b w:val="false"/>
          <w:color w:val="000000"/>
          <w:sz w:val="20"/>
        </w:rPr>
        <w:t>uccessfully develop, obtain regulatory approval and commercialize any current and future product candidates. Because of the numerous risks and uncertainties associated with product development and regulatory approval, we are unable to predict the amount or timing of product revenue.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in connection with the discovery and development of the Company’s clinical and preclinical programs, net of reimbursements. Research and development costs are expensed as incurred. These expenses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expenses incurred to conduct the necessary preclinical studies and clinical trials required to obtain regulatory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milestone payments pursuant to the license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personnel expenses, including salaries, benefits and share-based compensation expense for employees engaged in research and development functions;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of funding research and development performed by third parties, including pursuant to agreements with contract research organizations (“CROs”) for active and discontinued programs, as well as investigative sites and consultants that conduct preclinical studies and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expenses incurred under agreements with contract manufacturing organizations (“CMOs”), including committed costs for discontinued programs, manufacturing scale-up expenses and the cost of acquiring and manufacturing preclinical study and clinical trial materials;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fees paid to consultants who assist with research and development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expenses related to regulatory activities, including filing fees paid to regulatory agencies;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allocated expenses for facility costs, including rent, utilities, depreciation and maintenance.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Research and development activities are central to our business model. Product candidates in later stages of clinical development will generally have higher development costs than those in earlier stages of clinical development, primarily due to the increased size and duration of later-stage clinical trials. </w:t>
      </w:r>
      <w:r>
        <w:rPr>
          <w:rFonts w:ascii="Times New Roman;serif" w:hAnsi="Times New Roman;serif"/>
          <w:b w:val="false"/>
          <w:color w:val="000000"/>
          <w:sz w:val="20"/>
          <w:shd w:fill="FFFFFF" w:val="clear"/>
        </w:rPr>
        <w:t>We expect research and development expenses to increase significantly over the next several years due to increases in costs to conduct clinical trials for current product candidates and other clinical trials for future product candidates and costs to prepare regulatory filings for any product candidates and increases in personnel costs, including share-based compensation.</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The successful development of our current or future product ca</w:t>
      </w:r>
      <w:r>
        <w:rPr>
          <w:rFonts w:ascii="Times New Roman;serif" w:hAnsi="Times New Roman;serif"/>
          <w:b w:val="false"/>
          <w:color w:val="000000"/>
          <w:sz w:val="20"/>
        </w:rPr>
        <w:t>ndidates is highly uncertain. At this time, we cannot reasonably estimate or know the nature, timing and costs of the efforts that will be necessary to complete the remainder of the development of current or future product candidates, or when, if ever, material net cash inflows may commence from product candidates. This uncertainty is due to the numerous risks and uncertainties associated with the duration and cost of clinical trials, which vary significantly over the life of a project as a result of many factors,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regulators or institutional review boards authorizing us or our investigators to commence our clinical trials, or in our ability to negotiate agreements with clinical trial sites or CROs;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secure adequate supply of product candidates for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number of clinical sites included in the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and the length of time required to enroll suitable patients;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number of patients that ultimately participate and remain in the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number of doses patients receive;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side effects associated with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duration of patient follow-up;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results of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and changing government regulations;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launching commercial sales of product candidates, if and when approved, whether alone or in collaboration with others.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expenditures are subject to additional uncertainties, including the terms and timing of regulatory approvals. We may never succeed in achieving regulatory approval for our product candidates.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obtain unexpected results from clinical trials and may elect to discontinue, delay or modify clinical trials of product candidates. A change in the outcome of any of these variables with respect to the development of a product candidate could mean a significant change in the costs and timing associated with the development of that product candidate. For example, if the European Medicines Agency ("EMA"), FDA or other comparable regulatory authorities were to require us to conduct clinical trials beyond those that are currently anticipated, or if we experience significant delays in enrollment in any clinical trials, we could be required to expend significant additional financial resources and time on the completion of clinical development. Product commercialization will take several years, and we expect to spend a significant amount in development costs.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Research and Development Tax Incentives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participate in research tax incentive programs that are granted to companies by the United Kingdom in order to encourage technical and scientific research. Expenditures that meet the required criteria are eligible to receive a tax benefit. Estimates of the amount of the benefit expected to be received are determined at each reporting period and recorded as reductions to research and development expenses. Through December 31, 2024, we claimed relief under the Small and Medium Enterprise (“SME”) scheme. Beginning January 1, 2025, changes to the program in the UK have aligned the tax incentives earned for SME and large entities. The merged scheme provides relief for qualifying R&amp;D expenditure. If we are loss making, a cash payment can be obtained. If we continue to meet the SME thresholds and are loss making, then a higher rate of credit or payment may be available under the new Enhanced R&amp;D Intensive Support (ERIS). We expect eligible R&amp;D expenditures qualifying for the credit outside of the UK will be more limited as a result of these legislative changes and we expect to recognize less R&amp;D tax incentive payments in the United Kingdom.</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General and administrative expense consists primarily of personnel expenses, including salaries and benefits for employees </w:t>
      </w:r>
      <w:r>
        <w:rPr>
          <w:rFonts w:ascii="Times New Roman;serif" w:hAnsi="Times New Roman;serif"/>
          <w:b w:val="false"/>
          <w:color w:val="000000"/>
          <w:sz w:val="20"/>
          <w:shd w:fill="FFFFFF" w:val="clear"/>
        </w:rPr>
        <w:t>and share-based compensation.</w:t>
      </w:r>
      <w:r>
        <w:rPr>
          <w:color w:val="000000"/>
        </w:rPr>
        <w:t xml:space="preserve"> </w:t>
      </w:r>
      <w:r>
        <w:rPr>
          <w:rFonts w:ascii="Times New Roman;serif" w:hAnsi="Times New Roman;serif"/>
          <w:b w:val="false"/>
          <w:color w:val="000000"/>
          <w:sz w:val="20"/>
        </w:rPr>
        <w:t>General and administrative expense also includes facility costs, including rent, utilities, depreciation and maintenance, not otherwise included in research and development expense, as well as legal fees related to intellectual property and corporate matters and fees for accounting, consulting and other professional services.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Interest and Investment Income and Interest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Investment income is primarily interest earned from the Company’s cash and cash equivalents and its investments and realized gains on sales of securities. Interest expense consists of interest costs related to the Loan and Security Agreement.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Non-Operating Income (Expense), net</w:t>
      </w:r>
    </w:p>
    <w:p>
      <w:pPr>
        <w:pStyle w:val="TextBody"/>
        <w:bidi w:val="0"/>
        <w:spacing w:lineRule="auto" w:line="288" w:before="120" w:after="283"/>
        <w:ind w:left="0" w:right="0" w:firstLine="720"/>
        <w:jc w:val="both"/>
        <w:rPr/>
      </w:pPr>
      <w:r>
        <w:rPr>
          <w:rFonts w:ascii="Times New Roman;serif" w:hAnsi="Times New Roman;serif"/>
          <w:b w:val="false"/>
          <w:color w:val="000000"/>
          <w:sz w:val="20"/>
        </w:rPr>
        <w:t>Other non-operating income (expense), net consists primarily of foreign currency transaction gains</w:t>
      </w:r>
      <w:r>
        <w:rPr>
          <w:color w:val="000000"/>
        </w:rPr>
        <w:t xml:space="preserve"> </w:t>
      </w:r>
      <w:r>
        <w:rPr>
          <w:rFonts w:ascii="Times New Roman;serif" w:hAnsi="Times New Roman;serif"/>
          <w:b w:val="false"/>
          <w:color w:val="000000"/>
          <w:sz w:val="20"/>
        </w:rPr>
        <w:t>and losses.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are presented in U.S. dollars ("USD"), the reporting currency of the Company. The functional currency of Centessa Pharmaceuticals plc is USD and the functional currency of its subsidiaries is their respective local currency. Income and expenses have been translated into USD at 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shareholders’ equity as other comprehensive income (loss). Transactions denominated in a currency other than the functional currency are remeasured based upon the exchange rate at the date of remeasurement with the resulting gain or loss included in the accompanying unaudited interim consolidated statements of operations and comprehensive loss within other non-operating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results of operations for the three months ended March 31, 2026 and March 31, 2025 (amounts in thousands):</w:t>
      </w:r>
    </w:p>
    <w:tbl>
      <w:tblPr>
        <w:tblW w:w="7164" w:type="dxa"/>
        <w:jc w:val="left"/>
        <w:tblInd w:w="0" w:type="dxa"/>
        <w:tblLayout w:type="fixed"/>
        <w:tblCellMar>
          <w:top w:w="28" w:type="dxa"/>
          <w:left w:w="28" w:type="dxa"/>
          <w:bottom w:w="28" w:type="dxa"/>
          <w:right w:w="28" w:type="dxa"/>
        </w:tblCellMar>
      </w:tblPr>
      <w:tblGrid>
        <w:gridCol w:w="1297"/>
        <w:gridCol w:w="1142"/>
        <w:gridCol w:w="1145"/>
        <w:gridCol w:w="303"/>
        <w:gridCol w:w="1145"/>
        <w:gridCol w:w="156"/>
        <w:gridCol w:w="109"/>
        <w:gridCol w:w="109"/>
        <w:gridCol w:w="109"/>
        <w:gridCol w:w="300"/>
        <w:gridCol w:w="1131"/>
        <w:gridCol w:w="218"/>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(30,777)</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 net</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(26,135)</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License and other revenue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On February 14, 2025, the Company entered into a license agreement (the “License Agreement”) with Genmab A/S (“Genmab”). During the three months ended March 31, 2025, the Company recorded revenue of $15.0 million related to a $15.0 million up front payment received from Genmab upon execution of the License Agreement. See </w:t>
      </w:r>
      <w:hyperlink w:anchor="ie9b362b96062444292dd13506ca98f43_43">
        <w:r>
          <w:rPr>
            <w:rStyle w:val="InternetLink"/>
            <w:rFonts w:ascii="Times New Roman;serif" w:hAnsi="Times New Roman;serif"/>
            <w:b w:val="false"/>
            <w:color w:val="000080"/>
            <w:sz w:val="20"/>
            <w:u w:val="single"/>
          </w:rPr>
          <w:t>Note</w:t>
        </w:r>
      </w:hyperlink>
      <w:hyperlink w:anchor="ie9b362b96062444292dd13506ca98f43_43">
        <w:r>
          <w:rPr>
            <w:rStyle w:val="InternetLink"/>
            <w:rFonts w:ascii="Times New Roman;serif" w:hAnsi="Times New Roman;serif"/>
            <w:b w:val="false"/>
            <w:color w:val="000080"/>
            <w:sz w:val="20"/>
            <w:u w:val="single"/>
          </w:rPr>
          <w:t xml:space="preserve"> </w:t>
        </w:r>
      </w:hyperlink>
      <w:hyperlink w:anchor="ie9b362b96062444292dd13506ca98f43_43">
        <w:r>
          <w:rPr>
            <w:rStyle w:val="InternetLink"/>
            <w:rFonts w:ascii="Times New Roman;serif" w:hAnsi="Times New Roman;serif"/>
            <w:b w:val="false"/>
            <w:color w:val="000080"/>
            <w:sz w:val="20"/>
            <w:u w:val="single"/>
          </w:rPr>
          <w:t>4</w:t>
        </w:r>
      </w:hyperlink>
      <w:hyperlink w:anchor="ie9b362b96062444292dd13506ca98f43_43">
        <w:r>
          <w:rPr>
            <w:rStyle w:val="InternetLink"/>
            <w:rFonts w:ascii="Times New Roman;serif" w:hAnsi="Times New Roman;serif"/>
            <w:b w:val="false"/>
            <w:color w:val="000080"/>
            <w:sz w:val="20"/>
            <w:u w:val="single"/>
          </w:rPr>
          <w:t xml:space="preserve"> - Genmab License Agreement</w:t>
        </w:r>
      </w:hyperlink>
      <w:r>
        <w:rPr>
          <w:rFonts w:ascii="Times New Roman;serif" w:hAnsi="Times New Roman;serif"/>
          <w:b w:val="false"/>
          <w:color w:val="000000"/>
          <w:sz w:val="20"/>
        </w:rPr>
        <w: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research and development expenses by program incurred for the following periods (amounts in thousands):</w:t>
      </w:r>
    </w:p>
    <w:tbl>
      <w:tblPr>
        <w:tblW w:w="10205" w:type="dxa"/>
        <w:jc w:val="left"/>
        <w:tblInd w:w="0" w:type="dxa"/>
        <w:tblLayout w:type="fixed"/>
        <w:tblCellMar>
          <w:top w:w="28" w:type="dxa"/>
          <w:left w:w="28" w:type="dxa"/>
          <w:bottom w:w="28" w:type="dxa"/>
          <w:right w:w="28" w:type="dxa"/>
        </w:tblCellMar>
      </w:tblPr>
      <w:tblGrid>
        <w:gridCol w:w="2686"/>
        <w:gridCol w:w="2368"/>
        <w:gridCol w:w="2385"/>
        <w:gridCol w:w="242"/>
        <w:gridCol w:w="828"/>
        <w:gridCol w:w="125"/>
        <w:gridCol w:w="109"/>
        <w:gridCol w:w="109"/>
        <w:gridCol w:w="109"/>
        <w:gridCol w:w="240"/>
        <w:gridCol w:w="824"/>
        <w:gridCol w:w="180"/>
      </w:tblGrid>
      <w:tr>
        <w:trPr/>
        <w:tc>
          <w:tcPr>
            <w:tcW w:w="2686"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Programs:</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Cleminorexton</w:t>
            </w:r>
            <w:r>
              <w:rPr>
                <w:rFonts w:ascii="Times New Roman;serif" w:hAnsi="Times New Roman;serif"/>
                <w:b w:val="false"/>
                <w:color w:val="000000"/>
                <w:sz w:val="13"/>
              </w:rPr>
              <w:t>1</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Orexin program expenses</w:t>
            </w:r>
            <w:r>
              <w:rPr>
                <w:rFonts w:ascii="Times New Roman;serif" w:hAnsi="Times New Roman;serif"/>
                <w:b w:val="false"/>
                <w:color w:val="000000"/>
                <w:sz w:val="13"/>
              </w:rPr>
              <w:t>1</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LockBody technology program expenses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Discontinued programs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Non-asset specific costs: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tax incentives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internal R&amp;D expenses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Beginning December 31, 2025, expenses related to the cleminorexton trial have been identified as significant segment expenses. The expenses for this trial have been recast for periods prior to December 31, 2025. These amounts were previously combined and disclosed under “OX2R agonist” for the quarter ended March 31, 2025.</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March 31, 2026 were $59.9 million, compared with $33.4 million for the three months ended March 31, 2025. The increase in research and development expenses reflects higher development costs of $24.2 million for the Orexin program and higher personnel expenses. Specifically, the cleminorexton program increased $6.8 million due to higher clinical study costs associated with the LTE clinical trial, which was initiated in the second half of 2025. Other Orexin program expenses increased by $17.3 million due to higher clinical study costs for ORX142 as well as developmental milestones related to ORX489. Personnel expenses in the first three months of 2026 increased $5.3 million primarily driven by increased headcount and higher salaries from annual merit increases and higher fringe benefit costs.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general and administrative expenses for the following periods (amounts in thousands):</w:t>
      </w:r>
    </w:p>
    <w:tbl>
      <w:tblPr>
        <w:tblW w:w="5907" w:type="dxa"/>
        <w:jc w:val="left"/>
        <w:tblInd w:w="0" w:type="dxa"/>
        <w:tblLayout w:type="fixed"/>
        <w:tblCellMar>
          <w:top w:w="28" w:type="dxa"/>
          <w:left w:w="28" w:type="dxa"/>
          <w:bottom w:w="28" w:type="dxa"/>
          <w:right w:w="28" w:type="dxa"/>
        </w:tblCellMar>
      </w:tblPr>
      <w:tblGrid>
        <w:gridCol w:w="843"/>
        <w:gridCol w:w="738"/>
        <w:gridCol w:w="744"/>
        <w:gridCol w:w="325"/>
        <w:gridCol w:w="1112"/>
        <w:gridCol w:w="168"/>
        <w:gridCol w:w="109"/>
        <w:gridCol w:w="109"/>
        <w:gridCol w:w="109"/>
        <w:gridCol w:w="320"/>
        <w:gridCol w:w="1096"/>
        <w:gridCol w:w="23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and professional fees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March 31, 2026 were $19.9 million, compared to $12.3 million for the three months ended March 31, 2025. This was primarily driven by a $4.5 million increase in personnel costs, primarily due to $2.7 million of non-cash share-based payment expense incurred due to modifications of certain options and RSUs during the three months ended March 31, 2026, as well as $1.7 million in higher salaries from annual merit increases and higher fringe benefit costs. The increase was further driven by a $2.6 million increase in Legal and professional fees, primarily due to $2.5 million in advisory fees incurred in the quarter related to the proposed Lilly Transaction.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Interest and Investment Income and Interest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interest and investment income was $5.1 million, which was a decrease of $2.5 million compared to the three months ended March 31, 2025, resulting from lower investment income offset by higher interest earned from the Company’s fixed investments due to a higher average cash, cash equivalent and investments balance as compared to the prior quarter.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$2.7 million in the first three months of 2026, reflecting a decrease of $0.2 million from the first three months of 2025, as a result of a lower interest rate.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Non-Operating Income (Expense),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non-operating income (expense), net for the three months ended March 31, 2026 was a loss of $1.0 million, compared to a gain of $1.0 million three months ended March 31, 2025, with the change resulting from foreign currency fluctuations during each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cash, cash equivalents and investments of $533.7 million, of which $62.4 million was classified as cash and cash equivalents, $214.2 million was classified as short-term investments and $257.1 million was classified as long-term investments on our Consolidated Balance Sheet. The Company invests in money market funds, U.S. Treasury securities, U.S. government agency securities, corporate notes and commercial paper. The Company’s investment policy limits investments to money market funds, certain types of debt securities issued by the U.S. Government and its agencies, corporate notes and commercial paper, and places restrictions on the credit ratings, maturities and concentration by type and issuer. Securities with original maturities of three months or less when purchased are included in cash and cash equivalents. We consider investments with original maturities greater than three months and remaining maturities less than one year to be short-term investments, while remaining maturities greater than one year are classified as long-term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our current operating model and development plans, we expect cash, cash equivalents and investments as of March 31, 2026 to fund our operations into mid-2028.</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30, 2024, the Company entered into a loan and security agreement (the “Loan and Security Agreement”) with Oxford Finance LLC (“Oxford”), as collateral agent and a lender, and the other lenders from time to time party thereto (collectively, the “Lenders”), pursuant to which the Lenders have agreed to lend the Company an aggregate principal amount of up to $200.0 million in a series of term loans (the “Term Loans”).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Loan and Security Agreement, the Company received $110.0 million (the “Initial Term Loan”) and incurred $1.1 million of debt issuance costs inclusive of facility and legal fees. The Company has access to up to an additional $40.0 million of loan proceeds in an additional tranche which is available during the period commencing on the date of the occurrence of the Clinical Milestone (as defined in the Loan and Security Agreement) through the earlier of: (i) 90 days following the Clinical Milestone and (ii) June 30, 2028. An additional $50.0 million may be made available to the Company at the Lenders’ sole discretion.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loans are set to mature on December 1, 2029 and, following an interest-only period, will begin to amortize in equal monthly installments beginning on February 1, 2029. However, if the Extension Event as defined in the Agreement occurs, then at the Company’s option, the term loans could begin to amortize in equal monthly installments beginning on February 1, 2030, and the maturity date will be extended to December 1, 2030.</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we filed an automatic shelf registration statement on Form S-3ASR (“Shelf”) registering an unspecified amount of our ordinary shares, American Depository Shares representing ordinary shares, debt securities, warrants, and/or units or any combination thereof with the SEC under the Securities Act. The Shelf automatically became effective upon filing. Under the Shelf, we may offer securities from time to time in one or more offerings, at prices and on terms to be determined by market conditions at the time of offering. The specifics of any future offerings, along with the use of proceeds of any securities offered, will be described in detail in a prospectus supplement, or other offering materials, at the time of any offering.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Company entered into a Sales Agreement, dated January 27, 2023 and amended and restated on November 24, 2025 (the “Sales Agreement”), by and between Centessa Pharmaceuticals plc and Leerink Partners LLC. As sales agent, Leerink Partners LLC provided for the issuance and sale by the Company of up to $250.0 million of its ordinary shares represented by American Depository Shares (“ADSs”) from time to time in “at-the-market” offerings (“ATM Program”). In the three months ended March 31, 2026, the Company has not sold any ordinary shares under the ATM Program. Since the inception of the ATM program in 2023, as of March 31, 2026, the Company sold 4,663,354</w:t>
      </w:r>
      <w:r>
        <w:rPr>
          <w:color w:val="000000"/>
          <w:shd w:fill="FFFFFF" w:val="clear"/>
        </w:rPr>
        <w:t xml:space="preserve"> </w:t>
      </w:r>
      <w:r>
        <w:rPr>
          <w:rFonts w:ascii="Times New Roman;serif" w:hAnsi="Times New Roman;serif"/>
          <w:b w:val="false"/>
          <w:color w:val="000000"/>
          <w:sz w:val="20"/>
          <w:shd w:fill="FFFFFF" w:val="clear"/>
        </w:rPr>
        <w:t xml:space="preserve">ordinary shares under the ATM Program, resulting in net proceeds of approximately </w:t>
      </w:r>
      <w:r>
        <w:rPr>
          <w:rFonts w:ascii="Times New Roman;serif" w:hAnsi="Times New Roman;serif"/>
          <w:b w:val="false"/>
          <w:color w:val="000000"/>
          <w:sz w:val="20"/>
        </w:rPr>
        <w:t>$36.6 million under the Sales Agreement</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In 2025, the Company completed offerings of its ordinary shares </w:t>
      </w:r>
      <w:r>
        <w:rPr>
          <w:rFonts w:ascii="Times New Roman;serif" w:hAnsi="Times New Roman;serif"/>
          <w:b w:val="false"/>
          <w:color w:val="000000"/>
          <w:sz w:val="20"/>
        </w:rPr>
        <w:t xml:space="preserve">through the sale and issuance of a cumulative 13,372,093 ADSs. Each ADS represents one ordinary share with a nominal value of £0.002 per ordinary share. </w:t>
      </w:r>
      <w:r>
        <w:rPr>
          <w:rFonts w:ascii="Times New Roman;serif" w:hAnsi="Times New Roman;serif"/>
          <w:b w:val="false"/>
          <w:color w:val="000000"/>
          <w:sz w:val="20"/>
          <w:shd w:fill="FFFFFF" w:val="clear"/>
        </w:rPr>
        <w:t xml:space="preserve">The completed offerings, which included the Underwriters’ over-allotment option to purchase additional shares, were made pursuant to the Shelf registration. The net proceeds of these offerings, after deducting underwriting discounts and commissions and offering expenses, was approximately </w:t>
      </w:r>
      <w:r>
        <w:rPr>
          <w:rFonts w:ascii="Times New Roman;serif" w:hAnsi="Times New Roman;serif"/>
          <w:b w:val="false"/>
          <w:color w:val="000000"/>
          <w:sz w:val="20"/>
        </w:rPr>
        <w:t>$269.2 million</w:t>
      </w:r>
      <w:r>
        <w:rPr>
          <w:rFonts w:ascii="Times New Roman;serif" w:hAnsi="Times New Roman;serif"/>
          <w:b w:val="false"/>
          <w:color w:val="000000"/>
          <w:sz w:val="20"/>
          <w:shd w:fill="FFFFFF" w:val="clear"/>
        </w:rPr>
        <w:t>. The Company intends to use the net proceeds from the offerings, together with its existing cash, cash equivalents, and investments, to fund the continued development of its product candidates, as well as for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other ongoing material financing commitments, such as lines of credit or guarantees, that are expected to affect liquidity over the next five years.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cash flows for the periods indicated (amounts in thousands):</w:t>
      </w:r>
    </w:p>
    <w:tbl>
      <w:tblPr>
        <w:tblW w:w="7901" w:type="dxa"/>
        <w:jc w:val="left"/>
        <w:tblInd w:w="0" w:type="dxa"/>
        <w:tblLayout w:type="fixed"/>
        <w:tblCellMar>
          <w:top w:w="28" w:type="dxa"/>
          <w:left w:w="28" w:type="dxa"/>
          <w:bottom w:w="28" w:type="dxa"/>
          <w:right w:w="28" w:type="dxa"/>
        </w:tblCellMar>
      </w:tblPr>
      <w:tblGrid>
        <w:gridCol w:w="1562"/>
        <w:gridCol w:w="1375"/>
        <w:gridCol w:w="1383"/>
        <w:gridCol w:w="303"/>
        <w:gridCol w:w="1145"/>
        <w:gridCol w:w="156"/>
        <w:gridCol w:w="109"/>
        <w:gridCol w:w="109"/>
        <w:gridCol w:w="109"/>
        <w:gridCol w:w="275"/>
        <w:gridCol w:w="1175"/>
        <w:gridCol w:w="200"/>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(222,388)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effect on cash and cash equivalents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(278,065)</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used $72.2 million of net cash in operating activities. Cash used in operating activities reflected a net loss of $79.2 million reduced by non-cash charges of $12.8 million, which included share-based compensation, depreciation and amortization expenses. In addition, cash used in operating activities during the three months ended March 31, 2026 included net outflows of approximately $5.8 million related to decreases in accrued expenses and other liabilities and tax incentive receivables.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2025, we used $57.2 million of net cash in operating activities. Cash used in operating activities reflected a net loss of $26.1 million reduced by non-cash charges of $6.3 million, which included share-based compensation, depreciation and amortization expenses. In addition, cash used in operating activities during the three months ended March 31, 2025 included net outflows of approximately $38.5 million related to paying down net payables during the period, including $25.0 million related to the program terminations costs accrued in the fourth quarter of 2024.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provided by investing activities was $42.7 million, largely reflecting proceeds from redemption of fixed income investments. During the three months ended March 31, 2025, net cash used in investing activities was $222.4 million, largely reflecting the net investment of excess cash in fixed income investments.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net cash provided by financing activities was $30.5 million, primarily reflecting the proceeds from stock option exercises, offset by payment of employee withholding taxes related to share-based compensation. During the three months ended March 31, 2025, net cash provided by financing activities was $3.1 million, primarily reflecting the proceeds from the ATM program, partially offset by payment of employee withholding taxes related to share-based compensation.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In future years, we expect expenses to increase as we continue further development of our product candidates and ultimately seek marketing approval for any current and future product candidates. In addition, we will begin to incur pre-commercial preparatory activities and, if marketing approval is obtained for any prod</w:t>
      </w:r>
      <w:r>
        <w:rPr>
          <w:rFonts w:ascii="Times New Roman;serif" w:hAnsi="Times New Roman;serif"/>
          <w:b w:val="false"/>
          <w:color w:val="000000"/>
          <w:sz w:val="20"/>
        </w:rPr>
        <w:t xml:space="preserve">uct candidates, we expect to incur significant commercialization expenses related to product sales, marketing, manufacturing and distribution. In addition, inflation may affect our use of capital resources by increasing our cost of labor, research and clinical trial expenses. Accordingly, there will be a need to obtain substantial additional funding in connection with the continuing operations.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are unable to raise capital when needed or on attractive terms, we would be forced to delay, reduce or eliminate research and development programs or future commercialization efforts.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expenses will increase substantially as we: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seek to discover and develop current and future clinical and preclinical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scale up clinical and regulatory capabilities;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adapt regulatory compliance efforts to incorporate requirements applicable to marketed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 a sales, marketing and distribution infrastructure and scale up external manufacturing capabilities to commercialize any product candidates for which regulatory approval may be obtained;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maintain, expand and protect the intellectual property portfolio;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hire additional internal or external clinical, manufacturing and scientific personnel or consultants;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add operational, financial and management information systems and personnel, including personnel to support product development efforts;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 additional legal, accounting and other expenses in operating as a public company.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 research, development and commercialization of product candidates, we are unable to estimate the exact amount of our working capital requirements. Future funding requirements will depend on and could increase significantly as a result of many factors,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scope, progress, results and costs of preclinical studies and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scope, prioritization and number of research and development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timing and outcome of regulatory review of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establish and maintain collaborations on favorable terms, if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enforcing intellectual property rights and defending intellectual property-related claims;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securing manufacturing arrangements for commercial production;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establishing or contracting for sales and marketing capabilities if regulatory approvals are obtained to market product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Identifying potential product candidates and conducting preclinical studies and clinical trials is a time-consuming, expensive and uncertain process that takes many years to complete, and may never generate the necessary data or results required to obtain marketing approval and achieve product sales. In addition, product candidates, if approved, may not achieve commercial success. Commercial revenues, if any, will be derived from sales of product candidates that we do not expect to be commercially available for the next couple of years, if at all. Accordingly, we will need to continue to rely on additional financing to achieve our business objectives. Adequate additional financing may not be available on acceptable terms,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Company’s critical accounting policies and estimates had not changed significantly from December 31, 2025. Note 2, “Summary of Significant Accounting Policies,” to the consolidated financial statements in our Annual Report on Form 10-K for the fiscal year ended December 31, 2025 describes the significant accounting policies and methods used in the preparation of the consolidated financial statements appearing in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Contractual Obligations and Other Commitments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As of March 31, 2026, other than what has been disclosed in Note 7 – </w:t>
      </w:r>
      <w:hyperlink w:anchor="ie9b362b96062444292dd13506ca98f43_52">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 xml:space="preserve">and Note 8 – </w:t>
      </w:r>
      <w:hyperlink w:anchor="ie9b362b96062444292dd13506ca98f43_55">
        <w:r>
          <w:rPr>
            <w:rStyle w:val="InternetLink"/>
            <w:rFonts w:ascii="Times New Roman;serif" w:hAnsi="Times New Roman;serif"/>
            <w:b w:val="false"/>
            <w:color w:val="0000FF"/>
            <w:sz w:val="20"/>
            <w:u w:val="single"/>
          </w:rPr>
          <w:t>Commitment and contingencies</w:t>
        </w:r>
      </w:hyperlink>
      <w:r>
        <w:rPr>
          <w:rFonts w:ascii="Times New Roman;serif" w:hAnsi="Times New Roman;serif"/>
          <w:b w:val="false"/>
          <w:color w:val="000000"/>
          <w:sz w:val="20"/>
        </w:rPr>
        <w:t>, there were no material changes to our contractual obligations and other commitments described under “Management’s Discussion and Analysis of Financial Condition and Results of Operations”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Emerging Growth Company and Smaller Reporting Company Status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JOBS Act. Under the JOBS Act, emerging growth companies can delay the adoption of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of audited financial statements in a registration statement for an initial public offering, an exemption from the requirement to provide an auditor’s report on internal controls over financial reporting pursuant to Section 404 of the Sarbanes-Oxley Act of 2002, as amended, an exemption from any requirement that may be adopted by the Public Company Accounting Oversight Board regarding mandatory audit firm rotation and less extensive disclosure about our executive compensation arrangements. The Company has elected to use the extended transition period for complying with new or revised accounting standards that have different effective dates for public and private companies until the earlier of the date that (i) it is no longer an emerging growth company or (ii) the Company affirmatively and irrevocably opts out of the extended transition period provided in the JOBS Act.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remain an emerging growth company until the earliest of (i) the last day of its first fiscal year in which it has total annual gross revenues of $1.235 billion or more, (ii) the last day of its first fiscal year following the fifth anniversary of the closing of its initial public offering, (iii) the date on which it is deemed to be a “large accelerated filer,” under the rules of the SEC, or (iv) the date on which we have issued more than $1.0 billion in non-convertible debt securities during the prior three-year period.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January 1, 2026, the Company ceased to be a “smaller reporting company” (“SRC”) as defined in the Exchange Act. For the first fiscal quarter of 2026, the Company is no longer permitted to take advantage of scaled disclosure requirements for SRCs. The Company will retain its non-accelerated filer status for its filings due in the fiscal year 2026. The Company anticipates that it will have to comply with the auditor attestation requirements of Section 404(b) of the Sarbanes-Oxley Act for the year ended December 31, 2026, and its independent registered public accounting firm will have to evaluate and report on the effectiveness of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As of March 31, 2026 and December 31, 2025, we had cash, cash equivalents and investments of $533.7 million and $577.1 million, respectively. Our cash, cash equivalent, and investment balances are invested in U.S. government agency securities, corporate debt securities, commercial paper, and municipal bonds. Our primary exposure to market risk is interest rate sensitivity, which is affected by changes in the general level of U.S. interest rates. Our investments are subject to interest rate risk and could fall in value if market interest rates increase. Due to the duration of our investment portfolio and the low risk profile of our investments, we do not believe an immediate 100 basis point change in interest rates would have a material impact on the fair market value of our portfolio. We have the ability to hold our investments until maturity, and therefore we would not expect our operating results or cash flows to be affected to any significant degree by the effect of a change in market interest rates on our investments.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w:t>
      </w:r>
      <w:r>
        <w:rPr>
          <w:rFonts w:ascii="Times New Roman;serif" w:hAnsi="Times New Roman;serif"/>
          <w:b w:val="false"/>
          <w:color w:val="000000"/>
          <w:sz w:val="20"/>
          <w:shd w:fill="FFFFFF" w:val="clear"/>
        </w:rPr>
        <w:t xml:space="preserve">f March 31, 2026.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required to be disclosed by us in the reports we file under the Exchange Act is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Based on the evaluation of our disclosure controls and procedures as of March 31, 2026, the end of the period covered by this Quarterly Report on Form 10-Q, our Chief Executive Officer and Chief Financial Officer concluded that, as of such date, our disclosure controls and procedures were effective at the reasonable assurance level.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changes in our internal control over financial reporting (as defined in Rules 13a-15(f) and 15d-15(f) under the Exchange Act) have occurred during the three months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Our business involves significant risks, some of which are described below. You should carefully consider the risks described below, as well as the other information in this Quarterly Report on Form 10-Q and in other documents we file with the SEC, including our financial statements and the related notes and “Management’s Discussion and Analysis of Financial Condition and Results of Operations.” The occurrence of any of the events or developments described below could have a material adverse effect on our business, financial condition, results of operations, growth prospects and stock price. In such an event, the market price of our ADSs could decline, and you may lose all or part of your investment. Additional risks and uncertainties not presently known to us or that we currently deem immaterial may also impair our business operations and the market price of our ADSs.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the Transaction with Lilly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Transaction may not be completed within the expected timeframe, or at all, and significant delay or the failure to complete the Transaction could adversely affect our business and the market price of our ADSs.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On March 31, 2026, we entered into a Transaction Agreement with Lilly, and Purchaser, pursuant to which Purchaser (and/or at Parent’s election its nominee(s)) has agreed to acquire the entire issued and to be issued share capital of the Company (including shares represented by our ADSs) by means of the Scheme of Arrangement, subject to the conditions described therein. Under the Transaction Agreement, at the effective time of the Scheme of Arrangement (the “Effective Time”), all ordinary shares subject to the Scheme of Arrangement, nominal value £0.002 per share (the “Company Shares”), issued and outstanding as of the Effective Time will be acquired by Purchaser (and/or at Parent’s election its nominee(s)), and the holders of such ordinary shares as of the record time for the Scheme of Arrangement, on the terms set out in the Scheme of Arrangement, will have the right to receive, for each such share, </w:t>
      </w:r>
      <w:r>
        <w:rPr>
          <w:rFonts w:ascii="Times New Roman;serif" w:hAnsi="Times New Roman;serif"/>
          <w:b w:val="false"/>
          <w:color w:val="000000"/>
          <w:sz w:val="24"/>
        </w:rPr>
        <w:t>$</w:t>
      </w:r>
      <w:r>
        <w:rPr>
          <w:rFonts w:ascii="Times New Roman;serif" w:hAnsi="Times New Roman;serif"/>
          <w:b w:val="false"/>
          <w:color w:val="000000"/>
          <w:sz w:val="20"/>
        </w:rPr>
        <w:t xml:space="preserve">38.00 in cash, without interest, plus one non-transferable contingent value right entitling the holders to receive up to three contingent cash payments of up to an aggregate of $9.00 per Company Share, contingent upon the achievement of specified milestones set forth in the CVR Agreement.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consummation of the Transaction is subject to certain customary closing conditions, including, among other things, (i) the expiration or termination of the required waiting period applicable to the consummation of the Transaction under the Hart-Scott-Rodino Antitrust Improvements Act of 1976, as amended, as well as all other required waivers, approvals and waiting periods under certain other specified antitrust laws having been obtained, terminated or expired, (ii) approval by the Company’s shareholders of the Scheme of Arrangement and the passing of the special resolution to amend the Company’s articles of association and other related matters, (iii) sanction of the Scheme of Arrangement by the High Court of Justice of England and Wales, and (iv) the absence of any order, decree or ruling that remains in effect and enjoins, prevents, prohibits, or makes illegal the consummation of the Transaction.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the conditions to consummation of the Transaction are not within our control or the control of Lilly or Purchaser, and we cannot predict when or if these conditions will be satisfied. There can be no assurance that our business, our relationships or our financial condition will not be adversely affected, as compared to the condition prior to the announcement of the Transaction, if the Transaction is not consummated within the expected timeframe, or at all. Failure to complete the Transaction within the expected timeframe, or at all, could adversely affect our business and the market price of our ADSs in a number of ways,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the Transaction is not completed within the expected timeframe, or at all, the market price of our ADSs may change to the extent that the current market price of our ADSs reflects assumptions regarding the completion of the Transaction;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incurred, and will continue to incur, significant costs, expenses and fees for professional services and other costs in connection with the Transaction, for which we may receive little or no benefit if the Transaction is not completed. Many of these fees and costs will be payable by us even if the Transaction is not completed and may relate to activities that we would not have undertaken other than to complete the Transaction;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failure to complete the Transaction within the expected timeframe, or at all, may result in negative publicity and a negative impression of us in the investment community and may lead to subsequent offers to acquire our company 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lower price or otherwise on less favorable terms to us and our stockholders than contemplated by the Transaction Agreement.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impairment of our ability to attract, retain and motivate personnel, including our senior management;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difficulties maintaining relationships with third-party manufacturers, contract research organizations, collaborators and other business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upon termination of the Transaction Agreement by us or Lilly under specified circumstances, we would be required to pay a termination fee of approximately $63 million;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could be subject to litigation related to any failure to complete the Transaction.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announcement and pendency of our acquisition by Lilly could adversely affect our business, prospects, financial condition, and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announcement and pendency of the Transaction could cause disruptions in and create uncertainty surrounding our business, which could have an adverse effect on our business, prospects, financial condition, and results of operations, regardless of whether the Transaction is completed. These risks to our business include the following, all of which could be exacerbated by a delay in the completion of the Transaction: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diversion of significant management time and resources towards the completion of the Transaction;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impairment of our ability to attract, retain and motivate key personnel, including our senior management;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difficulties maintaining relationships with investigators, healthcare professionals, consultants, third-party payors, customers and other business partners, who may defer decisions about working with us or seek to change existing business relationships with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inability to pursue alternative business opportunities or make appropriate changes to our business because of requirements in the Transaction Agreement that we conduct our business in the ordinary course and not engage in certain kinds of transactions or business activities prior to the completion of the Transaction;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litigation relating to the Transaction and the costs and distractions related thereto.</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Transaction Agreement contains provisions that could discourage a potential competing acquirer of our Company or could result in any competing proposal being at a lower price than it might otherwise be.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restrictions on our ability to solicit alternative acquisition proposals from third parties, to provide information to third parties and to enter into or continue discussions or negotiations with third parties regarding alternative acquisition proposals, subject to customary exceptions. In addition, we may be required to pay Lilly a termination fee of approximately $63 million in specified circumstances, including due to the entry by the Company into a definitive agreement with respect to a Superior Proposal (as defined in the Transaction Agreement), or certain other triggering events, such as if the High Court of Justice of England and Wales declines or refuses to sanction the Scheme of Arrangement and the Company shall have communicated to the Court at the hearing to sanction the Scheme of Arrangement that the Board no longer supports the consummation of the Transaction or no longer wishes the Court to sanction the Scheme of Arrangement. These provisions could discourage a potential competing acquirer that might have an interest in acquiring all or a significant part of our company from considering or proposing such an acquisition, including, if the Transaction Agreement is terminated prior to the consummation of the Transaction, after such termination of the Transaction Agreement, even if it were prepared to pay a purchase price per share higher than the purchase price per share proposed to be paid in the Transaction, or might result in a potential competing acquirer proposing to pay a lower price than it might otherwise have proposed to pay because of the added expense of the termination fee that may become payable in specified circumstances under the Transaction Agreement, including, in certain circumstances, after a valid termination of the Transaction Agreement in accordance with the terms thereof.</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While the Transaction Agreement is in effect, we are subject to restrictions on our business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Agreement includes restrictions on the conduct of our business prior to the completion of the Transaction, generally requiring us to use commercially reasonable efforts to conduct our business and operations in all material respects in the ordinary course and to preserve intact our business organization and significant business relationships. In addition, we are subject to a variety of specified restrictions. Unless we obtain Lilly’s prior written consent (which consent may not be unreasonably withheld, conditioned or delayed), except as specifically required by the Transaction Agreement or required by applicable law, we may not, among other things and subject to certain exceptions, limitations and qualifications, incur additional indebtedness, issue additional shares of our ADSs outside of our equity incentive plans, repurchase our ADSs,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pay dividends, acquire certain assets or securities, sell or dispose of intellectual property, or enter into material contracts or make certain capital expenditures. We may find that these and other contractual restrictions in the Transaction Agreement delay or prevent us from responding, or limit our ability to respond, effectively to competitive pressures, industry developments and future business opportunities that may arise during such period, even if our management believes they may be advisable. If any of these effects were to occur, it could materially and adversely impact our operating results, financial position, cash flows or the price of our ADSs.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Litigation against us, Lilly, or the members of the respective boards, could prevent or delay the completion of the Transaction or result in the payment of damages following completion of the Transaction.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Transaction that no injunction or other order preventing the consummation of the Transaction shall have been issued by any court of competent jurisdiction or other governmental authority of competent jurisdiction and remain in effect. It is possible that lawsuits may be filed by our shareholders and/or Lilly’s stockholders challenging the Transaction.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Transaction on the agreed-upon terms, such an injunction may delay the consummation of the Transaction in the expected timeframe, or may prevent the Transaction from being consummated at all. Whether or not any plaintiff’s claim is successful, this type of litigation can result in significant costs and divert management’s attention and resources from the closing of the Transaction and ongoing business activities, which could adversely affect our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shareholders may not receive any payment on the CVR and the CVR may expire valueless and our shareholders will otherwise not be able to participate in any further upside to our business if the Transaction is consummated.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Transaction is completed, the holders of our ordinary shares and ADSs will be entitled to receive CVRs, subject to the terms and conditions of the CVR Agreement. Each CVR will represent a contractual right to receive contingent cash payments upon the occurrence of certain milestones. There can be no assurance that the Milestones will be achieved prior to their expiration or termination of the CVR Agreement, or that payment will be required of Parent with respect to the milestones. The CVRs will not be transferable, except in the limited circumstances specified in the CVR Agreement, will not have any voting or dividend rights, and will not represent any equity or ownership interest in Lilly or any constituent party to the Transaction Agreement. Accordingly, the right of any of our shareholders to receive any future payment on or derive any value from the CVRs will be contingent solely upon the occurrence of certain events, as outlined in the CVR Agreement, and if no such events are achieved for any reason within the time periods specified in the CVR Agreement, no payments will be made under the CVRs, and the CVRs will expire valueless. Other than pursuant to the CVRs, our current shareholders will not receive any additional consideration if our business performs well after the closing of the Transaction and will therefore not receive any other benefit from any such future performance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our Business Model and Structure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not be successful in our efforts to build a pipeline of product candidates with commercial value.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key element of Centessa’s strategy is to develop high conviction programs, product candidates, technologies or intellectual property to ultimately deliver transformational medicines to patients. We face significant competition in sourcing high conviction programs, product candidates, technologies or intellectual property, strategic partnerships and licensing and acquisition opportunities, and the negotiation process is time-consuming, costly and complex. We may not be successful in our efforts in building a pipeline of high conviction product candidates for the treatment of various diseases and disorders through acquisitions, licensing or through internal development or in progressing these product candidates through clinical development. Although our research and development efforts to date have resulted in our identification, discovery and preclinical and clinical development of certain of our product candidates, these product candidates may not be safe or effective treatments or therapies in humans, and we may not be able to develop any other product candidates. Although we analyze whether we can replicate scientific results observed prior to our acquisition or investment in a product candidate, we may not be successful in doing so after our investment. Our approach to drug discovery and development is evolving and may not succeed in building a pipeline of product candidates. Even if we are successful in building our pipeline of product candidates, the potential product candidates that we identify may not be suitable for clinical development or generate acceptable clinical data in humans, including as a result of unacceptable toxicity or other characteristics that indicate that they are unlikely to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the price of our ADSs.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may expand our product candidate pipeline through in-licenses or acquisitions of discovery or development-stage assets or programs, which entails additional risk to us. While we believe our approach offers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attractive platform for these transactions and for founder subject-matter experts and potential partners, our approach is unique and we may not be able to attract or execute transactions with founder-subject matter experts, sellers, licensors or collaborators who may choose to divest to or grant license to companies that employ more traditional licensing and collaboration approaches.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 candidates that ultimately do not provide a return on our investment. We may terminate programs in the future if they do not meet our criteria for advancement.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 single or limited number of programs, developmental assets or product candidates may comprise a large proportion of our value.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large proportion of our value may at any time reside in a limited number of our programs and/or developmental assets or product candidates, as we believe is currently the case in light of our focus on our orexin program. Our consolidated financial condition and prospects may be materially diminished if the clinical development or potential commercialization prospects of one of our product candidates or programs or one or more of the intellectual property rights held by us become impaired. Furthermore, a large proportion of our consolidated revenue may at any time be derived from one, or a small number of, licensed technologies, and termination or expiration of licenses to these technologies would likely have a material adverse effect on our consolidated revenue. Any material adverse impact on the value of intellectual property rights or the clinical development of product candidates or programs, could have a material adverse effect on our consolidated business, financial condition, results of operations or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or we may fail to recognize or acquire assets that may be more promising than those we acquire. Our resource allocation decisions may cause us to fail to capitalize on viable commercial products or profitable market opportunities. Our spending on current and future identification, discovery, and preclinical development programs and product candidates for specific indications may not yield any commercially viable products.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face challenges, risks and expenses related to our operations as well as the management of the expected growth in the scale and complexity of our operations.</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we had 129 full-time equivalent employees. We </w:t>
      </w:r>
      <w:r>
        <w:rPr>
          <w:rFonts w:ascii="Times New Roman;serif" w:hAnsi="Times New Roman;serif"/>
          <w:b w:val="false"/>
          <w:color w:val="000000"/>
          <w:sz w:val="20"/>
        </w:rPr>
        <w:t>may not be successful in retaining employees or finding replacements which could have a material adverse effect on our ability to develop and commercialize our programs and product candidates. As our development and commercialization plans and strategies develop, and as we refine our operations as a public company, we expect to need additional managerial, operational, sales, marketing, legal, financial and other personnel. Future growth would impose significant added responsibilities on members of management,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identifying, recruiting, integrating, maintaining and motivating additional employees;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improving our operational, legal, financial and management controls, reporting systems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financial performance and our ability to commercialize any product candidates if approved for marketing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rely, and for the foreseeable future will continue to rely, in substantial part on certain independent organizations, advisors and consultants to provide certain services, including substantially all aspects of regulatory approval, clinical trial management and manufacturing. There can be no assurance that the services of independent organizations, advisors and consultants will continue to be available to us on a timely basis when needed, or that we can find qualified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not able to effectively expand our organization by hiring new employees and expanding our groups of consultants and contractors, we may not be able to successfully implement the tasks necessary to further develop and potentially commercialize our product candidates and, accordingly, may not achieve our research, development and commercialization goals. We may not have sufficient funding to support our expansion.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br/>
        <w:t>Achieving our business strategy depends in large part on the success of our recent CEO transition.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11, 2025, the Company announced that Saurabh Saha, M.D. Ph.D., was stepping down from his position as CEO and a member of the board of directors, and our board of directors had appointed the Company’s President and founder of Centessa’s Orexin Program, Mario Alberto Accardi, Ph.D, as CEO, both effective January 1, 2026. Any significant leadership change involves inherent risk and can be difficult to manage. Our new CEO is critical to executing on and achieving our business strategy, and our success depends, in large part, on the effectiveness of this transition. If our new CEO is unsuccessful at leading the Company and our management team, or is unable to successfully execute the Company’s strategy, our business may be harmed and our financial condition and results of operations may be adversely affected.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Our reliance on a small team of employees located in different geographies who provide services (including administrative, research and development, and other services) across our organization presents operational challenges that may adversely affect our business.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we had 129 full-time equivalent employees who are located in different geographies across the U.S., UK, </w:t>
      </w:r>
      <w:r>
        <w:rPr>
          <w:rFonts w:ascii="Times New Roman;serif" w:hAnsi="Times New Roman;serif"/>
          <w:b w:val="false"/>
          <w:color w:val="000000"/>
          <w:sz w:val="20"/>
        </w:rPr>
        <w:t xml:space="preserve">UAE </w:t>
      </w:r>
      <w:r>
        <w:rPr>
          <w:rFonts w:ascii="Times New Roman;serif" w:hAnsi="Times New Roman;serif"/>
          <w:b w:val="false"/>
          <w:color w:val="000000"/>
          <w:sz w:val="20"/>
          <w:shd w:fill="FFFFFF" w:val="clear"/>
        </w:rPr>
        <w:t>and the European Union who provide services across our organization (including</w:t>
      </w:r>
      <w:r>
        <w:rPr>
          <w:color w:val="000000"/>
        </w:rPr>
        <w:t xml:space="preserve"> </w:t>
      </w:r>
      <w:r>
        <w:rPr>
          <w:rFonts w:ascii="Times New Roman;serif" w:hAnsi="Times New Roman;serif"/>
          <w:b w:val="false"/>
          <w:color w:val="000000"/>
          <w:sz w:val="20"/>
        </w:rPr>
        <w:t>operational, administrative, research and development, and other support services). We also have consultants who we rely on for research and development, business development, and other services. While we believe this structure enables us to reduce certain infrastructure costs, the small size of our team may limit our ability to devote adequate personnel, time, and resources to support our operational, research and development activities, and the management of compliance, financial, accounting, and reporting matters. If our team fails to provide adequate operational, administrative, research and development, or other services across our entire organization, our business, financial condition, and results of operations could be harmed.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Some of our officers currently serve, and in the future may serve, as directors or officers of our Centessa Subsidiaries, and, as a result, have and may continue to have, statutory, fiduciary and other duties to our subsidiaries causing conflicts of interest with respect to their duties to us and their duties to our subsidiaries and in determining how to devote themselves to our affairs and the affairs of our subsidiaries. Our subsidiaries’ partners may also disagree with the sufficiency of resources that we provide to each Centessa Subsidiary.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our officers, including Iqbal Hussain, our Chief Legal Officer and Gregory Weinhoff, our Chief Business Officer, are directors and/or officers of certain Centessa Subsidiaries and, as a result, have fiduciary or other duties both to us and our subsidiaries. Dr. Weinhoff and Mr. Hussain do not receive any additional compensation for their service as directors of our Centessa Subsidiaries. The conflicts of interest that arise from such duties could interfere with the management of our subsidiaries and their programs and product candidates, or result in disagreements with our subsidiaries’ partners. For example, an individual who is both a director of one of our subsidiaries and an officer of Centessa owes statutory and fiduciary duties to the Centessa Subsidiary and to us, and such individual may encounter circumstances in which his or her decision or action may benefit the Centessa Subsidiary while having a detrimental impact on Centessa, or vice versa, or on another Centessa Subsidiary, including one for which he or she also serves as a director. Further, in the future, certain of our officers may serve as officers and directors of our Centessa Subsidiaries. Any such individual would need to allocate his or her time to responsibilities owed to Centessa and each of the Centessa Subsidiaries for which he or she serves as an officer or director, and would make decisions on behalf of one entity that may negatively impact others. In addition, disputes could arise between us and our Centessa Subsidiary’s partners regarding a conflict of interest or perceived conflict of interest arising from the overlap between the officers and directors of the Centessa Subsidiary and those of Centessa. These partners also may disagree with the amount and quality of resources that are devoted to the Centessa Subsidiary they are invested in. Any such disputes or disagreements could distract our management, interfere with our relations with our partners, and take significant time to resolve, which could disrupt the development of our product candidates, delay our potential commercialization efforts, result in increased costs or make it less likely that other third parties will choose to partner with us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Certain of our programs are subject to certain agreements that provide our licensors and/or collaborators with rights that could delay or impact our ability to sell assets, or enter into strategic alliances, collaborations or licensing arrangements with other third parties or the potential sale of our Centessa Subsidiaries.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programs are subject to licenses of intellectual property from third parties and we expect such practice to continue in the future. These third parties have certain rights that could delay collaboration, licensing or other arrangements with another third party, and the existence of these rights may adversely impact our ability to attract an acquirer or partner. These rights include rights of negotiation and fees payable upon a sale of assets or change of control of the Company or a Centessa Subsidiary that are contained in license agreements, payments upon satisfaction of milestones, royalty payments, diligence obligations and other customary terms contained in agreements for the in-license of programs and their intellectual property.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incorporate, form or otherwise acquire additional subsidiaries and enter into similar agreements with future counterparties, or our Centessa Subsidiaries may enter into further agreements, that in each case may contain similar provisions or other terms that are not favorable to us.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Preclinical and clinical development is a long and expensive process and the outcomes are uncertain, and we may terminate one or more of our current preclinical and/or clinical development programs.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determine that certain product candidates or programs (preclinical and/or clinical) do not have sufficient potential to warrant the continued allocation of resources toward them. Accordingly, we may elect to terminate our programs for and, in certain cases, our licenses to, such product candidates or programs. If we terminate programs in which we have invested significant resources, we will have expended resources on a program that will not provide a full return on our investment and missed the opportunity to have allocated those resources to potentially more productive uses. In addition, program termination may result in significant additional wind-down related costs being incurred including penalties, redundancy and severance and professional fees and may expose us to additional risks including contractual breach and employment termination claims and may divert a disproportionate amount of management time. For example, in the first quarter of 2025, we discontinued the clinical development of LB101, a conditionally tetravalent PD-L1xCD47 bispecific monoclonal antibody, and first-generation LockBody candidate. We may not be able to terminate a clinical program with an ongoing clinical trial on medical and other grounds and, to the extent we are able to terminate, such termination may expose us to additional risks including regulatory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our Financial Position, Need for Additional Capital and Growth Strategy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incurred net losses since inception, and we expect to continue to incur losses for the foreseeable future and may never achieve or maintain profitability.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incurred significant net losses since inception, have not generated any revenue from product sales to date, and financed operations primarily through equity and debt financing. Centessa Pharmaceuticals plc has a limited operating history, and we expect to incur significant losses for the foreseeable future. As an organization, we have devoted substantially all of our efforts to research and development, including clinical and preclinical development of our product candidates, as well as to building out our team. We expect that it could be several years, if ever, before we have a commercialized product candidate. We expect to continue to incur significant expenses and operating losses for the foreseeable future. The net losses we incur may fluctuate significantly from quarter to quarter each financial year. In addition, inflation could adversely impact our financial results. We anticipate that our expenses will increase substantially if, and as, we: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continue our research and the preclinical and clinical development of our product candidates, including our ongoing and planned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initiate additional clinical trials and preclinical studies for our other product candidates, including those in our pipeline that are expected to advance into the clinic in the near future; if any of our product candidates advance through and complete late-stage development, prepare and submit marketing applications with the FDA and comparable regulatory authorities;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experience any delays or encounter any issues with any of the above, including but not limited to failed studies, complex results, safety issues or other regulatory challenges;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seek to discover and develop additional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 a sales, marketing and distribution infrastructure to commercialize any product candidates for which we may obtain marketing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maintain, expand and protect our intellectual property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fulfill future potential payment obligations under our incentivization agreements with each Centessa Subsidiary or program, including as a result of meeting program milestones, program divestments, Company change of control, asset sale or out-licensing;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acquire or in-license other product candidates and technologies.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become and remain profitable, we must develop and eventually commercialize product candidates with significant market potential. This will require us to be successful in a range of challenging activities, including completing preclinical testing and clinical trials of our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and expand our business or continue our operations. A decline in the value of our company could cause you to lose all or part of your investment.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Our limited operating history may make it difficult for investors to evaluate our business, operations and prospects.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commenced operations in 2021. Our operations to date have been limited to organizing and staffing our company, business planning, developing our operating model, raising capital, acquiring our technology, identifying potential product candidates, establishing collaborations and undertaking preclinical studies and clinical trials of our most advanced product candidates. As an organization, we have not yet demonstrated a track record of completing pivotal and/or Phase 3 trials of our product candidates, obtaining marketing approvals, manufacturing a commercial-scale product or conducting sales and marketing activities necessary for successful commercialization. Consequently, any predictions made about our future success or viability may not be as accurate as they could be if we had a longer operating history.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may encounter unforeseen expenses, difficulties, complications, delays and other known and unknown factors. We will need to transition from a company with a research focus to a company that is also capable of supporting commercial activities. We may not be successful in such a transition.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financial condition and operating results to continue to fluctuate significantly from quarter to quarter and year to year due to a variety of factors, many of which are beyond our control and reliance should not be made upon the results of any quarterly or annual periods as indications of future operating performance.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have never generated revenue from product sales and may never be profitable.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completing research and preclinical and clinical development of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seeking and obtaining regulatory and marketing approvals for product candidates for which we complete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in-licensing, acquiring, discovering or otherwise expanding our pipeline of product candidates for clinical development;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launching and commercializing product candidates for which we obtain regulatory and marketing approval by establishing a sales force, marketing and distribution infrastructure or, alternatively, collaborating with a commercialization partner;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qualifying for adequate coverage and reimbursement by government and third-party payors for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maintaining and enhancing a sustainable, scalable, reproducible and transferable manufacturing process for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obtaining market acceptance of our product candidates as a viable treatment option;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addressing any competing technological and market developments;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implementing additional internal systems and infrastructure, as needed;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negotiating favorable terms in any collaboration, licensing or other arrangements into which we may enter and performing our obligations in such collaborations;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maintaining, protecting and expanding our portfolio of intellectual property rights, including patents, trade secrets and know-how;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avoiding and defending against third-party interference or infringement claims;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the MHRA, or other regulatory authorities to perform clinical and other studies in addition to those that we currently anticipate. For example, the FDA may require us to perform additional clinical trials of cleminorexton, beyond those we are currently planning to conduct, in order to support an NDA submission in due course. Even if we are able to generate revenues from the sale of any approved products, we may not become profitable and may need to obtain additional funding to continue operations.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the Transaction is not completed, we will need substantial additional funds to advance development of our product candidates, and we cannot guarantee that we will have sufficient funds available in the future to develop and commercialize our current or future product candidates.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Developing pharmaceutical products, including conducting preclinical studies and clinical trials, is a very time-consuming, expensive and uncertain process that takes years to complete. If the Transaction is not completed, we will need substantial additional funds to expand our development, regulatory, manufacturing, marketing and sales capabilities or contract with other organizations in order to enter and advance our product candidates through preclinical studies and clinical trials. For example, in December 2024 we entered into the Oxford Finance Loan and Security Agreement (See </w:t>
      </w:r>
      <w:hyperlink w:anchor="ie9b362b96062444292dd13506ca98f43_49">
        <w:r>
          <w:rPr>
            <w:rStyle w:val="InternetLink"/>
            <w:rFonts w:ascii="Times New Roman;serif" w:hAnsi="Times New Roman;serif"/>
            <w:b w:val="false"/>
            <w:color w:val="0000FF"/>
            <w:sz w:val="20"/>
            <w:u w:val="single"/>
          </w:rPr>
          <w:t xml:space="preserve">Note </w:t>
        </w:r>
      </w:hyperlink>
      <w:r>
        <w:rPr>
          <w:rFonts w:ascii="Times New Roman;serif" w:hAnsi="Times New Roman;serif"/>
          <w:b w:val="false"/>
          <w:color w:val="000000"/>
          <w:sz w:val="20"/>
        </w:rPr>
        <w:t>7 – “Debt” for more information). In November 2025, we entered into an amended and restated Open Market Sale Agreement (the “Sale Agreement”) with Leerink Partners LLC (“Leerink”), under which Leerink is able to offer and sell, from time to time in “at-the-market” (“ATM”) offerings, shares of the Company’s ADSs having aggregate gross proceeds of up to $250 million. In the event of a sale of Company shares under the ATM, the Company is obligated to pay to Leerink cash commissions of up to 3.0% of the gross proceeds of sales of ADSs under the Sale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As of March 31, 2026, we had cash, cash equivalents, and investments of $533.7 million. Based on our current operating model and development plans, which include certain assumptions, the Company expects cash, cash equivalents, and investments </w:t>
      </w:r>
      <w:r>
        <w:rPr>
          <w:rFonts w:ascii="Times New Roman;serif" w:hAnsi="Times New Roman;serif"/>
          <w:b w:val="false"/>
          <w:color w:val="000000"/>
          <w:sz w:val="20"/>
          <w:shd w:fill="FFFFFF" w:val="clear"/>
        </w:rPr>
        <w:t xml:space="preserve">to fund its operations into </w:t>
      </w:r>
      <w:r>
        <w:rPr>
          <w:rFonts w:ascii="Times New Roman;serif" w:hAnsi="Times New Roman;serif"/>
          <w:b w:val="false"/>
          <w:color w:val="000000"/>
          <w:sz w:val="20"/>
        </w:rPr>
        <w:t>mid-2028. Our future capital requirements and the period for which we project our existing resources to support our operations may vary significantly from what we currently expect, and changing circumstances, some of which may be beyond our control, could cause us to consume capital significantly faster than we currently anticipate, and we may need to seek additional funds sooner than planned. Our monthly spending levels vary based on new and ongoing development and corporate activities. Because the length of time and activities associated with successful development of our product candidates is highly uncertain, we are unable to estimate the actual funds we will require for development and any approved marketing and commercialization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use our cash resources to fund the continued development and pre-commercialization costs of our clinical-stage product candidates; to fund continued development of the other assets in our pipeline, including designing and conducting preclinical studies and clinical trials, as well as funding discovery, manufacturing, research and development; to fund the acquisition of any drug development activities related to new programs; although we have no material agreements, commitments or understandings with respect to any in-license or acquisition, we have and plan to continue to evaluate such opportunities and engage in related discussions with other business entities from time to time; and the remainder for working capital and other general corporate purposes.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execute our business plan, we will need, among other things,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 the human and financial resources necessary to develop, test, obtain regulatory approval for, manufacture and market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build and maintain a strong intellectual property portfolio and avoid infringing intellectual property of third 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 and maintain successful licenses, collaborations and alliances;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satisfy the requirements of clinical trial protocols, including patient enrollment;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 and demonstrate the clinical efficacy and safety of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 regulatory approvals;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manage our spending as costs and expenses increase due to preclinical studies and clinical trials, regulatory approvals, commercialization, legal and regulatory compliance, and increased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 additional capital to support and expand our operations;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market our products to achieve acceptance and use by the medical community in general.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expect to realize revenue from product sales, milestone payments or royalties in the foreseeable future, if at all. Our revenue sources are, and will remain, extremely limited unless and until our product candidates are clinically tested, approved for commercialization and successfully marketed and/or we sell, out-license or otherwise divest certain of our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be required to seek additional funding in the future and intend to do so through either public or private equity offerings or debt financings, credit or loan facilities or a combination of one or more of these funding sources. Attempting to secure additional financing may divert management from day-to-day activities, which may adversely affect our ability to develop our product candidates. Our ability to raise additional funds will depend on financial, economic and other factors, many of which are beyond our control. Additional funds may not be available to us on acceptable terms or at all. If we raise additional funds by issuing equity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Certain amounts of such additional funds raised may need to be used to pay third parties in respect of obligations we owe to them including to our licensors, to participants under subsisting Incentivization Agreements (see Contractual Obligations and Other Commitments) and Oxford Finance. If we are unable to raise additional funds through equity or debt financings when needed, we may be required to delay, reduce or terminate our product development or future commercialization efforts or grant rights to third parties to develop and market product candidates that we would otherwise prefer to develop and market ourselves.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Our loan facility and payment obligations under the Loan and Security Agreement (“LSA”), with Oxford Finance contain operating and financial covenants that restrict our business and financing activities, are subject to acceleration in specified circumstances and may adversely affect our financial position or results of operations and our ability to raise additional capital which in turn may increase our vulnerability to adverse regulatory developments or economic or business downturns or which may result in Oxford Finance taking possession of our assets and disposing of any collateral.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loan facility with Oxford Finance contains restrictions that limit our flexibility in operating our business. Under the terms of the LSA, we must maintain, and cause our subsidiaries to maintain, certain covenants, including with respect to limitations on new indebtedness, restrictions on the payment of dividends and maintenance of revenue levels. Our credit facility is collateralized by all of our assets including, among other things, our intellectual property.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30, 2024 (the “Effective Date”), Centessa Pharmaceuticals Holdings, Inc., Centessa Biosciences, Inc. and Centessa Pharmaceuticals LLC (the “Borrowers,” together with the Company, the “Borrower Parties”) entered into a loan and security agreement (the “Loan and Security Agreement” or “LSA”) with Oxford Finance LLC (“Oxford”), as collateral agent and a lender, and the other lenders from time to time party thereto (collectively, the “Lenders”), pursuant to which the Lenders agreed to lend the Borrowers an aggregate principal amount of up to $200.0 million in a series of term loans (the “Term Loans”). Pursuant to the Loan and Security Agreement, the Borrowers received an initial Term Loan of $110.0 million on the Effective Date (the “Initial Term Loan”). The Borrowers have access to up to an additional $40.0 million of loan proceeds in an additional tranche which is available during the period commencing on the date of the occurrence of the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Milestone (as defined in the Loan and Security Agreement) through the earlier of: (i) 90 days following the Clinical Milestone and (ii) June 30, 2028. An additional $50.0 million may be made available to the Borrowers at the Lenders’ sole discretion.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loans are set to mature on December 1, 2029 and, following an interest-only period, will begin to amortize in equal monthly installments beginning on February 1, 2029. However, if a specified milestone is achieved on or after the first anniversary of the Effective Date, then the term loans will begin to amortize in equal monthly installments beginning on February 1, 2030, and the maturity date may be extended to December 1, 2030. The term loans accrue interest at a floating rate equal to (i) secured overnight financing rate for a one-month tenor from the website of the CME Group Benchmark Administration Limited, subject to a floor of 3.28%, plus (ii) an applicable margin of 5.00%. The Loan and Security Agreement provides for a minimum interest rate of 8.28% and a maximum interest rate of 10.50%. Interest on the term loans is payable monthly in arrears. The term loans once repaid or prepaid may not be reborrowed. The term loans may be prepaid in full at the option of the Borrowers. The Borrowers are required to pay a prepayment fee of 3.00% for prepayments of term loans made in the first year after funding of such term loans, 2.00% for prepayments of term loans made in the second year after funding of such term loans and 1.00% for prepayments thereafter. The Borrowers are also obligated to pay other customary fees for a loan facility of this size and type.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proceeds from the Initial Term Loan were used to repay in full the approximately $110 million aggregate principal amount outstanding, accrued interest and fees related to the Company’s note purchase agreement with Three Peaks Capital Solutions Aggregator Fund and Cocoon SA LLC, an affiliate of Oberland Capital Management LLC, as well as certain fees and expenses payable to Oxford. The Borrowers’ obligations under the Loan and Security Agreement are guaranteed by the Company and certain subsidiaries of the Company and will be guaranteed by the Company’s future subsidiaries, subject to certain customary limitations pursuant to the terms of the English-law Guarantee and Indemnity (the “Guarantee”). In addition, pursuant to the terms of the LSA, the Borrowers granted Oxford, as collateral agent, a first priority security interest in substantially all of the Borrowers’ assets, including intellectual property. Furthermore, pursuant to the terms of the English law debenture entered into on the Effective Date (the “Debenture”), the Company and certain of its subsidiaries granted Oxford a first priority security interest in substantially all of the Company’s and its subsidiaries’ assets, including intellectual property. The LSA contains customary affirmative and negative covenants, including covenants limiting the ability of the Borrower Parties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the LSA contains a minimum cash covenant commencing on October 1, 2026 and all times thereafter of: (1) 35% of the outstanding principal balance of the Term Loan; and (2) up to 80% of the outstanding principal balance of the Term Loan based on the Company’s orexin agonist program Phase 2 and Phase 3 clinical data and continued Active Development (as defined in the LSA) of its lead orexin asset programs; provided that such minimum cash covenants shall not be tested during periods when the Company’s market capitalization meets $1.0 billion.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events of default under the LSA include, among others, payment defaults, material misrepresentations, breaches of covenants, cross defaults with certain other material indebtedness, bankruptcy and insolvency events, the occurrence of a Material Adverse Change (as defined in the LSA) and judgment defaults. The occurrence of an event of default could result in the acceleration of the Borrowers’ obligations under the LSA, the termination of the Lenders’ commitments, a 3% increase in the applicable rate of interest and the exercise by the Lender of other rights and remedies provided for under the LSA and the Debenture.</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breach certain of our debt covenants and are unable to cure such breach within the prescribed period, or are not granted waivers in relation to such breach, it may constitute an event of default under the loan facility, giving Oxford Finance the right to require us to repay the then outstanding debt immediately, and Oxford Finance could, among other things, foreclose on the collateral granted to them to collateralize such indebtedness, if we are unable to pay the outstanding debt immediately. A breach of the covenants contained in the credit facility documents and the acceleration of its repayment obligations by Oxford Finance could have a material adverse effect on our business, financial condition, results of operations and prospects.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loan facility could have important negative consequences to the holders of our securities. For example, a portion of our cash flow from operations will be needed to make payments to Oxford Finance and will not be available to fund future operations. Additionally, we may have increased vulnerability to adverse general economic and industry conditions. Payment requirements under the credit facility will increase our cash outflows if and when the conditions for payment are triggered.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dilution to our stockholders. There is no assurance that if we are required to secure funding, we can do so on terms acceptable to us, or at all.</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we engage in acquisitions or strategic partnerships, this may increase our capital requirements, dilute our shareholders, cause us to incur debt or assume contingent liabilities, and subject us to other risks.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engage in various acquisitions and strategic partnerships in the future, including licensing or acquiring new or complementary products, intellectual property rights, technologies, or businesses. Any acquisition or strategic partnership may entail numerous risks,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operating expenses and cash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assumption of indebtedness or contingent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issuance of our equity securities which would result in dilution to our shareholders;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assimilation of operations, intellectual property, products and product candidates of an acquired company, including difficulties associated with integrating new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diversion of our management’s attention from our existing product programs and initiatives in pursuing such an acquisition or strategic partnership;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retention of key employees, the loss of key personnel, and uncertainties in our ability to maintain key business relationships;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inability to generate revenue from acquired intellectual property, technology and/or products sufficient to meet our objectives or even to offset the associated transaction and maintenance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assumption of liabilities of the acquired subsidiary or acquired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we undertake such a transaction, we may issue dilutive securities, assume or incur debt obligations, incur large one-time expenses and acquire intangible assets that could result in significant future amortization expense.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we acquire additional assets and/or companies in the future, it could adversely affect our operating results and the value of our ADSs.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business model and strategy, we may acquire additional assets and/or companies. Investments in our existing and any future subsidiaries and developmental assets involve numerous risks, including, but not necessarily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 of conducting research and development activities in new therapeutic areas or treatment modalities in which we have little to no experience;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diversion of financial and managerial resources from existing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successfully negotiating a proposed acquisition, in-license or investment in a timely manner and at a price or on terms and conditions favorable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successfully combining and integrating a potential acquisition into our existing business to fully realize the benefits of such acquisition;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regulatory reviews on a proposed acquisition, in-license or investment;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assumption of liabilities of acquired subsidiaries and outcome of any legal proceedings that may be instituted with respect to the proposed acquisition, in-license or investment.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Our Business and the Clinical Development, Regulatory Review and Approval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product candidates are in various stages of development, including several in discovery, preclinical, and clinical stages, and may fail in development or suffer delays that materially adversely affect their commercial viability and we may fail to differentiate our molecules, including cleminorexton, ORX142, ORX489 and other orexin agonist molecules from other available treatment options including other molecules in development.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 products on the market and most of the product candidates in our pipeline are in the early stages of development. For example, we currently have three product candidates that are in clinical development—cleminorexton, ORX142 and ORX489. The remainder of our programs are in preclinical development.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a collaborator must conduct extensive preclinical tests and clinical trials to demonstrate the safety and efficacy of our drug product candidates and the safety, purity, and potency or efficacy, of our biologic product candidates. Preclinical testing and clinical trials are expensive, difficult to design and implement, can take many years to complete and are uncertain as to outcome. Our current or future product candidates may cause undesirable or clinically unmanageable side effects, toxicities or have other properties when used alone or in combination with other approved products or investigational new drugs that could halt their clinical development, delay or prevent their marketing approval, limit their commercial potential, result in a more restrictive label or result in significant negative consequences. Historical results of preclinical studies or clinical studies will not be fully predictive of future results in ongoing or future studies, which is particularly pertinent in the case of our orexin agonist program. For example, the Company and certain other orexin agonist programs have reported various side-effects including treatment emergent adverse events during clinical trials. There is no guarantee that cleminorexton, ORX142 and/or ORX489 (or any other future product candidate) will not demonstrate such reported or other serious and unexpected drug-related side effects which could materially and adversely impact our ability to develop and advance cleminorexton, ORX142 and/or ORX489 (or any other future product candidate). The start or end of a clinical study is often delayed or halted due to changing regulatory requirements, manufacturing challenges, required clinical trial administrative actions, slower than anticipated patient enrollment, changing standards of care, availability or prevalence of use of a comparative drug or required prior therapy, clinical outcomes or financial constraints. For instance,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A product candidate can unexpectedly fail at any stage of preclinical and clinical development. For example, during the first quarter of 2025, we discontinued the clinical development of LB101, a conditionally tetravalent PD-L1xCD47 bispecific monoclonal antibody, and first generation LockBody candidate. </w:t>
      </w:r>
      <w:r>
        <w:rPr>
          <w:rFonts w:ascii="Times New Roman;serif" w:hAnsi="Times New Roman;serif"/>
          <w:b w:val="false"/>
          <w:color w:val="000000"/>
          <w:sz w:val="20"/>
          <w:shd w:fill="FFFFFF" w:val="clear"/>
        </w:rPr>
        <w:t>The historical failure rate for product candidates is high due to scientific feasibility, safety, efficacy, changing standards of medical c</w:t>
      </w:r>
      <w:r>
        <w:rPr>
          <w:rFonts w:ascii="Times New Roman;serif" w:hAnsi="Times New Roman;serif"/>
          <w:b w:val="false"/>
          <w:color w:val="000000"/>
          <w:sz w:val="20"/>
        </w:rPr>
        <w:t>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be able to submit Investigational New Drug applications (“INDs”) or IND amendments to commence additional clinical trials on the timelines we expect, and even if we are able to, the FDA may not permit us to proceed.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serious and unexpected drug-related side effects experienced by participants in our clinical trials or by individuals using drugs similar to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submitting INDs, Clinical Trial Applications (“CTAs”),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conditions imposed by the FDA or comparable foreign authorities regarding the scope or design of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enrolling or our inability to enroll research subjects in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 drop-out rates of research subjects;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inadequate supply or quality of product candidate components or materials or other supplies necessary for the conduct of our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greater than anticipated clinical trial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poor effectiveness of our product candidates during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FDA or other regulatory agency inspection and review of a clinical trial site;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varying interpretations of data by the FDA and similar foreign regulatory agencies.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 clinical trials performed to date were, and in the future we may conduct, open-label studies involving only a limited number of clinical sites and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not be successful in our efforts to identify, discover, in-license or otherwise acquire additional product candidates and may fail to capitalize on programs or product candidates that may be a greater commercial opportunity or for which there is a greater likelihood of success.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depends upon our ability to identify, develop and commercialize product candidates. Research programs to identify new product candidates require substantial technical, financial and human resources. Although certain of our product candidates are currently in clinical or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of these events occur, we may be forced to abandon our development efforts with respect to a particular product candidate or fail to develop a potentially successful product candidate,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Success in preclinical studies or early clinical trials may not be indicative of results obtained in later trials.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Results from preclinical studies or previous clinical trials are not necessarily predictive of future clinical trial results, and interim results of a clinical trial are not necessarily indicative of final results. The results generated to date in preclinical studies or clinical trials for our product candidates do not ensure that later preclinical studies or clinical trials will demonstrate similar results. Our product candidates may fail to show the desired safety and efficacy in clinical development despite demonstrating positive results in preclinical studies or having successfully advanced through initial clinical trials. Product candidates in later stages of clinical trials may fail to show the desired safety and efficacy traits despite having progressed through preclinical and earlier stage clinical trials. In later-stage clinical trials, we will likely be subject to more rigorous statistical analyses than in completed earlier stage clinical trials. 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a high failure rate for small molecule drugs and biologic products proceeding through clinical development.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and many companies that have believed their product candidates performed satisfactorily in preclinical studies and clinical trials have nonetheless failed to obtain marketing approval of their products. In addition, we may experience regulatory delays or rejections as a result of many factors, including due to changes in regulatory policy during the period of our product candidate development.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 Any such delays could materially and adversely affect our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encounter substantial delays or challenges in the initiation, conduct or completion of our clinical trials, and the results of clinical development are uncertain.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we must conduct extensive clinical trials to demonstrate the safety and efficacy of the product candidate for its intended indications. Clinical trials are expensive, time-consuming and uncertain as to outcome. We cannot guarantee that any clinical trials will be conducted as planned or completed on schedule, if at all. The results at any stage of the development process may show that a product candidate lacks the desired safety, efficacy, pharmacokinetic or other characteristics. A failure of one or more clinical trials can occur at any stage of testing. If the FDA or any other regulatory authority determines that the safety or efficacy data included in any regulatory or marketing application we submit do not warrant approval for the relevant product or product candidate, we may be required to conduct additional preclinical studies or clinical trials, which could be challenging to perform, costly and time-consuming. Even if we believe we have successfully completed testing, the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failure or delay in completing such clinical trials or a failure to prove that our product candidates are safe and effective in clinical trials, could materially and adversely affect our business, financial condition, results of operations and overall growth prospects. Events that may prevent successful or timely completion of clinical development include, without limitation: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 in completing preclinical studies;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reaching a consensus with regulatory authorities on trial design;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obtaining authorizations of INDs to commence a clinical trial;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reaching agreement or failing to agree on acceptable terms with prospective CROs, and clinical trial sites, the terms of which can be subject to extensive negotiation and may vary significantly among different CROs and clinical trial sites;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obtaining or failure to obtain Institutional Review Board (“IRB”), or independent ethics committee approval at each clinical trial 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opening or failure to open a sufficient number of clinical trial sites and recruiting an adequate number of suitable patients to participate in our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imposition of a clinical hold by regulatory authorities as a result of a serious adverse event, concerns with a class of product candidates or after an inspection of our clinical trial operations or trial sites;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having patients complete participation in a trial or return for post-treatment follow-up;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occurrence of clinical trial sites deviating from clinical trial protocol or dropping out of a clinical trial;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obtaining sufficient product supply of product candidate for use in preclinical studies or clinical trials from third-party suppliers;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occurrence of serious adverse events associated with the product candidate that are viewed to outweigh its potential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regulatory requirements and guidance that require amending or submitting new clinical protocols;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recruit and maintain a sufficient number of, or any, subjects in our existing and anticipated studies or clinical trials including trials of cleminorexton, ORX142, ORX489, other orexin agonist molecules and any other LockBody candidates, and failure to meet expectations on executing our research and clinical development plans and the timing thereof;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geopolitical or macro factors such as the ongoing Russia-Ukraine war, the Middle East conflict(s), tensions in U.S.-China relations and the impact of changes in trade policy, including the imposition of tariffs on our business and results of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inability to successfully complete preclinical and clinical development could result in additional costs to us or impair our ability to generate revenue from future drug sales and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drugs to market before we do, which could impair our ability to successfully commercialize our product candidates and may harm our business, financial condition, results of operations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if the results of our clinical trials are inconclusive or if there are safety concerns or serious adverse events associated with our product candidates, we may: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 delayed in obtaining marketing approval, if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 approval with labeling that includes significant use or distribution restrictions or safety warnings;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 subject to additional post-marketing testing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 required to perform additional clinical trials to support approval or be subject to additional post-marketing testing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have regulatory authorities withdraw, or suspend, their approval of the drug or impose restrictions on its distribution in the form of a modified risk evaluation and mitigation strategy (“REMS”) plan;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 subject to the addition of labeling statements, such as warnings or contraindications;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 sued;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experience damage to our reputation.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drug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the FDA or other regulatory authorities, or an IRB or ethics committee of the institutions in which our clinical trials are being conducted, or the Data Safety Monitoring Board for such trials, if any, may suspend or terminate our clinical trials. Such authorities may suspend or terminate a clinical trial at any time due to a number of factors, including if it appears that we or our collaborators are failing to conduct a trial in accordance with regulatory requirements, including the FDA’s current Good Clinical Practice (“GCP”), regulations, unforeseen safety issues or unacceptable health risks, failure to demonstrate a benefit from the product candidates, or if the FDA finds deficiencies in our INDs or the conduct of these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 We have no experience in submitting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process of obtaining marketing approvals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This is particularly true for clinical trials in rare diseases, where the very small patient population makes it difficult or impossible to conduct traditional, adequate and well-controlled studies, and therefore the FDA or comparable foreign regulatory authorities are often required to exercise flexibility in approving therapies for such diseases.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experience delays in obtaining approval or if we fail to obtain approval of any product candidates we may develop, the commercial prospects for those product candidates may be harmed, and our ability to generate revenues may be materially impaired.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find it difficult to enroll patients in our clinical trials, which could delay or prevent us from proceeding with clinical trials of our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Identifying and qualifying patients to participate in clinical trials of our product candidates is critical to our success. The timing of our clinical trials depends on our ability to recruit patients to participate in such trials as well as the completion of any required follow-up periods. Some of our product candidates are designed to target orphan indications which often take longer to enroll than trials for other indications due to the smaller patient population from which subjects can be recruited. We may experience delays in any of our future clinical trials. If patients are unwilling to participate in our studies because of negative publicity from adverse events related to certain modalities utilized in one or more of our product candidates, competitive clinical trials for similar patient populations, as is the case for our orexin program, or for other reasons, the timeline for recruiting patients, conducting studies and obtaining regulatory approval of our product candidates may be delayed. These delays could result in increased costs, delays in advancing our product candidates, delays in testing the effectiveness of our product candidates or termination of the clinical trials altogether.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identify, recruit and enroll a sufficient number of patients, or those with required or desired characteristics, to complete our clinical trials in a timely manner. Patient enrollment and trial completion is affected by factors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size of the patient population and process for identifying subjects;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design of the trial protocol;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eligibility and exclusion criteria;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perceived risks and benefits of the product candidate under study;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perceived risks and benefits of approaches utilized by one or more of our product candidates for the treatment of diseases;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availability of competing therapies and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severity of the disease under investigation;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proximity and availability of clinical trial sites for prospective subjects;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recruit clinical trial investigators with the appropriate competencies and experience;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obtain and maintain subject consent;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 that enrolled subjects will drop out before completion of the trial;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patient referral practices of physicians;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monitor subjects adequately during and after treatment;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factors we may not be able to control, such as current or potential pandemics that may limit patients, principal investigators or staff or clinical site availability and geopolitical conflicts such as the Russia-Ukraine war, the Middle East conflict(s), tensions in U.S.-China relations and the impact of changes in trade policy, including the imposition of tariffs, on our business and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successful in developing one or more of our product candidates, we plan to seek initial marketing approval in the United States and certain other major markets such as major countries in the EU, and the United Kingdom. We may not be able to initiate or continue clinical trials if we cannot enroll a sufficient number of eligible patients to participate in the clinical trials required by FDA, EMA, MHRA or other regulatory authorities. Our ability to successfully initiate, enroll and complete a clinical trial in any foreign country is subject to numerous risks unique to conducting business in foreign countries,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difficulty in establishing or managing relationships with CROs, and physicians;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difficulty in obtaining local regulatory approval to conduct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different standards for the conduct of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inability to locate qualified local consultants, physicians and partners;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burden of complying with a variety of foreign laws, medical standards and regulatory requirements, including the regulation of pharmaceutical and biotechnology products and treatment.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are dependent on third parties having accurately generated, collected, interpreted and reported data from certain preclinical studies and clinical trials that were previously conducted for our product candidates.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We have licensed patent and other intellectual property rights from third parties and we may continue to seek and enter into similar licenses for future programs. In certain cases, we inte</w:t>
      </w:r>
      <w:r>
        <w:rPr>
          <w:rFonts w:ascii="Times New Roman;serif" w:hAnsi="Times New Roman;serif"/>
          <w:b w:val="false"/>
          <w:color w:val="000000"/>
          <w:sz w:val="20"/>
          <w:shd w:fill="FFFFFF" w:val="clear"/>
        </w:rPr>
        <w:t>nd to rely on results of studies previously conducted by third parties to support our own development of these candidates. In such cases, we may have no involvement with or control over the preclinical and clinical development of any of such product candidates prior to obtaining the in-license. Therefore</w:t>
      </w:r>
      <w:r>
        <w:rPr>
          <w:rFonts w:ascii="Times New Roman;serif" w:hAnsi="Times New Roman;serif"/>
          <w:b w:val="false"/>
          <w:color w:val="000000"/>
          <w:sz w:val="20"/>
        </w:rPr>
        <w:t xml:space="preserve">, we would be dependent on these third parties having conducted their research and development in accordance with the applicable protocols, legal and regulatory requirements, and scientific standards; having accurately reported the results of all preclinical studies and clinical trials conducted with respect to such product candidates and having correctly collected and interpreted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data from these studies and trials. If these activities were not compliant, accurate or correct, the clinical development, regulatory approval or commercialization of our product candidates will be adversely affected.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be unable to obtain U.S. or foreign regulatory approval and, as a result, unable to develop and/or commercialize our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are required to be successfully completed in the U.S. and in many foreign jurisdictions before a new drug can be marketed. Satisfaction of these and other regulatory requirements is costly, time consuming, uncertain and subject to unanticipated delays. Regulatory agencies may also impose restrictions or conditions on the development of our product candidates which may delay or adversely impact their planned development. For example, we might need to exceed the current maximum exposure limit set by FDA for our ongoing clinical trials of cleminorexton, and this might result in a material delay to the current planned development of cleminorexton, or add significant additional cost, or require that we make significant adjustments including protocol changes, or we might not be successful in having the maximum exposure limit amended or removed by the FDA at all, in each case, which may materially and adversely impact our ability to develop or commercialize cleminorexton in a timely manner or at all and consequently, our business could be substantially harmed. It is possible that none of the product candidates we may develop will obtain the regulatory approvals necessary for us or our collaborators to begin selling them. Regulatory authorities may also fail to approve the facilities or processes used to manufacture a product candidate, our dosing or delivery methods.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We have very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are not always applied predictably or uniformly and can chan</w:t>
      </w:r>
      <w:r>
        <w:rPr>
          <w:rFonts w:ascii="Times New Roman;serif" w:hAnsi="Times New Roman;serif"/>
          <w:b w:val="false"/>
          <w:color w:val="000000"/>
          <w:sz w:val="20"/>
          <w:shd w:fill="FFFFFF" w:val="clear"/>
        </w:rPr>
        <w:t xml:space="preserve">ge. </w:t>
      </w:r>
      <w:r>
        <w:rPr>
          <w:rFonts w:ascii="Times New Roman;serif" w:hAnsi="Times New Roman;serif"/>
          <w:b w:val="false"/>
          <w:color w:val="000000"/>
          <w:sz w:val="20"/>
        </w:rPr>
        <w:t>Any analysis we perform on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cases in the future, we may develop therapies that may represent a new class of drug for which the FDA and its foreign counterparts have not yet established any definitive policies, practices or guidelines in relation to these drugs. For example, we may in the future develop product candidates that we believe are regulated as new drugs under the Federal Food, Drug, and Cosmetic Act, but the FDA could decide to regulate them or other products we may develop as biologics under the Public Health Service Act.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delay or failure in obtaining required approvals could have a material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plan as part of a new drug application (“NDA”), or biologics license application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Interim, “top-line,” and preliminary data from our clinical trials that we announce or publish from time to time may change as more patient data become available or as additional analyses are conducted, and as the data are subject to audit and verification procedures, there could be material changes in the final data.</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publish interim, “top-line,” or preliminary data or report data updates from our clinical studies. Interim data from clinical trials that we may complete are subject to the risk that one or more of the clinical outcomes may materially change as patient enrollment continues and more patient data become available. Preliminary or “top-line” data or data updates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be unable to obtain orphan drug designation or exclusivity. If our competitors are able to obtain orphan drug exclusivity for products that constitute the same drug and treat the same indications as our product candidates, we may not be able to have our product candidates approved by the applicable regulatory authority for a significant period of time.</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We may seek orphan drug designation for our product candidates where applicable, but there is no assurance the FDA or other regulatory authorities would grant orphan drug designation or, if granted, there is no assurance we can maintain orphan drug designation or obtain any benefits associated with orphan drug designation, including market exclusivity. Regulatory authorities in some jurisdictions, including the United States and the European Union, may designate drugs and biologics intended to treat relatively small patient populations as orphan drugs. Under the Orphan D</w:t>
      </w:r>
      <w:r>
        <w:rPr>
          <w:rFonts w:ascii="Times New Roman;serif" w:hAnsi="Times New Roman;serif"/>
          <w:b w:val="false"/>
          <w:color w:val="000000"/>
          <w:sz w:val="20"/>
        </w:rPr>
        <w:t>rug Act of 1983, FDA may designate a product candidate as an orphan drug if it is intended to treat a rare disease or condition, which is defined as a disease or condition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 the European Commission, after recommendation from the EMA’s Committee for Orphan Medicinal Products, grants orphan designation in respect of products that are intended for the diagnosis, prevention or treatment of a life-threatening or chronically debilitating condition which either affects not more than 5 in 10,000 persons in the EU when the application for orphan designation is made, or products intended for the diagnosis, prevention or treatment of a life-threatening, seriously debilitating or serious and chronic condition when, without incentives, it is unlikely that sales of the product in the EU would be sufficient to justify the necessary investment in developing the product. In each case, there must be no satisfactory method of diagnosis, prevention or treatment which is authorized for marketing in the EU, or, if such a method exists, the product would be of significant benefit to those affected by the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our current product candidates, and our future potential product candidates may target patient populations that are smaller than the numbers described above. If we request orphan drug designation for our product candidates, there can be no assurances that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(or a “similar medicinal product” in the EU)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and the exclusivity period in the EU can be extended by two years when the results of pediatric studies are completed in accordance with a fully compliant pediatric investigation plan and reflected in the summary of product characteristics (SmPC).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exclusivity period in the European Union can be reduced to six years if a product no longer meets the criteria for orphan drug designation or if the product is sufficiently profitable so that market exclusivity is no longer justified. Proposed amendments to EU legislation regarding orphan medicines are under consideration that, if implemented following the conclusion of the legislative process, have the potential to shorten the ten-year period of marketing exclusivity.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a marketing authorization may be granted to a similar medicinal product for the same orphan indication if: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second applicant can establish in its application that its medicinal product, although similar to the orphan medicinal product already authorized, is safer, more effective or otherwise clinically superior;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holder of the marketing authorization for the original orphan medicinal product consents to a second orphan medicinal product application;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holder of the marketing authorization for the original orphan medicinal product cannot supply sufficient quantities of orphan medicinal product.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face significant competition in an environment of rapid technological change and the possibility that our competitors may achieve regulatory approval before us or develop therapies that are more advanced or effective than ours, which may adversely affect our ability to successfully market or commercialize our product candidates and our financial condition.</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biotechnology and pharmaceutical industries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 In addition, we face competition from other companies that have adopted business models that are similar to ours in which they establish strategic alliances, create joint ventures or collaborations, or enter into licensing arrangements with third parties for programs, product candidates, technologies or intellectual property. We may not be able to compete effectively with such companies. See “—</w:t>
      </w:r>
      <w:r>
        <w:rPr>
          <w:rFonts w:ascii="Times New Roman;serif" w:hAnsi="Times New Roman;serif"/>
          <w:b w:val="false"/>
          <w:i/>
          <w:color w:val="000000"/>
          <w:sz w:val="20"/>
        </w:rPr>
        <w:t>We may not be successful in our efforts to build a pipeline of product candidates with commercial value.”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our potential competitors, alone or with their strategic partners, may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product being prevented from being marketed for significant periods (for example, where our competitor has secured regulatory exclusivity) or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Our product candidates and the process for administering our product candidates may cause undesirable side effects or have other properties that could delay or prevent their regulatory approval, limit the commercial potential or result in significant negative consequences following any potential marketing approval.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candidates may cause undesirable side effects. Additionally, the administration process or related procedures also can cause adverse side effects. Adverse events that occur in our trials may cause us, or cause regulatory authorities or others to order us to halt, delay or amend preclinical development or clinical development of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candidates and could result in more restrictive labeling or the denial of regulatory approval of our product candidates for any or all targeted indications. Even if serious adverse events are unrelated to study treatment, such occurrences could affect patient enrollment or the ability of enrolled patients to complete the trial. In addition, if any of our product candidates are tested or used in combination with other drugs, these combinations may have additional side effects, which could be more severe than those caused by either therapy alone.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certain of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clinical trials by their nature utilize a sample of the potential patient population. With a limited number of patients and limited duration of exposure, rare and severe side effects of our product candidates or those of our competitors may only be uncovered when a significantly larger number of patients have been exposed to the drug. While we believe that our product candidates have demonstrated manageable tolerability profiles thus far in the target indications, there can be no assurance that it or any of our other product candidates will not cause more severe side effects in a greater proportion of patients. In addition, some of our product candidates are intended to address limitations in current treatment approaches by offering potentially greater tolerability. If we do not observe a favorable tolerability profile in testing of such product candidates that differentiate them from competitors in the market, we may decide to suspend or terminate development of such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product candidates target diseases that are life-threatening or are associated with significant co-morbidities. For example, our LockBody technology is designed to target cancers, a condition in which patients may undergo treatment with other therapies such as chemotherapy, radiation, and/or other high dose or myeloablative treatments in the course of treatment of their disease, and may therefore experience side effects or AEs, including death, that are unrelated to our product candidates. While these side effects or AEs may be unrelated to our product candidates, they may still affect the success of our clinical trials. The inclusion of critically ill patients in our clinical trials may also result in deaths or other adverse medical events due to underlying disease or to other therapies or medications that such patients may receive.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if any of our product candidates receives marketing approval, FDA could require us to adopt a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our product candidate, several potentially significant negative consequences could result,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authorities may suspend or withdraw approvals of such product candidate;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authorities may require additional warnings on the label;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required to change the way a product candidate is administered or conduct additional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could be sued and held liable for harm caused to patients;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our product candidates and could significantly harm our business, prospects, financial condition and results of operations.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not be able to submit INDs or IND amendments to commence additional clinical trials on the timelines we expect, and even if we are able to, the FDA may not permit us to proceed or may subject its approval to certain conditions.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certain of the product candidates in our pipeline have not yet commenced clinical trials, and are in preclinical development. We may not be able to submit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 The FDA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impose restrictions or conditions on the development of our product candidates which may delay or adversely impact their planned development. For example, we might need to exceed the current maximum exposure limit set by the FDA for our ongoing clinical trials of cleminorexton, and this might result in a material delay to the current planned development of cleminorexton, or add significant additional cost, or require that we make significant adjustments including protocol changes, or we might not be successful in having the maximum exposure limit amended or removed by the FDA at all, in each case, which may materially and adversely impact our ability to conduct our cleminorexton clinical trials and/or develop or commercialize cleminorexton in a timely manner or at all and consequently, our business could be substantially harmed.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are currently conducting and plan to conduct future clinical trials for certain product candidates outside the United States, and the FDA and comparable foreign regulatory authorities may not accept data from such trials.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currently conducting and plan to conduct future clinical trials for certain product candidates outside the United States, including in Europe. The acceptance of study data from clinical trials conducted outside the United States or another jurisdiction by the FDA or comparable foreign regulatory authority may be subject to certain conditions or may not be accepted at all. The FDA will generally not consider the data from a foreign clinical trial not conducted under an IND unless (i) the trial was well-designed and well-conducted in accordance with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Even if we obtain and maintain approval for our product candidates from the FDA, we may never obtain approval for our product candidates outside of the United States, which would limit our market opportunities and adversely affect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marketed in that country. In some cases, the price that we intend to charge for our products, if such products obtain regulatory approval, is also subject to approval. We intend to submit a marketing authorization application to the EMA for approval of our product candidates in the European Union, but obtaining such approval from the European Commission following the opinion of the EMA is a lengthy and expensive process. We may also submit marketing applications to regulators in other jurisdictions, such as to the MHRA in the United Kingdom. Even if a product candidate is approved, the FDA, the European Commission, the MHRA and other foreign regulatory authorities,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adversely affected.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seek Fast Track designation for any of our other current or future product candidates. This designation may not lead to a faster development or regulatory review or approval process, and does not increase the likelihood that our product candidates will receive marketing approval.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may seek Fast Track designation for certain of our other current and future product candidates, but there is no assurance that the FDA will grant this status to any of our proposed product candidates. The FDA has broad discretion whether or not to grant Fast Track designation, so even if we believe a particular product candidate is eligible for this designation, there can be no assurance that the FDA would decide to grant it. Even if we receive Fast Track designation for any of our product candidates, we may not experience a faster development process, regulatory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seek accelerated approval for any of our current or future product candidates. Accelerated approval, even if granted, may not lead to a faster commercial launch of the product and does not increase the likelihood that our product candidates will receive marketing approval.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seek approval of our product candidates, where applicable, under the FDA’s accelerated approval program. A product may be eligible for accelerated approval if it treats a serious or life-threatening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program, we may not be able to obtain accelerated approval and, even if we do, we may not experience a faster commercial launch of the product. In addition, receiving accelerated approval does not assure that the product’s accelerated approval will eventually be converted to a traditional approval.</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We may seek designation for a current or future platform as a designated platform technology, but we might not receive such designation, and even if we do, such designation may not lead to a faster regulatory review or approval process.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seek designation for our current or future platform as a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an NDA or a biologic licensed under a BLA; (2) preliminary evidence submitted by the sponsor of the approved drug or licensed biologic, or a sponsor that has been granted a right of reference to data submitted in the application for such drug or biologic, demonstrates that the platform technology has the potential to be incorporated in, or utilized by, more than one drug or biologic without an adverse effect on quality, manufacturing, or safety; and (3) data or information submitted by the applicable person indicates that incorporation or utilization of the platform technology has a reasonable likelihood to bring significant efficiencies to the drug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biologic development or manufacturing process and to the review process. A sponsor may request the FDA to designate a platform technology as a designated platform technology concurrently with, or at any time after, submission of an IND application for a drug or biologic that incorporates or utilizes the platform technology that is the subject of the request. If so designated, the FDA may expedite the development and review of any subsequent original NDA for a drug or BLA for a biologic that uses or incorporates the platform technology. Even if we believe our current or future platform technology meets the criteria for such designation, the FDA may disagree and instead determine not to grant such designation. In addition, the receipt of such designation for a platform technology does not ensure that a drug or biologic will be developed more quickly or receive FDA approval. Moreover, the FDA may revoke a designation if the FDA determines that a designated platform technology no longer meets the criteria for such designation.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Even if we receive regulatory approval of one or more of our product candidates, we would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for product manufacturing and compliance with GLP and GCP requirements for any studies that we conduct post-approval. In addition, manufacturers are required to comply with applicable product tracking and tracing requirements. Manufacturers and other parties involved in the drug supply chain for prescription drug products must also notify the FDA of counterfeit, diverted, stolen and intentionally adulterated products or products that are otherwise unfit for distribution in the United States.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restrictions on the marketing or manufacturing of our product candidates, withdrawal of the product from the market or voluntary or mandatory product recalls;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manufacturing delays and supply disruptions where regulatory inspections identify observations of noncompliance requiring remediation;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revisions to the labeling, including limitation on approved uses or the addition of additional warnings, contraindications or other safety information, including boxed warnings;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imposition of a REMS, which may include distribution or use restrictions;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requirements to conduct additional post-market clinical trials to assess the safety of the product;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fines, warning letters or holds on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refusal by the FDA to approve pending applications or supplements to approved applications filed by us or suspension or revocation of approvals;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The market opportunities for any future oncology product candidates from our LockBody platform may be relatively small since the patients who may potentially be treated with such oncology product candidates are those who are ineligible for or have failed prior treatments, and our estimates of the prevalence of our target patient populations may be inaccurate.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Cancer therapies are sometimes characterized by line of therapy (e.g., first line, second line, third line, fourth line), and the FDA often approves new therapies initially only for a particular line or lines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There is no guarantee that any future oncology product candidates, even if approved as a second or third or subsequent line of therapy, would be approved for an earlier line of therapy, and, prior to any such approvals, we may have to conduct additional clinical trials.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projections we make regarding the number of people who have the cancers we aim to target with any future LockBody product candidates, who may have their tumors genetically sequenced, as well as the subset of such people who are eligible for a particular line of therapy and who may potentially benefit from treatment with our future oncology product candidates, are based on our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any future oncology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we decide in the future to develop our product candidates in combination with other therapies, such strategy may expose us to additional risks.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in the future develop one or more of our product candidates in combination with one or more approved or unapproved therapies. Even if any product candidate we develop were to receive marketing approval for use in combination with other approved therapies, the FDA, the EMA, the MHRA or comparable foreign regulatory authorities outside of the United States could still revoke approval of the therapy used in combination with our product. If the therapies used in combination with our product candidates are replaced as the standard of care for the indications we choose for any of our product candidates, the FDA, the EMA, the MHRA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we will not be able to market and sell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FDA, the EMA, the MHRA or comparable foreign regulatory authorities do not approve these other products or revoke their approval of, or if safety, efficacy, quality, manufacturing or supply issues arise with, the products we choose to evaluate in combination with the product candidate we develop, we may be unable to obtain approval of or market such combination therapy.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rely, and expect to continue to rely, on third parties to conduct our preclinical studies and clinical trials and if these third parties perform in an unsatisfactory manner, our business could be substantially harmed.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conduct and expect to continue to rely on third parties such as contract development and manufacturing organizations, or CMOs, and contract research organizations, or CROs, to manufacture our products and conduct our clinical trials. We do not currently have the ability to independently conduct large-scale clinical trials, such as a Phase 3 clinical trial, without assistance of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relied upon and plan to continue to rely upon medical institutions, clinical investigators, contract laboratories and other third parties, such as CROs, to conduct or assist us in conducting GCP-compliant clinical trials on our product candidates properly and on time, and may not currently have all of the necessary contractual relationships in place to do so. Once we have established contractual relationships with such third-party CROs, we will have only limited control over their actual performance of these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our CMOs, CROs and other vendors are required to comply with cGMP, GCP and GLP which are regulations and guidelines enforced by the FDA, the Competent Authorities of the Member States of the European Union and any comparable foreign regulatory authorities for all of our product candidates in preclinical and clinical development. Regulatory authorities enforce these regulations through periodic inspections of trial sponsors, principal investigators, clinical trial sites and other contractors. Although we rely on CROs to conduct any current or planned GLP-compliant preclinical studies and GCP-compliant clinical trials and have limited influence over their actual performance,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 If we or any of our CROs or vendors fail to comply with applicable regulations, the data generated in our preclinical studies and clinical trials may be deemed unreliable and the FDA, EMA, MHRA or any comparable foreign regulatory agency may require us to perform additional preclinical studies and clinical trials before approving our marketing applications. We cannot assure you that upon inspection by a given regulatory agency, such regulatory agency will determine that all of our clinical trials comply with GCP regulations. In addition, our clinical trials must be conducted with products produced under cGMP requirements. Our failure to comply with these requirements may require us to repeat clinical trials, which would delay the regulatory approval process.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will have agreements governing their activities, our CROs will not be our employees, and we will not be able to control whether or not they devote sufficient time and resources to our future preclinical and 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CROs also may use our proprietary information and intellectual property in such a way as to result in litigation or other intellectual property-related proceedings that could jeopardize or invalidate our proprietary information and intellectual property.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the clinical data generated in our clinical trials may be deemed unreliable, and we may not be able to obtain regulatory approval for, or successfully commercialize any product candidate that we develop. If our CROs become subject to regulatory investigations or sanctions or are otherwise prevented or restricted from performing their business, this may result in a material delay to our development and/or commercial activities, add significant additional cost, require that we move our non-clinical and/or clinical development activities to alternative vendors, in each case, which may materially and adversely impact our ability to conduct our clinical trials and/or develop or commercialize our products in a timely manner or at all. As a result, our financial results and the commercial prospects for any product candidate that we develop would be harmed, our costs could increase, and our ability to generate revenue could be delayed.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relationships with these CROs terminate, we may not be able to enter into arrangements with alternative CROs or do so on commercially reasonable terms. Switching or adding additional CROs involves substantial cost and requires management time and focus, and could delay development and commercialization of our product candidates. In addition, 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and financial condition.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could experience manufacturing problems that result in delays or other material disruptions in our development or commercialization of our programs or otherwise harm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manufacturing processes our CMOs use to produce our and our affiliates’ product candidates are complex. Several factors could cause production interruptions, including inability to develop novel manufacturing processes, equipment malfunctions, facility contamination, raw material shortages or contamination, natural disasters, disruption in utility services, human error or disruptions in the operations of our suppliers, including acquisition of the supplier by a third party or declaration of bankruptcy. The expertise required to manufacture these product candidates may be unique to a particular CMO, and as a result, it would be difficult and time consuming to find an alternative CMO. If our CMOs become subject to regulatory investigations or sanctions or are otherwise prevented or restricted from performing their business, this may result in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delay or other disruption to our development and / or commercial activities, add significant additional cost, require that we move our non-clinical and/or clinical development and/or manufacturing activities to alternative vendors, in each case, which may materially and adversely impact our ability to develop and manufacture our product candidates, conduct our clinical trials and/or commercialize our products in a timely manner, or at all, or result in unacceptable additional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our product candidates may include biologics, some of which may have physical and chemical properties that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EMA, the MHRA or other applicable standards or specifications with consistent and acceptable production yields and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FDA, the EMA, the MHRA and other foreign regulatory authorities may require us to submit samples of any lot of any approved product together with the protocols showing the results of applicable tests at any time. Under some circumstances, the FDA, the EMA, the MHRA or other foreign regulatory authorities may require that we not distribute a lot until the relevant authority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problems in our CMOs’ supply chain,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restrict our ability to meet potential future market demand for products.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currently rely and expect to rely in the future on the use of third parties to manufacture our product candidates. Our business could be harmed if the third-party manufacturers experience supply chain shortages, fail to provide us with sufficient quantities of our product candidates or fail to do so at acceptable quality levels or prices or deliver defective products.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caused our product candidates to be manufactured on a commercial scale and may not be able to do so for any of our product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reliance on a limited number of third-party manufacturers exposes us to a number of risks, including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contract manufacturer may fail to perform its obligations, and we may be forced to enter into an agreement with a different CMO, which we may not be able to do on reasonable terms, if at all, and our clinical supply could be delayed significantly as we establish alternative supply sources;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unable to identify manufacturers on acceptable terms or at all because the number of potential manufacturers is limited and the FDA must inspect any manufacturers for current cGMP compliance as part of our marketing application;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new manufacturer would have to be educated in, or develop substantially equivalent processes for, the production of our product candidates and in some cases, the technical skills required to manufacture our product candidates may be unique or proprietary to the original CMO and we may have difficulty, or there may be contractual restrictions prohibiting us from, transferring such skills, knowledge or know-how to a back-up or alternate supplier, or we may be unable to transfer such skills, knowledge or know-how at all or, an original CMO may refuse to cooperate with us to enable a timely and successful transition to a new or alternate CMO;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change in manufacturer will require us to verify that the new CMO maintains facilities and procedures that comply with quality standards and with all applicable regulations and such verification may result in material delays to our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change in manufacturers or certain changes in manufacturing processes/procedures will require that we conduct a manufacturing comparability study to verify that any new manufacturer or manufacturing process/procedures will produce our product candidate according to the specifications previously submitted to the FDA or other regulatory authority, and such study may be unsuccessful and could require the conduct of additional clinical trials;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third-party manufacturers may be unable to timely manufacture our product candidates or produce the quantity and quality required to meet our clinical and commercial needs, if any;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contract manufacturers may not be able to execute our manufacturing procedures and other logistical support requirements appropriately;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not own, or may have to share, or obtain a license to, the intellectual property rights to any improvements made by our third-party manufacturers in the manufacturing process for our product candidates;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third-party manufacturers could breach or terminate their agreements with 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raw materials and components used in the manufacturing process, particularly those for which we have no other source or supplier, may not be available or may not be suitable or acceptable for use due to material or component defects;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contract manufacturers and critical reagent suppliers may be subject to inclement weather, as well as natural or man-made disasters;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these risks could delay or prevent the completion of our clinical trials or the approval of any of our product candidates by the FDA or any other regulatory authority, result in higher costs (including resulting from batch failures)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 Moreover, because each of our programs have separate manufacturing processes, we will not benefit from any synergies related to manufacturing costs. We may also face logistical problems in managing different CMOs and processes for all of our Centessa Subsidiaries.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Certain third parties upon whom we rely for the supply of the active pharmaceutical ingredient used in our product candidates are our sole source of supply, and the loss of any of these suppliers could significantly harm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third parties upon whom we rely for the supply of the active pharmaceutical ingredient used in our product candidates are our sole source of supply, and the loss of any of these suppliers could significantly harm our business. The active pharmaceutical ingredients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or fail or refuse to supply us for any reason. We are also unable to predict how changing global economic conditions or potential global health concerns will affect our third-party suppliers and manufacturers. Any negative impact of such matters on our third-party suppliers and manufacturers may also have an adverse impact on our results of operations or financial condition. For all of our product candidates, we intend to identify and qualify additional manufacturers to provide such API prior to submission of an NDA or BLA (as applicable) to the FDA and/or EMA, MHRA or other applicable regulatory bodies. We are not certain, however, that our single-source suppliers will be able to meet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or otherwise fail or refuse to supply us for any reason. Establishing additional or replacement suppliers for the API used in our product candidates, if required, may not be accomplished quickly and it may take a significant amount of expense to implement and execute the necessary technology transfer to, and to qualify, a new supplier.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the U.S., legislative proposals are pending that, if enacted, could negatively impact U.S. funding for certain biotechnology providers that have relationships with certain foreign governments or which pose a threat to national security. If these proposals become law, the potential downstream adverse impacts on entities having commercial relationships with any impacted biotechnology provider is unknown but may include supply chain disruptions or delays. If these proposals become law and any of our vendors become subject to any such laws, this may result in material delays or other disruptions to our development and/or commercial activities, add significant additional cost, require that we move our non-clinical and/or clinical development and/or manufacturing activities to alternative vendors, in each case, which may materially and adversely impact our ability to develop and manufacture our product candidates, conduct our clinical trials and/or commercialize our products in a timely manner, or at all, or result in unacceptable additional c</w:t>
      </w:r>
      <w:r>
        <w:rPr>
          <w:rFonts w:ascii="Times New Roman;serif" w:hAnsi="Times New Roman;serif"/>
          <w:b w:val="false"/>
          <w:color w:val="000000"/>
          <w:sz w:val="20"/>
          <w:shd w:fill="FFFFFF" w:val="clear"/>
        </w:rPr>
        <w:t>osts.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third-party manufacturers use hazardous and biological materials in a manner that causes injury or violates applicable law, we may be liable for damages.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we are unable to obtain licenses from third parties on commercially reasonable terms or fail to comply with our obligations under such agreements, our business could be harmed.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fail to comply with our obligations under our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Intellectual Property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are unable to obtain and maintain sufficient patent and other intellectual property protection for our product candidates and technology or other product candidates that may be identified, or if the scope of the intellectual property protection obtained is not sufficiently broad, our competitors could develop and commercialize product candidates similar or identical to the product candidates, and our ability to successfully commercialize the product candidates and other product candidates that we may pursue may be impaired.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is the case with other pharmaceutical and biopharmaceutical companies, our success depends in significant part on our ability and the ability of our licensors and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We have and expect to continue to maintain and expand our own patent estate.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also licensed patent and other intellectual property rights to and from our partners. Some of these licenses give us the right to prepare, file and prosecute patent applications and maintain and enforce patents we have licensed, whereas other licenses may not give us such rights. In some circumstances, we may not have the right to control the preparation, filing and prosecution of patent applications or to maintain the patents covering technology that we license to or from our partners, and we may have to rely on our partners to fulfill these responsibilities. Consequently,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patent prosecution process is expensive and time-consuming. We and our current or future licensors, licensees or collaborators may not be able to prepare, file and prosecute all necessary or desirable patent applications at a reasonable cost or in a timely manner. It is also possible that we or our licensors will fail to file patent applications covering inventions made in the course of development and commercialization activities before a competitor or another third-party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or if such licensed patents rights may otherwise become invalid.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patent position of biotechnology and pharmaceutical companies generally is uncertain, involves complex legal and factual questions and is the subject of much litigation. As a result, the issuance, scope, validity, enforceability and commercial value of our and our current or future licensors’ patent rights are uncertain. Our and our licensors’ pending and future patent applications may not result in patents being issued that protect our technology or products, in whole or in part, or which effectively exclude others from commercializing competitive technologies and products. The patent examination process may require us or our licensors to narrow the scope of the claims of our pending and future patent applications, and therefore, even if such patent applications issue as patents, they may not issue in a form that will provide us with any meaningful protection, prevent competitors or other third parties from competing with us, or otherwise provide us with any competitive advantage. Our and our licensors’ patent applications cannot be enforced against third parties practicing the technology claimed in such applications unless and until a patent issues from such applications, and then only to the extent the issued claims cover such technology. Any of the foregoing could harm our competitive position,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marks of interest and our business may be adversely affected.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process, we may receive Office Actions from the United States Patent and Trademark Office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trade secrets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These risks are heightened due to our reliance on third parties, including third party consultants, CROs and CMOs, for certain aspects of our business. The activities conducted by our third party vendors require us to share our trade secrets with them, which increases the possibility that a competitor will discover them or that our trade secrets will be misappropriated or disclosed.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Third-party claims of intellectual property infringement, misappropriation or other violations may be costly and time consuming and may prevent or delay our product discovery and development efforts.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Even if we believe third-party intellectual property claims are without merit, there is no assurance that a court would find in our favor on questions of infringement, validity, enforceability, or priority.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assure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third party claims that we infringe, misappropriate or otherwise violate its intellectual property rights, we may face a number of issues, including, but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infringement, misappropriation and other intellectual property claims which, regardless of merit, may be expensive and time-consuming to litigate and may divert our management’s attention from our core business and may impact our reputation;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redesigning our product candidates or processes so they do not infringe, misappropriate or violate third party intellectual property rights, which may not be possible or may require substantial monetary expenditures and time;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could be public announcements of the results of hearings, motions or other interim proceedings or developments, and, if securities analysts or investors perceive these results to be negative, it could have a substantial adverse effect on the price of our ADSs.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choose to challenge the patentability of claims in a third party’s U.S. patent by requesting that the USPTO review the patent claims in an ex 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may own or in-license in the future is threatened, it could dissuade companies from collaborating with us to license, develop or commercialize current or future product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or our licensed patents are invalid or unenforceable. In a patent infringement proceeding, a court may decide that a patent of ours or a licensed patent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unenforceable. Such a loss of patent protection would materially harm our business, financial condition, results of operations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competitors maybe larger than we are and may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ADSs to decline. Any of the foregoing events could harm our business, financial condition, results of operation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Intellectual property litigation could cause us to spend substantial resources and distract our personnel from their normal responsibilities.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The patent protection we obtain for our product candidates and technology may be challenged or not sufficient enough to provide us with any competitive advantage.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our owned or licensed patent applications issue as patents, the issuance of any such patents is not conclusive as to their inventorship, scope, validity, or enforceability, and such patents may be challenged, invalidated or held to be unenforceable, including in the courts or patent offices in the United States and abroad, or circumvented. We may be subject to a third party pre-issuance submission of prior art to the USPTO, or equivalent foreign bodies, or become involved in opposition, derivation, revocation, re-examination, post-grant and inter partes review, or interference proceedings challenging our patent rights or the patent rights of others.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proceedings and any other patent challenges may result in loss of patent rights, loss of exclusivity, loss of priority, or in patent claims being narrowed, invalidated, or held unenforceable, which could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Any of the foregoing could harm our business, financial condition, results of operations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portfolios may not provide us with adequate protection against third parties seeking to commercialize products similar or identical to ours. We expect to request extensions of patent terms to the extent available in countries where we obtain issued patents. In the United States, the Drug Price Competition and Patent Term Restoration Act of 1984 permits a patent term extension of up to five years beyond the expiration of the patent. However, there are no assurances that the FDA or any comparable foreign regulatory authority or national patent office will grant such extensions, in whole or in part. In such case, our competitors may launch their products earlier than might otherwise be anticipated. Moreover, some of our owned or in-licensed patents and patent applications are, and may in the future be, co-owned with third parties. If we are unable to obtain an exclusive license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owned and in-licensed patents may be subject to a reservation of rights by the licensor, its affiliates and one or more third parties.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also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be subject to claims by third parties asserting that we or our employees have infringed upon, misappropriated or otherwise violated their intellectual property rights, or claiming ownership of what we regard as our own intellectual property.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Litigation may be necessary to defend against these claims.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or our licensors may be subject to claims that former employees, collaborators, or other third parties have an interest in our owned or in-licensed patents or other intellectual property as an inventor or co-inventor.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drugs and may export otherwise infringing drugs to territories where we have patent protection, but enforcement rights are not as strong as those in the United States. These drugs may compete with our product candidates and our patents or other intellectual property rights may not be effective or sufficient to prevent them from competing.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countries, including major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 number of our programs and associated product candidates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heavily reliant upon licenses to certain patent rights and other intellectual property from third parties that are important or necessary to the development of our product candidates. We may also need to obtain additional licenses to advance the development and commercialization of other product candidates we may develop. We expect that future license agreements will impose upon us, various development, regulatory and or commercial diligence obligations, payment of milestones and/or royalties and other obligations. If we fail to comply with our obligations under these agreements, or we are subject to a bankruptcy-related event, the licensor may have the right to terminate the license, in which event we would not be able to develop, market or otherwise commercialize products covered by the license, and in some instances, may be also obligated to transfer back to licensor our developments related to the licensed product and associated regulatory rights.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whether and the extent to which our technology and processes infringe on intellectual property of the licensor that is not subject to the licensing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right to transfer, assign, or sublicense patent and other rights to third 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ownership of inventions and know-how resulting from the joint creation or use of intellectual property by our licensors and us and our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right to transfer or assign the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and effects of termination;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restrictive covenants that may restrict our abilities to compete or market competing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enter into additional licenses to third-party intellectual property that are necessary or useful to our business. Our current licenses and any future licenses that we may enter into impose various fees, royalty payment, milestone and other obligations on us. Under some license agreements, we may not control prosecution of the licensed intellectual property, or may not have the first right to enforce the intellectual property. In those cases, we may not be able to adequately influence patent prosecution or enforcement, or prevent inadvertent lapses of coverage due to failure to pay maintenance fees. If we fail to comply with any of our obligations under a current or future license agreement, the licensor may allege that we have breached our license agreement, and may accordingly seek to terminate our license.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 Under some license agreements, termination may also result in the transfer or granting of rights under certain of our intellectual property and information related to the product candidate being developed under the license, such as regulatory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competitive position, financial condition, results of operations and prospects could be materially harmed.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 candidates for an adequate amount of time. If we are not able to obtain patent term extension or non-patent exclusivity in the United States under the Hatch-Waxman Act and in foreign countries under similar legislation, thereby potentially extending the marketing exclusivity term of our product candidates, our business may be materially harmed.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in-licensed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financial condition, prospects and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our biologics products, we hope to take advantage of enhanced regulatory exclusivity periods, such as the 12 years of regulatory exclusivity available to biologics manufacturers under the Biologics Competition and Innovation Act of 2009. However, despite these measures, we may still lose the right the exclude others from practicing these inventions, which may negatively impact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Changes in patent law could diminish the value of patents in general, thereby impairing our ability to protect our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Obtaining and enforcing patents in the pharmaceutical industry is inherently uncertain, due in part to ongoing changes in the patent laws.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Recent patent reform legislation could increase the uncertainties and costs surrounding the prosecution of our and our licensors’ or collaborators’ patent applications and the enforcement or defense of our or our licensors’ or collaborators’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 party submission of prior art to the USPTO during patent prosecution and additional procedures to attack the validity of a patent by USPTO-administered post-grant proceedings, including post-grant review, inter partes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others may be able to make products that are similar to any product candidates we may develop or utilize similar technology but that are not covered by the claims of the patents that we license or may own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or our current or future licensors might not have been the first to make the inventions covered by the issued patent or pending patent application that we license or may own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or our current or future licensors might not have been the first to file patent applications covering certain of our or their inventions;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owned or licensed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it is possible that our pending owned or licensed patent applications or those that we may own or license in the future will not lead to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issued patents that we hold rights to may be held invalid or unenforceable, including as a result of legal challenges by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not develop additional proprietary technologies that are patentable;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patents of others may harm our business;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harm our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engage consultants employed by academic institutions in jurisdictions that contain inventorship laws mandating that any inventions developed by such consultants while performing consultancy services automatically or otherwise shall reside in the employing institution and granting such institutions the first right to develop and/or commercialize such inventions. We may not be able to secure rights (whether through ownership or license interest) in inventions developed by such consultants during performance of consulting services for our companies.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Despite our undertaking of the measures listed above, we may be subject to claims challenging the inventorship or ownership of our patents and other intellectual property and may be subject to further claims in the future. Litigation may be necessary to defend against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Commercialization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never commercialized a product candidate and we may lack the necessary expertise, personnel and resources to successfully commercialize any of our products that receive regulatory approval on our own or together with collaborators.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never commercialized a product candidate. Our operations to date have been limited to organizing and staffing our company, business planning, raising capital, acquiring the rights to our product candidates and undertaking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preclinical studies and clinical trials of our product candidates. We currently have no sales force, marketing or distribution capabilities. To achieve commercial success of our product candidates, if any are approved, we will have to develop our own sales, marketing and supply capabilities or outsource these activities to a third party.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the United Kingdom or other key global markets. If we are unable to build our own distribution and marketing capabilities or to find suitable partners for the commercialization of our product candidates, we may have difficulties generating revenue from them.</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The commercial success of any of our product candidates, if approved, will depend upon its degree of market acceptance by physicians, patients, third-party payors and others in the medical community.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Ethical, social and legal concerns about our product candidates could result in additional regulations restricting or prohibiting our products. Even with the requisite approvals from the FDA in the United States, the European Commission (on the recommendation of the EMA) in the European Economic Area, the MHRA in the United Kingdom and other regulatory authorities internationally, the commercial success of our product candidates will depend, in part, on the acceptance of physicians, patients and health care payors of our product candidates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if approved for commercial sale, will depend on several factors,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efficacy and safety of such product candidates as demonstrated in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and perceived advantages of product candidates over alternative treatments;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 of treatment relative to alternative treatments;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clinical indications for which the product candidate is approved by FDA, the European Commission or the MHRA;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patient awareness of, and willingness to seek, genotyping;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willingness of physicians to prescribe new therapies;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willingness of the target patient population to try new therapies;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prevalence and severity of any side effects;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product labeling or product insert requirements of FDA, EMA, MHRA or other regulatory authorities, including any limitations or warnings contained in a product’s approved labeling;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strength of marketing and distribution support;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of market introduction of competitive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publicity concerning our products or competing products and treatments;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sufficient third-party payor coverage and reimbursement.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a potential product displays a favorable efficacy and safety profile in preclinical studies and clinical trials, market acceptance of the product will not be fully known until after it is launched.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the market opportunities for our product candidates, if and when approved, are smaller than we believe they are, it may not be financially viable to commercialize, and if we do commercialize, our product revenues for any therapies that are approved for commercial sale may be adversely affected and our business may suffer.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focus our research and product development on treatments for various diseases. Our understanding of both the number of people who have these diseases, as well as the subset of people with these diseases who have the potential to benefit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treatment with our product candidates, are based on estimates. These estimates may prove to be incorrect and new studies may reduce the estimated incidence or prevalence of these diseases. The number of patients in the United States, the European Union, the United Kingdom and elsewhere may turn out to be lower than expected, may not be otherwise amenable to treatment with our products, patients may become increasingly difficult to identify and access or the rate of diagnosis may decline, all of which would adversely affect our business, financial condition, results of operations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there are several factors that could contribute to making the actual number of patients who receive our potential products less than the potentially addressable market. These include the lack of widespread availability of, and limited reimbursement for, new products or therapies in many underdeveloped markets and the approval of competing therapeutics.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we are unable to establish sales, medical affairs and marketing capabilities or enter into agreements with third parties to market and sell our product candidates, if and when approved, we may be unable to generate any product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have no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 We may enter into collaborations regarding our product candidates with entities to utilize their established marketing and distribution capabilities, but we may be unable to enter into such agreements on favorable terms, if at all, and by entering into such collaborations we may lose control over the marketing and distribution of such product candidates in certain jurisdictions which may have a detrimental effect on the sales and marketing of such product candidates in the applicable jurisdictions and materially and adversely effect our revenues in such jurisdictions.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have a material adverse effect on our business, financial condition, results of operations and prospects.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Healthcare legislative reform measures may have a material adverse effect on our business and results of operations and may increase the difficulty and cost for us to obtain marketing approval of and commercialize our product candidates and affect the prices we may charge for such product candidates.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In the United States, there have been, and continue to be, several legislative initiatives to contain healthcare costs. These enacted or proposed legislative and regulatory changes affecting the healthcare system could prevent or delay marketing approval of our product candidates, restrict or regulate post-approval activities and affect our ability to profitably sell any product for which we obtain marketing approval. For example, in 2010, the Patient Protection and Affordable Care Act, as amended by the Health Care and Education Reconciliation Act (“ACA”), was passed, which substantially changes the way health care is financed by both the government and private insurers, and significantly impacts the U.S. pharmaceutical industry. See “</w:t>
      </w:r>
      <w:r>
        <w:rPr>
          <w:rFonts w:ascii="Times New Roman;serif" w:hAnsi="Times New Roman;serif"/>
          <w:b w:val="false"/>
          <w:i/>
          <w:color w:val="000000"/>
          <w:sz w:val="20"/>
        </w:rPr>
        <w:t>Business - Government Regulation - Health Reform</w:t>
      </w:r>
      <w:r>
        <w:rPr>
          <w:color w:val="000000"/>
        </w:rPr>
        <w:t xml:space="preserve">” </w:t>
      </w:r>
      <w:r>
        <w:rPr>
          <w:rFonts w:ascii="Times New Roman;serif" w:hAnsi="Times New Roman;serif"/>
          <w:b w:val="false"/>
          <w:color w:val="000000"/>
          <w:sz w:val="20"/>
        </w:rPr>
        <w:t>in our Annual Report on Form 10-K for the year ended December 31,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each state that does not choose to expand its Medicaid program, there likely will be fewer insured patients overall, which could impact the sales, business and financial condition of manufacturers of branded prescription drugs. Where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receive insurance coverage under any of the new options made available through the ACA, the possibility exists that manufacturers may be required to pay Medicaid rebates on that resulting drug utilization, a decision that could impact manufacturer revenues. The U.S. federal government also has announced delays in the implementation of key provisions of the ACA. The implications of these delays for our and our partners’ business and financial condition, if any, are not yet clear.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recent CMS proposals, including the GLOBE, GUARD, and GENEROUS, could materially impact the Company’s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continuing efforts of the government, insurance companies, managed care organizations and other payers of healthcare services to contain or reduce costs of healthcare may adversely affect: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demand for any of our product candidates, if approved;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ability to set a price that we believe is fair for any of our product candidates, if approved;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generate revenues and achieve or maintain profitability;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level of taxes that we are required to pay;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availability of capital.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The insurance coverage and reimbursement status of newly-approved products is uncertain. Failure to obtain or maintain adequate coverage and reimbursement for our products, if approved, could limit our ability to market those products and decrease our ability to generate product revenue.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We expect the cost of our product candidates and programs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See section entitled “</w:t>
      </w:r>
      <w:r>
        <w:rPr>
          <w:rFonts w:ascii="Times New Roman;serif" w:hAnsi="Times New Roman;serif"/>
          <w:b w:val="false"/>
          <w:i/>
          <w:color w:val="000000"/>
          <w:sz w:val="20"/>
        </w:rPr>
        <w:t>Business - Government Regulation - Coverage and Reimbursement</w:t>
      </w:r>
      <w:r>
        <w:rPr>
          <w:color w:val="000000"/>
        </w:rPr>
        <w:t xml:space="preserve">” </w:t>
      </w:r>
      <w:r>
        <w:rPr>
          <w:rFonts w:ascii="Times New Roman;serif" w:hAnsi="Times New Roman;serif"/>
          <w:b w:val="false"/>
          <w:color w:val="000000"/>
          <w:sz w:val="20"/>
        </w:rPr>
        <w:t>in our Annual Report on Form 10-K for the year ended December 31,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third-party coverage and reimbursement of newly approved products.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It is difficult to predict what the CMS will decide with respect to coverage and reimbursement for fundamentally novel products.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third-party payors will decide with respect to the coverage and reimbursement for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international operations generally are subject to extensive government price controls and other market regulations, and increasing emphasis on cost-containment initiatives in the European Union, Canada and other countries may put pricing pressure on us.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Payors increasingly are considering new metrics as the basis for reimbursement rates, such as average sales price (“ASP”),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In addition, many pharmaceutical manufacturers must calculate and report certain price reporting metrics to the government, such as ASP, and best price. Penalties may apply in some cases when such metrics are not submitted accurately and timely. Further, these prices for drugs may be reduced by mandatory discounts or rebates required by government healthcare programs.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and could limit commercialization of any product candidates that we may develop.</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testing of product candidates in human clinical trials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decreased demand for any product candidates or medicines that we may develop;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costs to defend the related litigation;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revenue;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inability to commercialize our product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maintain insurance coverage for clinical trials that we sponsor, it may not be adequate to cover all liabilities that we may incur. We anticipate that we will need to increase our insurance coverage as we commence additional clinical trials and if we successfully commercialize any product candidates. The market for insurance coverage is increasingly expensive, and the costs of insurance coverage will increase as our clinical programs increase in size. We may not be able to maintain insurance coverage at a reasonable cost or in an amount adequate to satisfy any liability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Inadequate funding for the FDA, the SEC and other government agencies, including from government shut downs, significant changes in leadership, personnel, or policies, or other disruptions to these agencies’ operations, could hinder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addition, significant changes in leadership, personnel, and policies</w:t>
      </w:r>
      <w:r>
        <w:rPr>
          <w:color w:val="000000"/>
        </w:rPr>
        <w:t xml:space="preserve"> </w:t>
      </w:r>
      <w:r>
        <w:rPr>
          <w:rFonts w:ascii="Times New Roman;serif" w:hAnsi="Times New Roman;serif"/>
          <w:b w:val="false"/>
          <w:color w:val="000000"/>
          <w:sz w:val="20"/>
        </w:rPr>
        <w:t>that have been implemented at the FDA starting in 2025, may also slow the time necessary for our product candidates to receive regulatory guidance and/or be reviewed and approved by necessary government agencies, which would adversely affect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May 2023, the Federal Deposit Insurance Corporation (“FDIC”) took control of First Republic Bank and JPMorgan Chase &amp; Co. has since acquired a substantial amount of assets and certain liabilities of First Republic. If any of our lend</w:t>
      </w:r>
      <w:r>
        <w:rPr>
          <w:rFonts w:ascii="Times New Roman;serif" w:hAnsi="Times New Roman;serif"/>
          <w:b w:val="false"/>
          <w:color w:val="000000"/>
          <w:sz w:val="20"/>
        </w:rPr>
        <w:t>ers, including Oxford Finance, or counterparties to any such instruments were to be placed into receivership, we may be unable to access funds under the LSA</w:t>
      </w:r>
      <w:r>
        <w:rPr>
          <w:rFonts w:ascii="Times New Roman;serif" w:hAnsi="Times New Roman;serif"/>
          <w:b w:val="false"/>
          <w:color w:val="000000"/>
          <w:sz w:val="20"/>
          <w:shd w:fill="FFFFFF" w:val="clear"/>
        </w:rPr>
        <w:t xml:space="preserve">. In addition, if any of our suppliers, including CROs and CMOs, or other parties with whom we conduct business are unable to access funds pursuant to such instruments or lending arrangements with such a financial institution, such parties’ ability to perform their existing or future obligations to us could be adversely affected.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Even 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rapid increases in interest rates have led to a decline in the trading value of previously issued government securities with interest rates below current market interest rates. There is no guarantee that the U.S. Department of Treasury, FDIC and the Federal Reserve Board will provide access to uninsured funds in the future in the event of the closure of other banks or financial institutions, or that they would do so in a timely fashion.</w:t>
      </w:r>
      <w:r>
        <w:rPr>
          <w:color w:val="000000"/>
          <w:shd w:fill="FFFFFF" w:val="clear"/>
        </w:rPr>
        <w:t xml:space="preserve"> </w:t>
      </w:r>
    </w:p>
    <w:p>
      <w:pPr>
        <w:pStyle w:val="TextBody"/>
        <w:bidi w:val="0"/>
        <w:spacing w:lineRule="auto" w:line="276"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delayed access to deposits or other financial assets or the uninsured loss of deposits or other financial assets;</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delayed or lost access to, or reductions in borrowings or other working capital sources and/or delays, inability or reductions in the company’s ability to refund, roll over or extend the maturity of, or enter into new credit facilities or other working capital resources;</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potential or actual breach of financial covenants in our credit agreements or credit arrangements;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potential or actual cross-defaults in other credit agreements, credit arrangements or operating or financing agreements.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lineRule="auto" w:line="288" w:before="360" w:after="283"/>
        <w:jc w:val="both"/>
        <w:rPr/>
      </w:pPr>
      <w:r>
        <w:rPr>
          <w:rFonts w:ascii="Times New Roman;serif" w:hAnsi="Times New Roman;serif"/>
          <w:b/>
          <w:i/>
          <w:color w:val="000000"/>
          <w:sz w:val="20"/>
          <w:shd w:fill="FFFFFF" w:val="clear"/>
        </w:rPr>
        <w:t>Our future success depends on our ability to retain key employe</w:t>
      </w:r>
      <w:r>
        <w:rPr>
          <w:rFonts w:ascii="Times New Roman;serif" w:hAnsi="Times New Roman;serif"/>
          <w:b/>
          <w:i/>
          <w:color w:val="000000"/>
          <w:sz w:val="20"/>
        </w:rPr>
        <w:t>es, consultants and advisors and to attract, retain and motivate qualified personnel.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compete in the highly competitive biotechnology and pharmaceutical industries depends upon our ability to attract and retain highly qualified managerial, scientific and medical personnel. We are highly dependent on our senior management, including scientific and medical personnel and other key employees.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 In particular, due to our small number of employees, the loss of one employee may have a larger impact on our business than compared to a loss at one of our peers. We currently do not maintain “key person” insurance for any members of our management team.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in the future expand our operations in the U.S. and other geographies, particularly in certain biotech hubs. Competition for skilled personnel in our market is intense and may limit our ability to hire and retain highly qualified personnel on acceptable terms or at all. Changes to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 the key jurisdictions in which we operate.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encourage valuable employees to remain at our company, in addition to salary and cash incentives, we have provided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highly skilled junior, mid-level and senior managers as well as junior, mid-level and senior scientific and medical personnel.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rely on our scientific founders and other scientific and clinical advisors and consultants to assist us in formulating our research, development and clinical strategies. Certain of our scientific founders, advisors and consultants are not our employees and may have commitments to, or consulting or advisory contracts with, other entities that may limit their availability to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Our employees may engage in misconduct or other improper activities, including noncompliance with regulatory standards and requirements.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employee fraud or other misconduct. Misconduct by employees could include intentional failures to comply with FDA regulations, provide accurate information to the FDA, comply with manufacturing standards we may establish, comply with federal and state healthcare fraud and abuse laws and regulations, report financial information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Our internal computer systems have suffered, and our collaborators or other contractors or consultants may suffer from cybersecurity incidents or data breaches, which could result in a material disruption of our product development programs.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In the ordinary course of our business, we may store, use, process or otherwise gain access to certain sensitive information, including proprietary information, confidential information, personal data and personal health data, intellectual property, trade secrets, and proprietary business information owned or controlled by ourselves or other parties. We may use third-party service providers and sub-processors to help us operate our business and our partners or other third parties may have access to such sensitive information or our systems or infrastructure in conjunction with our business. We may be required to expend significant resources, at significant cost, fundamentally change our business activities and practices, or modify our operations, including our clinical trial activities, or information technology in an effort to protect against security compromises or incidents, including cybersecurity incidents and data breaches and to mitigate, detect, and remediate actual or potential vulnerabilities to our information technology systems as well as harm stemming from cybersecurity threats such as cybersecurity incidents and data breaches. Our internal computer systems and infrastructure (including, without limitation, any relevant sensitive information and other assets stored therein or accessible thereby) and those of our current and any future collaborators, contractors or consultants are vulnerable to damage from a variety of evolving threats, including computer viruses, bugs, malware, unauthorized access, denial-of-service attacks, service interruptions, system malfunction (such as credential stuffing), social engineering attacks (such as phishing attacks), business email compromises, ransomware attacks, user errors or malfeasance, natural disasters, terrorism, war and telecommunication and electrical failures, as well as security compromises, from inadvertent or intentional wrongful actions by insider employees, vendors, contractors, consultants, business partners, and/or other third parties, or from cyber-attacks by malicious third parties. </w:t>
      </w:r>
      <w:r>
        <w:rPr>
          <w:rFonts w:ascii="Times New Roman;serif" w:hAnsi="Times New Roman;serif"/>
          <w:b w:val="false"/>
          <w:color w:val="000000"/>
          <w:sz w:val="20"/>
        </w:rPr>
        <w:t>These attacks and activity are also being facilitated or enhanced by evolving technologies, including artificial intelligence.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Like other companies in our industry, we, and our third party vendors, have experienced threats and cybersecurity incidents relating to our information technology systems and infrastructure. For example, in the past, Centessa experienced unauthorized access to systems through social engineering schemes. Although such past cyber-attacks did not result in material disruption to our business nor did they result in material loss, if any such material system failure, accident or cybersecurity compromises, incident, or data breach were to occur, it could result in a material disruption of our development programs and our business operations, whether due to a loss of our trade secrets or other sensitive information or other similar disruptions. A cyber-attack may also, impact the systems and infrastructure necessary for our business operations, expose us to significant liability and/or necessitate that we incur significant costs to address such failure, accident or security compromises,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cybersecurity incidents, or data breaches. For example, the loss of clinical trial data from completed or future clinical trials could result in delays in our regulatory approval efforts and significantly increase our costs to recover or reproduce the data and expose us to data breach claims. In addition, failures or significant downtime of our information technology or telecommunication systems or infrastructure or those used by our third-party service providers could cause significant interruptions in our operations and adversely impact the confidentiality, integrity and availability of sensitive information. We may also be subject to server malfunctions, software or hardware failures, cyber-attacks (including supply-chain cyber-attacks), loss of data or other computer assets, and other similar issues. A significant portion of our workforce works remotely, which has increased the risk to our information technology assets and data.</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To the extent that any disruption or cybersecurity compromise, cybersecurity incident, or data breach were to result in a loss of, or damage to, our data systems, infrastructure, or applications, or inappropriate disclosure, access to, or use of sensitive information, we could incur liability, our competitive position could be harmed and the further development and commercialization of our product candidates could be delayed. Relevant laws, regulations, and industry standards, as well as contractual obligations, may require us to implement specific security measures or use industry-standard or reasonable measures to protect against cybersecurity compromises, cybersecurity </w:t>
      </w:r>
      <w:r>
        <w:rPr>
          <w:rFonts w:ascii="Times New Roman;serif" w:hAnsi="Times New Roman;serif"/>
          <w:b w:val="false"/>
          <w:color w:val="000000"/>
          <w:sz w:val="20"/>
        </w:rPr>
        <w:t>incidents and</w:t>
      </w:r>
      <w:r>
        <w:rPr>
          <w:color w:val="000000"/>
          <w:shd w:fill="FFFFFF" w:val="clear"/>
        </w:rPr>
        <w:t xml:space="preserve"> </w:t>
      </w:r>
      <w:r>
        <w:rPr>
          <w:rFonts w:ascii="Times New Roman;serif" w:hAnsi="Times New Roman;serif"/>
          <w:b w:val="false"/>
          <w:color w:val="000000"/>
          <w:sz w:val="20"/>
          <w:shd w:fill="FFFFFF" w:val="clear"/>
        </w:rPr>
        <w:t xml:space="preserve">data breaches. Even though we have taken security measures designed to protect against cybersecurity incidents and/or data breaches, there can be no assurance that such security measures or those of our service providers, partners and other third parties will be effective in protecting against disruptions or cybersecurity compromises, cybersecurity incidents, or data breaches, or mitigating against the impact or the adverse consequences thereof. We may be unable to detect, anticipate, measure, prevent, or remediate threats or techniques used to detect or exploit vulnerabilities in our (or our third parties’) information technology, services, communications or software, or to cause cybersecurity compromises, cybersecurity incidents, or data breaches. </w:t>
      </w:r>
      <w:r>
        <w:rPr>
          <w:rFonts w:ascii="Times New Roman;serif" w:hAnsi="Times New Roman;serif"/>
          <w:b w:val="false"/>
          <w:color w:val="000000"/>
          <w:sz w:val="20"/>
        </w:rPr>
        <w:t xml:space="preserve">Attempts to disrupt or gain unauthorized access to our and our third-party vendors’ information systems from malicious third parties or insider threats may incorporate widely varying and frequently changing tactics, which may be enhanced or facilitated by artificial intelligence. </w:t>
      </w:r>
      <w:r>
        <w:rPr>
          <w:rFonts w:ascii="Times New Roman;serif" w:hAnsi="Times New Roman;serif"/>
          <w:b w:val="false"/>
          <w:color w:val="000000"/>
          <w:sz w:val="20"/>
          <w:shd w:fill="FFFFFF" w:val="clear"/>
        </w:rPr>
        <w:t>Such threats and techniques change frequently, are often sophisticated in nature, and may not be detected until after a cybersecurity incident or data breach has occurred. We cannot be certain that we will be able to address any such vulnerabilities, in whole or part, and there may be delays in developing and deploying patches and other remedial measures to adequately address vulnerabilities. Relevant laws, regulations, and industry standards, as well as contractual obligations, may also require us to notify relevant stakeholders (including affected individuals, partners, collaborators, customers, regulators, law enforcement agencies, credit reporting agencies and others) of cybersecurity incidents or data breaches. Such disclosures are costly and could also have a material adverse effect on our reputation, business, or financial condition.</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Actual or perceived cybersecurity compromises, cybersecurity incidents, data breaches or other information technology system vulnerabilities, lack of appropriate information security safeguards and concerns regarding data privacy or cybersecurity may cause some of our actual or prospective customers, collaborators, partners and/or clinical trial participants to stop participating in our trials, using our products or working with us. Additionally, regulators could impose penalties and monetary fines against us for similar concerns, or we could incur other liability in connection with or resulting from litigation or governmental investigations and enforcement actions. The discontinuance of relationships with third parties, or the failure to meet the expectations of such third parties, and/or litigation, regulatory investigation or enforcement, could result in material harm to our operations, financial performance or reputation and affect our ability to grow and operate our business. Our contracts may not contain limitations of liability, and even where they do, there can be no assurance that limitations of liability in our contracts are sufficient to protect us from liabilities, damages, or claims related to our privacy and data security obligations. We cannot be sure that </w:t>
      </w:r>
      <w:r>
        <w:rPr>
          <w:rFonts w:ascii="Times New Roman;serif" w:hAnsi="Times New Roman;serif"/>
          <w:b w:val="false"/>
          <w:color w:val="000000"/>
          <w:sz w:val="20"/>
        </w:rPr>
        <w:t>our insurance coverage</w:t>
      </w:r>
      <w:r>
        <w:rPr>
          <w:rFonts w:ascii="Times New Roman;serif" w:hAnsi="Times New Roman;serif"/>
          <w:b w:val="false"/>
          <w:color w:val="000000"/>
          <w:sz w:val="20"/>
          <w:shd w:fill="FFFFFF" w:val="clear"/>
        </w:rPr>
        <w:t>, if any, will be adequate or otherwise protect us from or adequately mitigate liabilities arising out of such cybersecurity compromises, cybersecurity incidents, data breaches or other information technology system vulnerabilities. The successful assertion of one or more large claims against us that exceeds our available insurance coverage, or results in changes to our insurance policies (including premium increases or the imposition of large excess or deductible or co-insurance requirements), could materially and adversely affect our business.</w:t>
      </w:r>
      <w:r>
        <w:rPr>
          <w:color w:val="000000"/>
        </w:rPr>
        <w:t xml:space="preserve">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Our international operations may expose us to business, regulatory, legal, political, operational, financial, pricing and reimbursement risks associated with doing business across multiple jurisdictions outside of the United States.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risks associated with conducting business internationally. Our subsidiaries, suppliers, industry partners and clinical study centers are located and/or conduct business across Europe, the United States and certain other jurisdictions. Furthermore, our business strategy incorporates potential international expansion as we seek to obtain regulatory approval for, and commercialize, our product candidates in patient populations outside the United States.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approved, we may hire sales representatives and conduct physician and patient association outreach activities across multiple jurisdictions. Doing business internationally involves a number of risks, including but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multiple, conflicting and changing laws, regulations, and compliance requirements such as privacy regulations, tax laws and practice, export and import restrictions, employment laws, regulatory requirements, and other governmental approvals, permits and licenses;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by us to obtain and maintain regulatory approvals for the use of our products in various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rejection or qualification of foreign clinical trial data by the competent authorities of other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additional potentially relevant third-party patent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complexities and difficulties in obtaining, maintaining, protecting and enforcing our intellectual property;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complexities associated with managing multiple payor reimbursement regimes, government payors or patient self-pay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limits in our ability to penetrate international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natural disasters, political and economic instability, including wars, terrorism and political unrest, outbreak of disease, boycotts, curtailment of trade and other business restrictions;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expenses including, among others, expenses for travel, translation and insurance;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and compliance risks that relate to anti-corruption compliance and record-keeping that may fall within the purview of the U.S. Foreign Corrupt Practices Act and/or the UK Bribery Act of 2010, or provisions of anti-corruption or anti-bribery laws in other countries.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harm our future international expansion and operations and, consequently, our results of operations.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See section entitled “</w:t>
      </w:r>
      <w:r>
        <w:rPr>
          <w:rFonts w:ascii="Times New Roman;serif" w:hAnsi="Times New Roman;serif"/>
          <w:b w:val="false"/>
          <w:i/>
          <w:color w:val="000000"/>
          <w:sz w:val="20"/>
        </w:rPr>
        <w:t>Business – Government Regulation – Other United States Healthcare Laws</w:t>
      </w:r>
      <w:r>
        <w:rPr>
          <w:color w:val="000000"/>
        </w:rPr>
        <w:t xml:space="preserve">” </w:t>
      </w:r>
      <w:r>
        <w:rPr>
          <w:rFonts w:ascii="Times New Roman;serif" w:hAnsi="Times New Roman;serif"/>
          <w:b w:val="false"/>
          <w:color w:val="000000"/>
          <w:sz w:val="20"/>
        </w:rPr>
        <w:t xml:space="preserve">in our Annual Report on Form 10-K for the year ended December 31,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individual imprisonment and the curtailment or restructuring of our operations, any of which could adversely affect our ability to operate our business and our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of benefits or advantages to physicians to induce or encourage the prescription, recommendation, endorsement, purchase, supply, order or use of medicinal products is prohibited in the EU. The provision of benefits or advantages to induce or reward improper performance generally is also governed by the national anti-bribery laws of EU Member States, and the Bribery Act 2010 in the UK. Infringement of these laws could result in substantial fines and individual imprisonment.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individual imprisonment.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privacy laws, regulations and standards, as well as policies, contracts and other obligations related to data privacy and security, and the potential application thereof to our operations (including in relation to our use of health-related personal data), see the sub-section immediately below this.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are subject to stringent and changing privacy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clinical trials or commercialization of our products, private litigation, harm to our reputation, or other adverse effects on our business or prospects.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legislative and regulatory framework relating to the collection, use, retention, safeguarding, disclosure, sharing, transfer, security and other processing (collectively, “Process” or “Processing”) of personal data (including health-related personal data) worldwide is rapidly evolving and is likely to remain uncertain for the foreseeable future. Globally, virtually every jurisdiction in which we operate has established its own data security and privacy frameworks with which we must comply and some of which may impose potentially conflicting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Accordingly, we are, or may become, subject to data privacy and security laws, regulations, and industry standards as well as policies, contracts and other obligations that apply to the Processing of personal data both by us and on our behalf (collectively, “Data Protection Requirements”). If we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orders to destroy or not use personal data, and imprisonment of company officials. Further, individuals or other relevant stakeholders could bring a variety of claims against us for our actual or perceived failure to comply with the Data Protection Requirements. Any of these events could have a material adverse effect on our reputation, business, or financial condition, and could lead to a loss of actual or prospective customers, collaborators or partners; interrupt or stop clinical trials; result in an inability to Process personal data or to operate in certain jurisdictions; limit our ability to develop or commercialize our products; or require us to revise or restructure our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example, in Europe, the collection and use of personal data, including health related data, is governed by the General Data Protection Regulation (“EU GDPR”) which is applicable across the European Economic Area (“EEA”), and by related applicable data protection and privacy laws of the member states of the EEA. Switzerland has passed similar laws, and, following Brexit, the United Kingdom (“UK”) has transposed the EU GDPR into UK domestic law with effect from January 2021 (“UK GDPR”), which governs the collection and use of personal data, along with applicable UK data protection and privacy laws which supplement the UK GDPR (including the UK Data Protection Act 2018 and UK Data (Use and Access) Act 2025). In this Quarterly Report on Form 10-Q, “GDPR” refers to both the UK GDPR and the EU GDPR, unless specified otherwise.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Collectively, European data protection laws (including the GDPR) are wide-ranging in scope and impose numerous, significant and complex compliance burdens in relation to the Processing of personal data, which increase our obligations (including with respect to clinical trials conducted in the EEA or the UK), such as: limiting permitted Processing of personal data to only that which is necessary for specified, explicit and legitimate purposes; requirements to conduct data protection impact assessments, requiring the establishment of a legal basis for Processing personal data; adopting a broad definition of personal data to possibly include ‘pseudonymized’ or key-coded data; creating obligations for controllers and processors to appoint data protection officers in certain circumstances; imposing stringent transparency obligations to data subjects, which requires more detailed notices for clinical trial subjects and investigators; introducing the obligation to carry out data protection impact assessments in certain circumstances; establishing limitations on the collection and retention of personal data through ‘data minimization’ and ‘storage limitation’ principles; establishing obligations to implement ‘privacy by design’; introducing obligations to honor increased rights for data subjects;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working with third-party processors or joint controllers; imposing mandatory data breach notification requirements;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mandating the appointment of representatives in the UK and/or EU in certain circumstances. In particular, the Processing of “special category personal data” (such as personal data related to health and genetic information), which is relevant to our operations in the context of our conduct of clinical trials, imposes heightened compliance burdens under European data protection laws and is a topic of active interest among relevant regulators.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GDPR provides that EEA member states may introduce specific or additional requirements related to the Processing of special categories of personal data such as health data that we may process in connection with clinical trials or otherwise. In the UK, the UK Data Protection Act 2018 complements the UK GDPR in this regard. This fact may lead to greater divergence on the law that applies to the Processing of such personal data across the EEA and/or UK, which may increase our costs and overall compliance risk. Such country-specific regulations could also limit our ability to Process relevant personal data in the context of our EEA and/or UK operations ultimately having an adverse impact on our business, and harming our business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certain European data protection laws restrict transfers of personal data to countries outside Europe that are not considered by the European Commission and UK government as providing an adequate level of protection to personal data, like the United States in certain circumstances (so-called “third countries”). These transfers are prohibited unless an appropriate transfer safeguard mechanism specified by the European data protection laws is implemented, such as the Standard Contractual Clauses (“SCCs”) approved by the European Commission and/or the UK International Data Transfer Agreement/Addendum approved by the UK government, or a derogation applies. Where relying on the SCCs or UK IDTA for data transfers, we may also be required to carry out transfer impact assessments to assess whether the recipient is subject to local laws which allow public authority access to personal data. The international transfer obligations under the European data protection laws will require significant effort and cost and may result in us needing to make strategic considerations around where EEA and UK personal data is transferred and which service providers we can utilize for the processing of EEA and UK personal data. These transfer restrictions and may ultimately prevent us from transferring personal data outside Europe, which would cause significant business disruption. At present, there are few, if any, viable alternatives to the SCCs and UK IDTA. On July 10, 2023, the EU adopted an adequacy decision for a new “Data Privacy Framework,” which replaces the Privacy Shield, which the European Court of Justice invalidated in 2020 for personal data transferred from the EU to the U.S. The Framework allows for data transfers from the EU to companies who self-certified in the US and provides additional certification mechanisms to provide for data transfers from the UK. However, the long term viability of the Data Privacy Framework remains uncertain and the Framework has already been challenged in several jurisdictions.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risks associated with such exports of personal data from locations within Europe are particularly relevant to our business as our group comprises several operating entities, many of which are located, and/or sponsor clinical trials, in Europe. We have adopted and implemented certain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increased exposure to regulatory actions, substantial fines and injunctions against processing personal data subject to European data protection laws.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European data protection laws also provide for robust regulatory enforcement and significant penalties for noncompliance, including, for example, under the GDPR, fines of up to €20 million (£17.5 million for the UK) or 4% of global annual revenue of any noncompliant organization for the preceding financial year, whichever is higher.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businesses – including permitting authorities to require destruction of improperly gathered or used personal data. European supervisory authorities have shown a willingness to impose significant fines and issue orders preventing the processing of personal data on non-compliant businesses. The GDPR also confers a private right of action on data subjects and non-profit associations to lodge complaints with supervisory authorities, seek judicial remedies, and obtain compensation for damages resulting from violations of the GDPR.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following the UK’s departure from the EU, often referred to as Brexit, the data protection obligations of the EU GDPR continue to apply to UK-related Processing of personal data in substantially unvaried form under the UK GDPR by virtue of section 3 of the EU (Withdrawal) Act 2018, as amended. With respect to international transfers, although the UK is regarded as a third country under the EU GDPR, the European Commission has issued an adequacy finding recognizing the UK as providing adequate protection under the EU GDPR and, therefore, transfers of personal data originating in the EEA to the UK remain unrestricted. Similarly, the UK government has confirmed that personal data transfers from the UK to the EEA remain free flowing.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However, going forward, there is increasing risk for divergence in application, interpretation and enforcement of the data protection laws as between the UK and EEA, creating additional regulatory uncertainty. For example, the UK Data (Use and Access) Act 2025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The lack of clarity on future UK laws and regulations and their interaction with EU laws and regulations, may affect our efforts to maintain a harmonized approach to processing European personal data and expose us to two parallel regimes where the UK GDPR and EU GDPR both apply with differing interpretations and enforcement approaches. This could increase our legal risk, uncertainty, complexity and compliance cost associated with the handling of European personal data, and may require us to adapt our privacy and data security compliance programs to account for legal and regulatory divergence between the UK and EEA.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do not designate a lead supervisory authority in an EEA member state, we are not able to benefit from the GDPR’s ‘one stop shop’ mechanism. Amongst other things, this would mean that, in the event of a violation of the GDPR affecting data subjects across the EEA, we could be investigated by, and ultimately fined by the supervisory authority in each and every EEA member state where data subjects have been affected by such violation.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are a broad variety of data protection laws and regulations that may apply to our activities such as state data breach notification laws, state personal data privacy laws (for example, the California Consumer Privacy Act (“CCPA”)), state health information privacy laws, and federal and state consumer protection laws. A range of enforcement agencies exist at both the state and federal levels that can enforce these laws and regulations. At the federal level,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20 U.S. states have introduced comprehensive laws to govern the privacy and security of personal information. For example, the CCPA requires covered businesses that process personal information of California residents to disclose their data collection, use and sharing practices. Further, the CCPA provided California residents with individual data privacy rights (including the ability to opt out of certain disclosures of personal data), imposed operational requirements for covered businesses, provided for civil penalties for violations as well as a private right of action for data breaches and statutory damages (that is expected to increase data breach class action litigation and result in significant exposure to costly legal judgements and settlements). In addition, the CCPA was expanded on January 1, 2023, when the California Privacy Rights Act of 2020 (“CPRA”) became operative. The amendments introduced by the CPRA, among other things, gave California residents the ability to limit use of certain sensitive personal information, further restricted the use of cross-contextual advertising, established restrictions on the retention of personal information, expanded the types of data breaches subject to the CCPA’s private right of action, provided for increased penalties for violations concerning California residents under the age of 16, established the California Privacy Protection Agency to implement and enforce the law. Although there are limited exemptions for clinical trial data and information subject to HIPAA under the CCPA, the CCPA and other similar laws could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business activities and commercialization, including through regulation of clinical trial participant recruitment and marketing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CCPA marked the beginning of a trend toward more stringent privacy legislation in the United States. Already, in the United States, 19 other states have implemented comprehensive privacy laws that incorporate many similar concepts of the CCPA. Such legislation, if enacted, may adds additional complexity, variation in requirements, restrictions and potential legal risk, requiring additional investment of resources in compliance programs. The introduction of various U.S. state privacy laws across the country, may impact our strategies, and the availability of previously useful data and could result in increased compliance costs and/or changes in business practices and policies. There are also states that are specifically regulating health and other categories of personal information. For example, Washington state’s My Health My Data Act, effective March 31, 2024, that regulates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several states have passed laws that specifically regulate biometric data, genetic data, neural data, and other data elements that may be collected in the course of our business activities. These various privacy and security laws may impact our business activities, including our identification of research subjects, relationships with business partners and ultimately the marketing and distribution of our products. State laws are changing rapidly and there have been discussions in the U.S. Congress of new comprehensive federal data privacy laws to which we could become subject, if enacted.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other foreign jurisdictions in which we operate or have operated (including sponsoring past, present or future clinical trials), such as, without limitation, Canada and Georgia, we may also be subject to stringent Data Protection Requirements. In Canada, for instance, Quebec’s new comprehensive data protection law recently entered into force and is expected to have far-reaching effects, and Georgia implemented, in 2024, a privacy and data protection law that broadly aligns with EU requirements. In addition, emerging trends towards data sovereignty in many countries where we operate, both in terms of legislation and commercial practice, particularly in the health sector, may impact our ability to transfer or access protected information across international borders.</w:t>
      </w:r>
    </w:p>
    <w:p>
      <w:pPr>
        <w:pStyle w:val="TextBody"/>
        <w:bidi w:val="0"/>
        <w:spacing w:lineRule="auto" w:line="288" w:before="240" w:after="283"/>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Generally, these laws exemplify the vulnerability of our business to the evolving regulatory environment related to personal data and may require us to modify our Processing practices at substantial costs and expenses in an effort to comply.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regulations promulgated pursuant to HIPAA, as amended, establish privacy and security standards that limit the use and disclosure of individually identifiable health information, or protected health information, and require the implementation of administrative, physical and technological safeguards designed to protect the privacy, confidentiality, integrity and availability of protected health information. These provisions may be applicable to our business or that of our collaborators, service providers, contractors or consultants.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Determining whether protected health information has been handled in compliance with applicable Data Protection Requirements can be complex and may be subject to changing interpretation. If we are unable to properly protect the privacy and security of protected health information, we could be found to have violated these privacy and security laws and/or breached certain contracts with our business partners (including as a business associate). Further, if we fail to comply with applicable Data Protection Requirements, such as, to the extent applicable, HIPAA privacy and security standards, we could face significant civil and criminal penalties. In the United States, the Department of Health and Human Services’ and state attorneys general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 breadth and evolving nature of Data Protection Requirements, preparing for and complying with these requirements is rigorous, time-intensive and requires significant resources and a review of our technologies, systems and practices, as well as those of any third-party collaborators, service providers, contractors or consultants that Process personal data on our behalf.</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publish privacy policies and other documentation regarding our Processing of personal data and/or other confidential, proprietary or sensitive information. Although we endeavor to comply with our published policies and other documentation, we may at times fail to do so or may be perceived to have failed to do so. Moreover, despite our efforts, we may not be successful in achieving compliance if our employees, third-party collaborators, service providers, contractors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consultants fail to comply with our policies and documentation. Such failures can subject us to potential foreign, local, state and federal action if they are found to be deceptive, unfair, or misrepresentative of our actual practices. Moreover, subjects about whom we or our partners obtain information, as well as the providers who share this information with us, may contractually limit our ability to use and disclose the information. Claims that we have violated individuals’ privacy rights or failed to comply with data protection laws or applicable privacy notices even if we are not found liable, could be expensive and time-consuming to defend and could result in adverse publicity that could harm our business or otherwise materially and negatively impact our business.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use and integrate artificial intelligence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 If we enable or use solutions that draw controversy due to perceived or actual negative societal impact, we may experience brand or reputational harm, competitive harm or legal liability.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Europe began implementing its EU Artificial Intelligence Act (the “AI Act”)</w:t>
      </w:r>
      <w:r>
        <w:rPr>
          <w:color w:val="000000"/>
        </w:rPr>
        <w:t xml:space="preserve"> </w:t>
      </w:r>
      <w:r>
        <w:rPr>
          <w:rFonts w:ascii="Times New Roman;serif" w:hAnsi="Times New Roman;serif"/>
          <w:b w:val="false"/>
          <w:color w:val="000000"/>
          <w:sz w:val="20"/>
        </w:rPr>
        <w:t>on August 1, 2024, with a significant part of the law scheduled to come into effect in August 2026. As currently enacted, the AI Act, which may be amended as part of the EU’s Digital Omnibus, imposes significant obligations on providers and deployers of AI systems, particularly those considered as “high risk”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U.S. Food and Drug Administration, for example, issued guidance on the use of AI in medical devices, requiring detailed risk management and review processes to obtain approvals. If we develop or use AI systems governed by these laws or regulations, we will need to meet various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Ownership of Our Securities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reporting requirements applicable to emerging growth companies will make our ADSs less attractive to investors.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We are an emerging growth company, as defined in the Jumpstart Our Business Startups Act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(“Sarbanes-Oxley Act”),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We could be an emerging growth company for up to five years following 2021, the year in which we completed our initial public offering, although circumstances could cause us to lose that status earlier. We will remain an emerging growth company until the earliest of (i) the last day of the fiscal year in which we have as total annual gross revenue of at least $1.235 billion or more, (ii) the last day of the fiscal year following the fifth anniversary of the closing of our initial public offering, (iii)</w:t>
      </w:r>
      <w:r>
        <w:rPr>
          <w:color w:val="000000"/>
        </w:rPr>
        <w:t xml:space="preserve"> </w:t>
      </w:r>
      <w:r>
        <w:rPr>
          <w:rFonts w:ascii="Times New Roman;serif" w:hAnsi="Times New Roman;serif"/>
          <w:b w:val="false"/>
          <w:color w:val="000000"/>
          <w:sz w:val="20"/>
        </w:rPr>
        <w:t>the date on which we are deemed to be a “large accelerated filer” under the rules of the SEC, or (iv) the date on which we have issued more than $1 billion in non-convertible debt during the prior three-year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JOBS Act, emerging growth companies can also delay adopting new or revised accounting standards until such time as those standards apply to private companies. We have elected to not “opt out” of this exemption from complying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January 1, 2026 the Company ceased to be a “smaller reporting company” as defined in the Exchange Act. For the first fiscal quarter of 2026, the Company is no longer permitted to take advantage of scaled disclosure requirements for SRCs. The Company will retain its non-accelerated filer status for its filings due in the fiscal year 2026. The Company anticipates that it will have to comply with the auditor attestation requirements of Section 404(b) of the Sarbanes-Oxley Act for the year ended December 31, 2026, and its independent registered public accounting firm will have to evaluate and report on the effectiveness of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predict if investors will find our ADSs less attractive because we may rely on these exemptions. If some investors find our ADSs less attractive as a result, there may be a less active trading market for our ADSs and our ADS price may be more volatile.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Our articles of association provide that the courts of England and Wales will be the exclusive forum for the resolution of all shareholder complaints other than complaints asserting a cause of action arising under the Securities Act or the Exchange Act, and that the United States District Court for the Southern District of New York will be the exclusive forum for the resolution of any shareholder complaint asserting a cause of action arising under the Securities Act or the Exchange Act.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articles of association provide that, unless we consent by ordinary resolution to the selection of an alternative forum, the courts of England and Wales shall, to the fullest extent permitted by law, be the exclusive forum for resolving: (a) any derivative action or proceeding brought on our behalf; (b) any action or proceeding asserting a claim of breach of fiduciary duty owed by any of our directors, officers or other employees to us; (c) any action or proceeding asserting a claim arising out of any provision of the Companies Act, or our articles of association (as may be amended from time to time); or (d) any action or proceeding asserting a claim or otherwise related to our affairs, or the England and Wales Forum Provision. The England and Wales Forum Provision will not apply to any causes of action arising under the Securities Act or the Exchange Act. Our articles of association further provide that unless we consent by ordinary resolution to the selection of an alternative forum, the United States District Court for the Southern District of New York shall be the exclusive forum for resolving any complaint asserting a cause of action arising under the Securities Act or the Exchange Act, or the U.S. Federal Forum Provision. In addition, our articles of association provide that any person or entity purchasing or otherwise acquiring any interest in our shares is deemed to have notice of and consented to the England and Wales Forum Provision and the U.S. Federal Forum Provision; provided, however, that our shareholders cannot and will not be deemed to have waived our compliance with the U.S. federal securities laws and the rules and regulations thereunder.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England and Wales Forum Provision and the U.S. Federal Forum Provision in our articles of association may impose additional litigation costs on our shareholders in pursuing any such claims. Additionally, the forum selection clauses in our articles of association may limit the ability of our shareholders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 additional costs associated with resolving such action in other jurisdictions, which could adversely affect our results of operations and financial condition. 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The price of our ADSs may be volatile, and you could lose all or part of your investment.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price of our ADSs is likely to be highly volatile and could be subject to wide fluctuations in response to various factors, some of which are beyond our control, including limited trading volume. In addition to the factors discussed in this “Risk Factors” section, these factors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results of our ongoing, planned or any future preclinical studies, clinical trials or clinical development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commencement, enrollment, or results of clinical trials of our product candidates or any future clinical trials we may conduct, or changes in the development status of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results or delays in preclinical studies and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delay in our regulatory filings or any adverse regulatory decisions, including failure to receive regulatory approval of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laws or regulations applicable to our products, including but not limited to clinical trial requirements for approvals;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developments concerning our manufacturers or our manufacturing plans;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inability to obtain adequate product supply for any licensed product or inability to do so at acceptable prices;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inability to establish collaborations if needed;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failure to commercialize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additions or departures of key scientific or management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unanticipated serious safety concerns related to the use of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introduction of new products or services offered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size and growth of our initial cancer target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successfully treat additional types of cancers or at different stages;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variations in quarterly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cash position;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publication of research reports about us or our industry, or immunotherapy in particular, or positive or negative recommendations or withdrawal of research coverage by securities analysts;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of our ADSs by us or holders of our ADSs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trading volume of our ADSs;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accounting practices;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ineffectiveness of our internal controls;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disputes or other developments relating to intellectual property or proprietary rights, including patents, litigation matters and our ability to obtain patent protection for our technologies;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lawsuits, including intellectual property or shareholder litigation;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political and economic conditions;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events or factors, many of which are beyond our control.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If the market price of our ADSs does not exceed the price at which you purchased them, you may not realize any return on your investment in us and may lose some or all of your investment. In the past, securities class action litigation has often been instituted against companies following periods of volatility in the market price of a company’s securities. On September 28, 2022, the Company and certain of its current and former officers were named as defendants in a proposed class-action lawsuit. On August 27, 2024, the United States District Court for the Southern District of New York dismissed the plaintiff’s complaint with prejudice and ordered the case closed.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Substantial future sales or issuances of shares of our ordinary shares or ADSs or other equity-related securities could adversely affect the price of our ADSs and dilute shareholders.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ordinary shares or ADSs, and sales by our management, our directors, their affiliates, or significant shareholders, could occur at any time, and such sales could depress the market of our ADSs and could also affect our ability to raise equity capital through the sale of additional equity or equity-related securities, including ADSs, to meet our capital needs, including in connection with funding potential future acquisition or licensing opportunities, capital expenditures or product development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pPr>
      <w:r>
        <w:rPr>
          <w:rFonts w:ascii="Times New Roman;serif" w:hAnsi="Times New Roman;serif"/>
          <w:b/>
          <w:i/>
          <w:color w:val="000000"/>
          <w:sz w:val="20"/>
          <w:shd w:fill="FFFFFF" w:val="clear"/>
        </w:rPr>
        <w:t xml:space="preserve">We do not know whether an active, liquid and </w:t>
      </w:r>
      <w:r>
        <w:rPr>
          <w:rFonts w:ascii="Times New Roman;serif" w:hAnsi="Times New Roman;serif"/>
          <w:b/>
          <w:i/>
          <w:color w:val="000000"/>
          <w:sz w:val="20"/>
        </w:rPr>
        <w:t>orderly trading market will develop for our ADSs or what the market price of our ADSs will be and, as a result, it may be difficult for you to sell your ADSs.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our ADSs are listed on The Nasdaq Global Select Market, an active trading market for our ADSs may never develop or be sustained. You may not be able to sell your ADSs quickly or at the market price if trading in shares of our ADSs is not active. As a result of these and other factors, you may be unable to resell your ADSs at or above the price at which you purchased them. Further, an inactive market may also impair our ability to raise capital by selling additional ADSs and may impair our ability to enter into strategic partnerships or acquire companies or products by using our ADSs as consideration.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maintain research coverage of our company or publish inaccurate or unfavorable research about our business, the price of our ADSs and trading volume could decline.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ADSs will depend in part on the research and reports that securities or industry analysts publish about us or our business. If one or more of the analysts who cover us downgrades our ADSs or publishes inaccurate or unfavorable research about our business, our ADS price may decline. If one or more of these analysts ceases coverage of our company or fails to publish reports on us regularly, demand for our ADSs could decrease, which might cause our ADS price and trading volume to decline.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Our principal shareholders and management own a significant percentage of our voting shares and will be able to exert significant influence over matters subject to shareholders’ approval.</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Our executive officers, directors, and 5.0% shareholders beneficially owned approximately </w:t>
      </w:r>
      <w:r>
        <w:rPr>
          <w:rFonts w:ascii="Times New Roman;serif" w:hAnsi="Times New Roman;serif"/>
          <w:b w:val="false"/>
          <w:color w:val="000000"/>
          <w:sz w:val="20"/>
        </w:rPr>
        <w:t>42.8%</w:t>
      </w:r>
      <w:r>
        <w:rPr>
          <w:color w:val="000000"/>
          <w:shd w:fill="FFFFFF" w:val="clear"/>
        </w:rPr>
        <w:t xml:space="preserve"> </w:t>
      </w:r>
      <w:r>
        <w:rPr>
          <w:rFonts w:ascii="Times New Roman;serif" w:hAnsi="Times New Roman;serif"/>
          <w:b w:val="false"/>
          <w:color w:val="000000"/>
          <w:sz w:val="20"/>
          <w:shd w:fill="FFFFFF" w:val="clear"/>
        </w:rPr>
        <w:t xml:space="preserve">of our voting shares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Therefore, these shareholders will have the ability to influence us through this ownership position. These shareholders may be able to determine matters requiring shareholder approval. For example, these shareholders may be able to control elections, re-elections and removal of directors, amendments of our articles of association, or approval of any merger, scheme of arrangement, sale of assets, or other major corporate transaction. This may prevent or discourage unsolicited acquisition proposals or offers for our ADSs that you may feel are in your best interest as a holder of our ADSs.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some of these persons or entities may have interests different than yours. For example, because many of these shareholders purchased their ordinary shares at prices substantially below the price at which you may have purchased our ADSs and have held their ordinary shares for a longer period, they may be more interested in selling our company to an acquirer than other investors or they may want us to pursue strategies that deviate from the interests of other shareholders.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Future sales and issuances of our ADSs or rights to purchase ordinary shares, including pursuant to our equity incentive plans, could result in additional dilution of the percentage ownership of our shareholders and could cause the price of our ADSs to fall.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significant additional capital may be needed in the future to continue our planned operations, including conducting clinical trials, expanded research and development activities, and costs associated with operating as a public company. To raise capital, we may sell ADSs, ordinary shares, convertible securities, or other equity securities in one or more transactions at prices and in a manner we determine from time to time. If we sell ADSs, ordinary shares, convertible securities, or other equity securities, investors may be materially diluted by subsequent sales, and new investors could gain rights, preferences, and privileges senior to the holders of our ADSs. Pursuant to our 2021 Plan, our management is authorized to grant share options to our employees, directors, and consultants. In September 2024, we filed a registration statement on Form S-3ASR relating to the registration of our ordinary shares, each of which may be represented by one ADS; senior or subordinated debt securities; warrants to purchase any securities that may be sold under the prospectus; units or any combination thereof. In November 2025, we entered into an amended and restated “at-the-market” offering program, which provides for the offering, issuance and sale by us of shares of our ordinary shares, represented by ADSs from time to time for aggregate gross proceeds of up to $250.0 million in sales deemed to be “at-the-market offerings” as defined by the Securities Act of 1933, as amended. Any sale or issuance of securities pursuant to this registration statement or otherwise may result in dilution to our shareholders and may cause the market price of our ADSs to decline. Furthermore, new investors purchasing securities that we may issue and sell in the future could obtain rights superior to the rights of our existing shareholders.</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the aggregate number of ordinary shares that may be issued pursuant to future share awards under the 2021 Plan is </w:t>
      </w:r>
      <w:r>
        <w:rPr>
          <w:rFonts w:ascii="Times New Roman;serif" w:hAnsi="Times New Roman;serif"/>
          <w:b w:val="false"/>
          <w:color w:val="000000"/>
          <w:sz w:val="20"/>
        </w:rPr>
        <w:t>17,152,838</w:t>
      </w:r>
      <w:r>
        <w:rPr>
          <w:color w:val="000000"/>
          <w:shd w:fill="FFFFFF" w:val="clear"/>
        </w:rPr>
        <w:t xml:space="preserve"> </w:t>
      </w:r>
      <w:r>
        <w:rPr>
          <w:rFonts w:ascii="Times New Roman;serif" w:hAnsi="Times New Roman;serif"/>
          <w:b w:val="false"/>
          <w:color w:val="000000"/>
          <w:sz w:val="20"/>
          <w:shd w:fill="FFFFFF" w:val="clear"/>
        </w:rPr>
        <w:t>ordinary shares. The number of ordinary shares reserved for issuance under the 2021 Plan shall be cumulatively increased on January 1, 2023 and each January 1 thereafter by up to 5.0% of the total number of ordinary shares outstanding on December 31 of the preceding calendar year or a lesser number of ordinary shares determined by our board of directors. Unless our board of directors elects not to increase the number of ordinary shares available for future grant each year, our shareholders may experience additional dilution, which could cause the price of our ADSs to fall.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have broad discretion in the use of our cash resources and may not use them effectively.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will have broad discretion in the application of our cash resources, and you will not have the opportunity as part of your investment decision to assess whether such resources are being used appropriately. Because of the number and variability of factors that will determine our use of our cash resources, their ultimate use may vary substantially from their currently intended use. Our management might not apply our cash resources in ways that ultimately increase or maintain the value of your investment. Pending their use, we may invest our cash resources in short-term, investment-grade, interest-bearing securities. These investments may not yield a favorable return to our shareholders.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do not intend to pay dividends on our ordinary shares, so any returns will be limited to the value of our ordinary shares or ADSs.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ADS. Furthermore, under the Companies Act, a company’s accumulated realized profits, so far as not previously utilized by distribution or capitalization, must exceed its accumulated realized losses so far as not previously written off in a reduction or reorganization of capital duly made (on a non-consolidated basis), before dividends can be paid. In the future, were our dividend policy to change, a dividend or distribution may still be restricted from being declared and paid. In addition, under the Companies Act, a public company may only effect a buyback of shares out of distributable profits or a fresh issue of shares and cannot do so out of capital. For these reasons, any return to shareholders may therefore be limited to the appreciation of their shares, which may never occur.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As a public company, we may be at an increased risk of securities class action litigation, which is expensive and could divert management attention.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securities may be volatile and, in the past, companies that have experienced volatility in the market price of their stock have been subject to securities class action litigation. Historically, securities class action litigation has often been brought against a company following a decline in the market price of its securities. This risk is especially relevant for us because biotechnology and pharmaceutical companies have experienced significant share price volatility in recent years. If we were to be sued, it could result in substantial costs and a diversion of management’s attention and resources, which could harm our business.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incur significant increased costs as a result of operating as a public company, and our management is required to devote substantial time to compliance initiatives.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legal, accounting, and other expenses that we had not historically incurred as a private company. We are subject to the reporting requirements of the Securities Exchange Act of 1934, as amended, or the Exchange Act, which will require, among other things, that we file with the Securities and Exchange Commission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are permitted to implement many of these requirements over a longer period and up to five years from the pricing of our initial public offering. We have taken advantage of this; however, as of January 1, 2026, we ceased to be a “smaller reporting company” as defined in the Exchange Act. For the first fiscal quarter of 2026, we are no longer be permitted to take advantage of scaled disclosure requirements for SRCs. We will retain our non-accelerated filer status for our filings due in the fiscal year 2026. We anticipate that we will have to comply with the auditor attestation requirements of Section 404(b) of the Sarbanes-Oxley Act for the year ended December 31, 2026, and our independent registered public accounting firm will have to evaluate and report on the effectiveness of internal control over financial reporting. We will be required to implement these additional requirements, which could result in us incurring additional expenses. Shareholder activism, the current political environment, and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rules and regulations applicable to public companies result in substantial legal and financial compliance costs and make some activities more time-consuming and costly than would otherwise be the case. As a result of the increased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color w:val="000000"/>
          <w:sz w:val="20"/>
        </w:rPr>
        <w:t>and compliance obligations we will become subject to as of December 31, 2026, including the requirement to obtain an auditor attestation of our internal control over financial reporting pursuant to Section 404(b) of the Sarbanes-Oxley Act of 2002, we will incur additional expenses in connection with compliance with these regulations and our management will need to devote additional time and effort to implement and comply with such requirements.</w:t>
      </w:r>
      <w:r>
        <w:rPr>
          <w:color w:val="000000"/>
        </w:rPr>
        <w:t xml:space="preserve"> </w:t>
      </w:r>
      <w:r>
        <w:rPr>
          <w:rFonts w:ascii="Times New Roman;serif" w:hAnsi="Times New Roman;serif"/>
          <w:b w:val="false"/>
          <w:color w:val="000000"/>
          <w:sz w:val="20"/>
        </w:rPr>
        <w:t>If these requirements divert the attention of our management and personnel from other business concerns, they could have a material adverse effect on our business, financial condition, and results of operations.</w:t>
      </w:r>
      <w:r>
        <w:rPr>
          <w:color w:val="000000"/>
        </w:rPr>
        <w:t xml:space="preserve"> </w:t>
      </w:r>
      <w:r>
        <w:rPr>
          <w:rFonts w:ascii="Times New Roman;serif" w:hAnsi="Times New Roman;serif"/>
          <w:b w:val="false"/>
          <w:color w:val="000000"/>
          <w:sz w:val="20"/>
        </w:rPr>
        <w:t>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in the past and may in the future identify material weaknesses in our internal control systems over financial reporting that may cause us to fail to meet our reporting obligations, result in material misstatements in our financial statements or fail to prevent fraud. We will need to continue to invest time and resources in the design, implementation and maintenance of internal controls.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a deficiency, or combination of deficiencies, in internal control over financial reporting, such that there is a reasonable possibility that a material misstatement of the financial statements will not be prevented or detected on a timely basis.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previously identified material weaknesses in our internal control systems, which have since been remedied by management. However, management must continually evaluate the internal control environment and make enhancements to people, processes and systems which will require the investment of significant resources. There is no guarantee that new or additional material weaknesses will not be identified in the future. If material weaknesses arise in the future, our financial statements could contain material misstatements that, when discovered in the future, could cause us to fail to meet our future reporting obligations and cause the price of our ADSs to decline.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disclose changes made in our internal controls and procedures on a quarterly basis and our management is required to assess the effectiveness of these controls annually.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required to develop and maintain internal control over financial reporting and to report any material weaknesses in such internal controls. The Sarbanes-Oxley Act requires that we evaluate and determine the effectiveness of our internal control over financial reporting and provide a management report on internal control over financial reporting. In addition, once we are no longer an emerging growth company, we will be required to include an attestation report on internal control over financial reporting issued by our independent registered public accounting firm.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failure to develop or maintain effective controls, or any difficulties encountered in their implementation or improvement, could harm our results of operations, cause us to fail to meet our reporting obligations, result in a restatement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financial statements for prior periods, or adversely affect the results of management evaluations and independent registered public accounting firm audits of our internal control over financial reporting that we will eventually be required to include in our periodic reports that will be filed with the SEC. In addition, to the extent we acquire or establish additional consolidated subsidiaries, the financial statements of such entities may not be initially prepared by us, and we will not have direct control over their financial statement preparation. As a result, we will, for our financial reporting, depend on what these entities report to us, which could result in our adding monitoring and audit processes, and increase the difficulty of implementing and maintaining adequate controls over our financial processes and reporting in the future, which could lead to delays in our external reporting. In particular, this may occur where we are establishing such entities with partners that do not have sophisticated financial accounting processes in place, or where we are entering into new relationships at a rapid pace, straining our integration capacity. Additionally, if we do not receive the information from the consolidated subsidiaries on a timely basis, it could cause delays in our external reporting. Ineffective disclosure controls and procedures and internal controls over financial reporting could also cause investors to lose confidence in our reported financial and other information, which would likely have a negative effect on the trading price of our ADSs.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3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Holders of ADSs are not treated as holders of our ordinary shares.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By investing in our company, you are a holder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Holders of ADSs may be subject to limitations on the transfer of their ADSs and the withdrawal of the underlying ordinary shares.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are entitled to amend the deposit agreement and to change the rights of ADS holders under the terms of such agreement, or to terminate the deposit agreement, without the prior consent of the ADS holders.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ADS holders may not be entitled to a jury trial with respect to claims arising under the deposit agreement, which could result in less favorable outcomes to the plaintiff(s) in any such action.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ADS holders or beneficial owners of ADSs bring a claim against us or the depositary in connection with matters arising under the deposit agreement or the ADSs, including claims under federal securities laws, the ADS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condition, stipulation or provision of the deposit agreement or ADSs serves as a waiver by any holder or beneficial owner of ADSs or by us or the depositary of compliance with the U.S. federal securities laws and the rules and regulations promulgated thereunder.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as the jury trial waiver relates to claims arising out of or relating to the ADSs or the deposit agreement, we believe that, as a matter of construction of the clause, the waiver would likely continue to apply to ADS holders who withdraw the ordinary 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 law on the applicability of the jury trial waiver to ADS holders who withdraw the ordinary shares represented by the ADSs from the ADS facility.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ADS holders will not have the same voting rights as the holders of our ordinary shares and may not receive voting materials in time to be able to exercise their right to vote.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described in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ADS holders may not receive distributions on our ordinary shares represented by the ADSs or any value for them if it is illegal or impractical to make them available to holders of ADSs.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ADS holders may not receive the distributions we make on our ordinary shares or any value from them if it is unlawful or impractical to make them available. These restrictions may have an adverse effect on the value of your ADSs.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Claims of U.S. civil liabilities may not be enforceable against us.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incorporated under English law and have our registered office in England.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States and England and Wales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England and Wales. In addition, uncertainty exists as to whether the courts of England and Wales would entertain original actions brought in England and Wales against us or our directors or senior management predicated upon the securities laws of the United States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judgment for the sum payable under a U.S. judgment, the judgment of the English and Welsh court will be enforceable by methods generally available for this purpose. These methods generally permit the courts of England and Wales discretion to prescribe the manner of enforcement.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U.S. investors may not be able to enforce against us or our senior management, board of directors or certain experts named herein who are residents of England and Wales or countries other than the United States any judgments obtained in U.S. courts in civil and commercial matters, including judgments under the U.S. federal securities laws.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ADS holders’ right to participate in any future rights offerings may be limited, which may cause dilution to their holdings.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distribute rights to our shareholders, including rights to acquire our securities. However, we cannot make rights available to ADS holders in the United States unless we register the rights and the securities to which the rights relate under the Securities Act or an exemption from the registration requirements is available. Also, under the deposit agreement, the depositary bank will not make rights available to ADS 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agreement, either sell them, if possible, or allow them to lapse. Accordingly, ADS holders may be unable to participate in our rights offerings and may experience dilution in your holdings.</w:t>
      </w:r>
    </w:p>
    <w:p>
      <w:pPr>
        <w:pStyle w:val="TextBody"/>
        <w:bidi w:val="0"/>
        <w:spacing w:lineRule="auto" w:line="288" w:before="3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are a controlled foreign corporation, there could be material adverse U.S. federal income tax consequences to certain U.S. Holders.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royalties, “net CFC tested income”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We do not expect to be a CFC in the current taxable year; however, it is possible that we may become a CFC in a subsequent taxable year. T</w:t>
      </w:r>
      <w:r>
        <w:rPr>
          <w:rFonts w:ascii="Times New Roman;serif" w:hAnsi="Times New Roman;serif"/>
          <w:b w:val="false"/>
          <w:color w:val="000000"/>
          <w:sz w:val="20"/>
        </w:rPr>
        <w:t xml:space="preserve">he determination of CFC status is complex and includes attribution rules, the application of which is not certain. In addition, as a result of attribution rules in the Code applicable to taxable years prior to January 1, 2026, the stock of our non-U.S. subsidiaries is attributed to our U.S. subsidiary, which results in our non-U.S. subsidiaries being treated as CFCs and could result in certain United States persons being treated as Ten Percent Shareholders of such non-U.S. subsidiary CFCs.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taxable years of non-U.S. corporations beginning after December 31, 2025, a non-U.S. corporation is treated as an “foreign controlled foreign corporation” (“FCFC”) if it is not a CFC and “Foreign Controlled United States Shareholders” (as defined below) collectively own, directly, indirectly through certain entities or constructively, more than 50% of the total combined voting power or total value of the corporation’s stock. Under Section 951B of the Code, any United States person (as defined in Section 957(c) of the Code) who directly, indirectly through certain entities or constructively owns 50% or more of the total combined voting power or value of all classes of stock of the non-U.S. corporation is considered to be a “Foreign Controlled United States Shareholder”. In general, the rules described above with respect to Ten Percent Shareholders of CFCs also apply to Foreign Controlled United States Shareholders of FCFCs.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provide any assurances that we will assist holders of our ordinary shares or ADSs in determining whether we are treated as a CFC or FCFC or whether any holder of ordinary shares or ADSs is treated as a Ten Percent Shareholder or Foreign Controlled United States Shareholder with respect to any such CFC or FCFC, as applicable, or furnish to any Ten Percent Shareholders or Foreign Controlled United States Shareholder information that may be necessary to comply with the aforementioned reporting and tax paying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Holders should consult their own tax advisors with respect to the potential material adverse U.S. tax consequences of becoming a Ten Percent Shareholder in a CFC or a Foreign Controlled United States Shareholder in an FCFC, including the possibility and consequences of becoming a Ten Percent Shareholder in our non-U.S. subsidiaries that are treated as CFCs or FCFCs. If we are classified as both a CFC and a PFIC (as defined below), we generally will not be treated as a PFIC with respect to those U.S. Holders that meet the definition of a Ten Percent Shareholder during the period in which we are a CFC.</w:t>
      </w:r>
    </w:p>
    <w:p>
      <w:pPr>
        <w:pStyle w:val="TextBody"/>
        <w:bidi w:val="0"/>
        <w:spacing w:lineRule="auto" w:line="288" w:before="3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There is substantial uncertainty as to whether we are or will be a Passive Foreign Investment Company (“PFIC”). If we are a PFIC, there could be material adverse U.S. federal income tax consequences to U.S. Holders.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Code, we will be a PFIC, for any taxable year in which (1) 75% or more of our gross income consists of passive income or (2)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material adverse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consequences regardless of whether we continue to qualify as a PFIC, including ineligibility for any preferred tax rates on capital gains or on actual or deemed dividends, interest charges on certain taxes treated as deferred and additional reporting requirements.</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While we believe we were not a PFIC for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it is uncertain whether we or any of our Centessa Subsidiaries were, are, or will be treated as a PFIC for U.S. federal income tax purposes for any past, current or subsequent tax year. </w:t>
      </w:r>
      <w:r>
        <w:rPr>
          <w:rFonts w:ascii="Times New Roman;serif" w:hAnsi="Times New Roman;serif"/>
          <w:b w:val="false"/>
          <w:color w:val="000000"/>
          <w:sz w:val="20"/>
        </w:rPr>
        <w:t>The determination of whether we are a PFIC is a fact-intensive determination made on an annual basis applying principles and methodologies that in some circumstances are unclear and subject to varying interpretation. The value of our assets would also be determined differently for the purposes of this determination if we were treated as a CFC, as discussed above.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including in our initial public offering. Because PFIC status is based on our income, assets, and activities for the entire taxable year, our PFIC status may change from year to year. In addition, the total value of our assets for PFIC testing purposes may be determined in part by reference to the market price of our ordinary shares or ADSs from time to time, which may fluctuate considerably. Until we generate sufficient revenue from active licensing and other non-passive sources, there is a risk that we could be classified as a PFIC under the income test as our current operations generate limited amounts of non-passive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circumstances, a U.S. Holder of shares in a PFIC may alleviate some of the adverse tax consequences described above by making either a “qualified electing fund” (“QEF”), election or a mark-to-market election (if our ordinary shares or ADSs constitute “marketable” securities under the Code). However, a U.S. Holder may make a QEF election with respect to our ordinary shares or ADSs only if we agree to furnish such U.S. Holder annually with required information. If we determine that we are a PFIC for this taxable year or any future taxable year, we currently expect that we would make available the information necessary for U.S. Holders to make a QEF Election. However, there is also no assurance that we will have timely knowledge of our status as a PFIC in the future or of the required information to be provided.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If we determine that we are a PFIC, to the extent appropriate, we currently expect that we will cause any lower-tier PFIC that we control to provide to a U.S. Holder the information necessary for U.S. Holders to make or maintain a QEF election with respect to the lower-tier PFIC. However, in the future, we may not hold a controlling interest in any such lower-tier PFIC and thus there can be no assurance that we will be able to cause the lower-tier PFIC to provide such required information. A mark-to-market election generally would not be available with respect to such lower-tier PFIC. U.S. Holders are urged to consult their tax advisors regarding the tax issues raised by lower-tier PFICs.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Holders should consult their own tax advisors with respect to the potential material adverse U.S. tax consequences if we or any of our Centessa Subsidiaries are or were to become a PFIC.</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Future changes to tax laws could materially adversely affect our company and reduce net returns to our shareholders.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The tax treatment of the company or any of the group companies is subject to changes in tax laws, regulations and treaties, or the interpretation thereof, tax policy initiatives and reforms under consideration and the practices of tax authorities in jurisdictions in which we operate, as well as international tax policy initiatives and reforms including those related to the Organisation for Economic Co-Operation and Development’s (“OECD”), Base Erosion and Profit Shifting (“BEPS”), Project, the European Commission’s state aid investigations and other initiatives. Such changes may include (but are not limited to) the taxation of operating income, investment income, dividends received or (in the specific context of withholding tax) dividends paid.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unable to predict what tax reform may be proposed or enacted in the future or what effect such changes would have on our business, but such changes, to the extent they are brought into tax legislation, regulations, policies or practices, could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Tax authorities may disagree with our positions and conclusions regarding certain tax positions, resulting in unanticipated costs, taxes or non-realization of expected benefits.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through various Centessa Subsidiaries in the U.S. and UK. Consequently, we are subject to tax laws, treaties, and regulations in the countries in which we operate, and these laws and treaties are subject to interpretation.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We have taken, and will continue to take, tax positions based on our interpretation of such tax laws. A tax authority may disagree with tax positions that we have taken, which could result in increased tax liabilities. For example, HM Revenue &amp; Customs (“HMRC”),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 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If we are assessed with additional taxes, this may result in a material adverse effect on our results of operations and/or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tax authority may take the position that material income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 or result in other liabilities.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may be unable to use UK net operating loss and tax credit carryforwards and certain built-in losses to reduce future tax payments or benefit from favorable UK tax legislation.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UK incorporated and tax resident entity, we are subject to UK corporate taxation on tax-adjusted trading profits. Due to the nature of our business, we have generated losses since inception and have not paid any UK corporation tax. We therefore have accumulated carryforward tax losses.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operating profits. The use of loss carryforwards in relation to UK profits incurred on or after April 1, 2017 is generally limited each year to £5.0 million plus an incremental 50% of UK taxable profits. In addition, if we were to have a major change in the nature of the conduct of our trade, loss carryforwards may be restricted or extinguished.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company that carries out extensive research and development activities, we seek to benefit from the UK research and development (“R&amp;D”) tax relief program. For accounting periods prior to April 1, 2024 this consisted of two programs: the Small and Medium-sized Enterprises R&amp;D tax relief program, or SME Program, and, to the extent that our projects are grant funded or relate to work subcontracted to us by third parties, the Research and Development Expenditure Credit program, (“RDEC Program”). For accounting periods beginning on or after April 1, 2024 these two regimes have been merged into one program for all companies, R&amp;D expenditure credit, (“RDEC”), alongside the introduction of a new enhanced R&amp;D intensive support program, or ERIS, specifically for loss-making R&amp;D intensive SMEs. In addition, unless limited exceptions apply, for accounting periods beginning on or after April 1, 2024, restrictions were introduced which apply to the tax relief that can be claimed for expenditure incurred on sub-contracted R&amp;D activities or externally provided workers (where such sub-contracted activities are not carried out in the UK or such workers are not subject to UK payroll taxes). These changes, including the rate of deduction for qualifying R&amp;D expenditures and activities for which relief may be claimed, may have a material impact on the quantum of R&amp;D relief that we are able to claim in the future. Further, the UK R&amp;D tax relief program’s rules are complex, and if a tax authority were to challenge or seek to disallow our claims (in whole or in part), for example by asserting that we do not (or the relevant expenditure does not) meet the technical conditions to be granted tax credits (or cash rebates), then such challenge or disallowance, if successful, could have a material impact on our cash-flow and financial performance. In addition, future changes to the UK R&amp;D tax credit program may mean that we no longer qualify for it or have a material impact on the extent to which we can make claims (or benefit from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benefit in the future from the United Kingdom’s “patent box” regime, which allows certain profits attributable to revenues from patented products (and other qualifying income) to be taxed at an effective rate of 10%. We are the exclusive licensee or owner of several patent applications which, if granted, would cover our product candidates, and accordingly, future upfront fees, milestone fees, product revenues and royalties could be taxed at this lower tax rate. When taken in combination with the enhanced relief 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Shareholder protections found in provisions under the UK City Code on Takeovers and Mergers, or the Takeover Code, will not apply if: (i) our place of central management and control remains outside of the United Kingdom (or the Channel Islands or the Isle of Man); and (ii) our securities are not admitted to trading on a UK-regulated market.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classified as a “transition company” under the revised scope of the Takeover Code that became effective on February 3, 2025. As a result, certain provisions of the Takeover Code may apply to any takeover attempt we may be subject to from February 3, 2025 until February 2, 2027 (the “transition period”) if we either become UK quoted or UK resident at any time during the transition period and remain so at the time of any such transaction. We believe that our place of central management and control is not in the United Kingdom (or the Channel Islands or the Isle of Man) for the purposes of the jurisdictional criteria of the Takeover Code, and therefore we are not a UK resident for the purposes of the Takeover Code, and our securities are not admitted to trading on a UK-regulated market. Accordingly, we believe that any takeover attempt we may be subject to would not be subject to the Takeover Code and, as a result, our shareholders would not be entitled to the benefit of certain takeover offer protections provided under the Takeover Code, including the rules regarding mandatory takeover bids.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cease to be classified as a transition company at the end of the transition period and therefore from February 3, 2027 will no longer be subject to these transitional arrangements under the Takeover Code. Following the transition period, we will only be subject to the Takeover Code in the event that we become a UK quoted company. In the event that this changes, or if the interpretation and application of the Takeover Code by the Panel on Takeovers and Mergers (“Takeover Panel”), changes (including changes to the way in which the Takeover Panel assesses the application of the Takeover Code to English companies whose shares are listed outside of the United Kingdom), the Takeover Code may apply to us in the future.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Takeover Code provides a framework within which takeovers of companies which are subject to the Takeover Code are regulated and conducted. The following is a brief summary of some of the most important rules of the Takeover Code: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when any person, or group of persons acting in concert,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relation to a voluntary offer (i.e. any offer which is not a mandatory offer), when interests in shares representing 10% or more of the shares of a class have been acquired for cash by an offeror (i.e., a bidder) and any person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or any person acting in concert with them, acquires for cash any interest in shares during the offer period, a cash alternative must be made available at not less than the highest price paid for any interest in the shares of that class;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after making an offer for a company, the offeror or any person acting in concert with them acquires an interest in shares in an offeree company (i.e., a target) at a price higher than the value of the offer, the offer must be increased to not less than the highest price paid for the interest in shares so acquired;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offeree company must appoint a competent independent adviser whose advice on the financial terms of the offer must be made known to all the shareholders, together with the opinion of the board of directors of the offeree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 shareholders must be given the same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each document published in connection with an offer by or on behalf of the offeror or offeree must state that the directors of the offeror or the offeree, as the case may be, accept responsibility for the information contained therein;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profit forecasts, quantified financial benefits statements and asset valuations must be made to specified standards and must be reported on by professional advisers;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misleading, inaccurate or unsubstantiated statements made in documents or to the media must be publicly corrected immediately;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The rights of our shareholders may differ from the rights typically offered to shareholders of a U.S. corporation.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incorporated under the laws of England and Wales. The rights of holders of ordinary shares and, therefore, certain of the rights of holders of ADS, are governed by English law, including the provisions of the Companies Act, and by our articles of association. These rights differ in certain respects from the rights of shareholders in typical U.S. corporations.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principal differences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under English law, it is only on a poll that the number of shares determines the number of votes a holder may cast. You should be aware, however, that the voting rights of ADS are also governed by the provisions of a deposit agreement with our depositary bank;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the United Kingdom, takeovers may be structured as takeover offers or as schemes of arrangement. Under English law, a bidder seeking to acquire us by means of a takeover offer would need to make an offer for all of our outstanding ordinary shares/ADS. If acceptances are not received for 90% or more of the ordinary shares/ADS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As an English public limited company, certain capital structure decisions will require shareholder approval, which may limit our flexibility to manage our capital structure.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English law provides that a board of directors may only allot shares (or grant rights to subscribe for or to convert any security into shares) with the prior authorization of shareholders, either pursuant to an ordinary resolution or as set out in the articles of association. This authorization must state the aggregate nominal amount of shares that it covers, can be valid up to a maximum period of five years and can be varied, renewed or revoked by shareholders. Such authority from our shareholders to allot additional shares for a period of five years from 2025 was included in the ordinary resolution passed by our shareholders on June 20, 2025, which authorization will need to be renewed upon expiration (i.e., at least every five years) but may be sought more frequently for additional five-year terms (or any shorter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English law also generally provides shareholders with preemptive rights when new shares are issued for cash.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but not longer than the duration of the authority to allot shares to which this disapplication relates or from the date of the shareholder special resolution, if the disapplication is by shareholder special resolution. In either case, this disapplication would need to be renewed by our shareholders upon its expiration (i.e., at least every five years). Such authority from our shareholders to disapply preemptive rights for a period of five years was included as a special resolution passed by our shareholders on June 20, 2025, which disapplication will need to be renewed upon expiration (i.e., at least every five years) to remain effective, but may be sought more frequently for additional five-year terms (or any shorter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English law also generally prohibits a public company from repurchasing its own shares without the prior approval of its shareholders by ordinary resolution, being a resolution passed by a simple majority of votes cast, and other formalities. Such approval may be provided for a maximum period of up to five years. In addition, a public company can only affect a buyback of shares out of distributable profits or a fresh issue of shares and cannot do so out of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Business interruptions resulting from the Russia-Ukraine war, the Middle East conflict(s), tensions in U.S.-China relations, changes in trade policy, including the imposition of tariffs, or similar geo-political conflicts could cause a disruption to our business activities including the development of our product candidates and the conduct of clinical trials thereby adversely impacting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Geo-political conflicts including the Russia-Ukraine war, the Middle East conflict(s), tensions in U.S.-China relations and the impact of changes in trade policy, including the imposition of tariffs, may impact our CROs, clinical data management organizations, and clinical investigators’ ability to conduct certain of our trials in the applicable countries, and may prevent us from obtaining data on patients already enrolled at sites in these countries. This could negatively impact the completion of our clinical trials and/or analyses of clinical results, which may increase our product development costs, elongate clinical trial timeframes and materially harm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global economy has been impacted by geopolitical tensions. The U.S. and other governments have imposed, and propose to impose additional, export controls and tariffs on certain products, and financial and economic sanctions on certain industry sectors and parties. These geopolitical tensions could result in, among other things, cyberattacks, supply chain disruptions, higher energy and other commodity costs, lower consumer demand, and changes to foreign exchange rates and financial markets, and tariffs and trade restrictions may result in increased production costs and product pricing, further supply chain disruptions, limited access to end markets, lower profitability, and uncertainty related to planning long-term investments and strategies, and may have other competitive effects. Any of the foregoing could have a material adverse effect on our business, financial condition, and results of operations.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earthquakes, outbreak of disease, or other natural disasters and our business continuity and disaster recovery plans may not adequately protect us from a serious disaster.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Earthquakes, outbreak of disease,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Unfavorable global economic conditions could adversely affect our business, financial condition or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economy and in the global financial markets. For example, high inflation and trade wars, including the imposition of tariffs, may cause our cost of doing business to materially increase and may adversely impact our ability to operate or may adversely impact other parties upon whom we rely for research and development capabilities to operate.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(a)     Recent Sales of Unregistered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     Use of Proceeds from Initial Public Offering</w:t>
      </w:r>
    </w:p>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policy governing transactions in our securities by our directors, officers and employees permits our officers, directors and certain other persons to enter into trading plans complying with Rule 10b5-1 under the Exchange Act. Consistent with such regulation, our policy permits such plans to be entered into only when that person confirms they are not in possession of material non-public information. Our policy also requires a waiting period after a trading plan is created before shares can be traded under the plan. Our open trading windows are established in consultation with legal counsel. A number of our directors, officers and employees have entered into trading plans in accordance with Rule 10b5-1 and our policy governing transactions in our securities.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28, 2025, Tia Bush, our Chief Technology and Quality Officer, adopted a trading arrangement for the sale of the Company's ADSs, or a Rule 10b5-1 Trading Plan, that is intended to satisfy the affirmative defense conditions of Securities Exchange Act Rule 10b5-1(c). Ms. Bush’s Rule 10b5-1 Trading Plan, which had a plan end date of December 30, 2026, provided for the sale of up to 160,338 ADSs pursuant to the terms of the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27, 2026, Mario Alberto Accardi, our Chief Executive Officer, adopted a trading arrangement for the sale of the Company's ADSs, or a Rule 10b5-1 Trading Plan, that is intended to satisfy the affirmative defense conditions of Securities Exchange Act Rule 10b5-1(c). Dr. Accardi’s Rule 10b5-1 Trading Plan, which had a plan end date of April 30, 2027, provided for the sale of up to 110,715 ADSs pursuant to the terms of the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29, 2026, Iqbal Hussain, our Chief Legal and Compliance Officer, adopted a trading arrangement for the sale of the Company's ADSs, or a Rule 10b5-1 Trading Plan, that is intended to satisfy the affirmative defense conditions of Securities Exchange Act Rule 10b5-1(c). Mr. Hussain’s Rule 10b5-1 Trading Plan, which had a plan end date of May 1, 2027, provided for the sale of up to 130,900 ADSs pursuant to the terms of the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31, 2026, Mario Alberto Accardi, our Chief Executive Officer, Tia Bush, our Chief Technology and Quality Officer, Iqbal Hussain, our Chief Legal and Compliance Officer, Karen Anderson, our Chief People Officer, and Gregory Weinhoff, our Chief Business Officer, terminated the trading arrangements they had previously adopted with respect to the sale of our ordinary shares that were intended to satisfy the affirmative defense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ind w:left="0" w:right="0" w:hanging="450"/>
        <w:jc w:val="left"/>
        <w:rPr>
          <w:rFonts w:ascii="Times New Roman;serif" w:hAnsi="Times New Roman;serif"/>
          <w:b w:val="false"/>
          <w:i/>
          <w:color w:val="000000"/>
          <w:sz w:val="20"/>
        </w:rPr>
      </w:pPr>
      <w:r>
        <w:rPr>
          <w:rFonts w:ascii="Times New Roman;serif" w:hAnsi="Times New Roman;serif"/>
          <w:b w:val="false"/>
          <w:i/>
          <w:color w:val="000000"/>
          <w:sz w:val="20"/>
        </w:rPr>
        <w:t>(a)Exhibits: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2786"/>
        <w:gridCol w:w="2620"/>
        <w:gridCol w:w="3699"/>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 xml:space="preserve">Articles of Association of the registrant, as currently in effect </w:t>
              </w:r>
            </w:hyperlink>
            <w:hyperlink r:id="rId3">
              <w:r>
                <w:rPr>
                  <w:rStyle w:val="InternetLink"/>
                  <w:rFonts w:ascii="Times New Roman;serif" w:hAnsi="Times New Roman;serif"/>
                  <w:b w:val="false"/>
                  <w:color w:val="000080"/>
                  <w:sz w:val="20"/>
                  <w:u w:val="single"/>
                </w:rPr>
                <w:t>(incorporated by reference to Exhibit 3.1 to the Registrant’s Current Report on Form 8-K filed on October 6, 2022 (File No. 001-40445)).</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80"/>
                  <w:sz w:val="20"/>
                  <w:u w:val="single"/>
                </w:rPr>
                <w:t xml:space="preserve">Form of Deposit Agreement </w:t>
              </w:r>
            </w:hyperlink>
            <w:hyperlink r:id="rId5">
              <w:r>
                <w:rPr>
                  <w:rStyle w:val="InternetLink"/>
                  <w:rFonts w:ascii="Times New Roman;serif" w:hAnsi="Times New Roman;serif"/>
                  <w:b w:val="false"/>
                  <w:color w:val="000080"/>
                  <w:sz w:val="20"/>
                  <w:u w:val="single"/>
                </w:rPr>
                <w:t>(incorporated by reference to Exhibit 4.1 to the Registrant’s Registration Statement on Form S-1 (File No. 333-255393)).</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80"/>
                  <w:sz w:val="20"/>
                  <w:u w:val="single"/>
                </w:rPr>
                <w:t xml:space="preserve">Form of American Depositary Receipt (included in Exhibit 4.1) </w:t>
              </w:r>
            </w:hyperlink>
            <w:hyperlink r:id="rId7">
              <w:r>
                <w:rPr>
                  <w:rStyle w:val="InternetLink"/>
                  <w:rFonts w:ascii="Times New Roman;serif" w:hAnsi="Times New Roman;serif"/>
                  <w:b w:val="false"/>
                  <w:color w:val="000080"/>
                  <w:sz w:val="20"/>
                  <w:u w:val="single"/>
                </w:rPr>
                <w:t>(incorporated by reference to Exhibit 4.2 to the Registrant’s Registration Statement on Form S-1 (File No. 333-255393)).</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kanesagreementexhibit.htm">
              <w:r>
                <w:rPr>
                  <w:rStyle w:val="InternetLink"/>
                  <w:rFonts w:ascii="Times New Roman;serif" w:hAnsi="Times New Roman;serif"/>
                  <w:b w:val="false"/>
                  <w:color w:val="0000FF"/>
                  <w:sz w:val="20"/>
                  <w:u w:val="single"/>
                </w:rPr>
                <w:t>Employment Agreement, dated as of January 6, 2025, and as amended on December 11, 2025, and Retention Letter thereunder, dated as of February 13, 2026, between the Registrant and Stephen Kanes.</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0331exhibit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0331exhibit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0331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0331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 101.)</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Schedules omitted pursuant to Item 601(a)(5) of Regulation S-K. The Company agrees to furnish supplementally a copy of any omitted schedule to the SEC upon request.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Indicates a management contract or any compensatory plan, contract or arrangement.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Portions of this exhibit have been omitted pursuant to Item 601(b)(10) of Regulation S-K.</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278" w:type="dxa"/>
        <w:jc w:val="left"/>
        <w:tblInd w:w="0" w:type="dxa"/>
        <w:tblLayout w:type="fixed"/>
        <w:tblCellMar>
          <w:top w:w="28" w:type="dxa"/>
          <w:left w:w="28" w:type="dxa"/>
          <w:bottom w:w="28" w:type="dxa"/>
          <w:right w:w="28" w:type="dxa"/>
        </w:tblCellMar>
      </w:tblPr>
      <w:tblGrid>
        <w:gridCol w:w="591"/>
        <w:gridCol w:w="520"/>
        <w:gridCol w:w="523"/>
        <w:gridCol w:w="565"/>
        <w:gridCol w:w="565"/>
        <w:gridCol w:w="565"/>
        <w:gridCol w:w="1447"/>
        <w:gridCol w:w="1447"/>
        <w:gridCol w:w="205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CENTESSA PHARMACEUTICALS PLC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Mario Alberto Accardi,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 Mario Alberto Accardi,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Chief Executive Officer (Principal Executive Officer)</w:t>
            </w:r>
          </w:p>
        </w:tc>
      </w:tr>
    </w:tbl>
    <w:tbl>
      <w:tblPr>
        <w:tblW w:w="7017"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1455"/>
        <w:gridCol w:w="1455"/>
        <w:gridCol w:w="206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John Crowley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 John Crowley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Chief Financial Officer (Principal Financial Officer)</w:t>
            </w:r>
          </w:p>
        </w:tc>
      </w:tr>
    </w:tbl>
    <w:p>
      <w:pPr>
        <w:pStyle w:val="TextBody"/>
        <w:bidi w:val="0"/>
        <w:spacing w:before="240" w:after="283"/>
        <w:jc w:val="center"/>
        <w:rPr/>
      </w:pPr>
      <w:r>
        <w:rPr/>
      </w:r>
    </w:p>
    <w:p>
      <w:pPr>
        <w:pStyle w:val="TextBody"/>
        <w:bidi w:val="0"/>
        <w:jc w:val="center"/>
        <w:rPr/>
      </w:pPr>
      <w:bookmarkStart w:id="0" w:name="kanesagreementexhibit.htm"/>
      <w:bookmarkStart w:id="1" w:name="kskanesagreementexhibit"/>
      <w:bookmarkEnd w:id="0"/>
      <w:bookmarkEnd w:id="1"/>
      <w:r>
        <w:rPr/>
        <w:drawing>
          <wp:inline distT="0" distB="0" distL="0" distR="0">
            <wp:extent cx="10048875" cy="13001625"/>
            <wp:effectExtent l="0" t="0" r="0" b="0"/>
            <wp:docPr id="10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2"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3"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4"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5"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One Federal Street, FL 38 | Boston, MA 02110 | www.centessa.com CONFIDENTIAL February 12th, 2025 Stephen Kanes, M.D., Ph.D. Via email Dear Stephen, As we continue to progress our orexin programs forward, we are appreciative of your commitment to our goals and objectives. We would also like to recognize your leadership during the CEO transition and your ongoing partnership with Mario Alberto Accardi as he transitions into the Chief Executive Officer role. In recognition of the above, subject to the approval of the Centessa Pharmaceuticals plc Compensation Committee, we shall extend (i) a cash retention payment; and (ii) a special retention RSU grant, to you which will be aligned to key milestones set forth below and subject to the terms of the Centessa Pharmaceuticals Amended and Restated 2021 Stock Option and Incentive Plan and the associated grant agreement. Cash Payment: Subject as set forth below, the Company will pay you the following amounts as cash retention payments: 1. a one-time cash retention payment of five hundred thousand US dollars (US$500,000) payable on or around the July 1, 2026 payroll payment; 2. a one-time cash retention payment of five hundred thousand US dollars (US$500,000) payable on or around the December 15, 2026 payroll payment; 3. a one-time cash retention payment of five hundred thousand US dollars (US$500,000) payable on or around the July 1, 2027 payroll payment; and 4. a one-time cash retention payment of five hundred thousand US dollars (US$500,000) payable on or around the December 15, 2027 payroll payment, in each case, subject to applicable deductions and withholdings. As a condition to each cash payment set forth above, on each payment date, you must be an employee of the Company and must have not given or received notice of termination of employment for any reason. In the event you cease to be employed by the Company or have given or received notice of termination for any reason on or prior to any of the payments set forth above having been made, you shall not be entitled to such payment or any subsequent payments. If you leave employment or your employment is terminated within twelve months of each such payment having been made, for any reason except a termination by the Company without cause, you will need to repay the full amount of such payment back to the Company including any amounts previously deducted or withheld. Docusign Envelope ID: D493E363-C1F1-423E-B54F-15CED9F9A1EC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6"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7"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One Federal Street, 38th Floor | Boston, MA 02110 | www.centessa.com As a condition to vesting of RSUs set forth above, on each vesting date, you must be an employee of the Company and must have not given or received notice of termination of employment for any reason. In the event you cease to be employed by the Company or have given or received notice of termination for any reason on or prior to any of the vesting dates set forth above, the applicable awards that have not vested on the applicable date shall automatically be forfeited in its entirety. This letter, including its contents, are strictly confidential and subject to the confidentiality undertakings in your employment terms. For the avoidance of doubt, this letter does not constitute the grant document. Sincerely, Karen Anderson Chief People Officer Signed and Acknowledged Docusign Envelope ID: D493E363-C1F1-423E-B54F-15CED9F9A1EC 2/13/2026 Chief Medical Officer 2/13/2026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Mario Alberto Accardi, certify that: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Centessa Pharmaceuticals plc;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6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478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804"/>
        <w:gridCol w:w="804"/>
        <w:gridCol w:w="113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Mario Alberto Accardi,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Mario Alberto Accardi,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John Crowley, certify that: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Centessa Pharmaceuticals plc;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6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8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715"/>
        <w:gridCol w:w="715"/>
        <w:gridCol w:w="101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Crowley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John Crowley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Centessa Pharmaceuticals plc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78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804"/>
        <w:gridCol w:w="804"/>
        <w:gridCol w:w="113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Mario Alberto Accardi,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Mario Alberto Accardi,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b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Centessa Pharmaceuticals plc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48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715"/>
        <w:gridCol w:w="715"/>
        <w:gridCol w:w="101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Crowley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John Crowley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03/000119312522258932/d378676dex31.htm" TargetMode="External"/><Relationship Id="rId3" Type="http://schemas.openxmlformats.org/officeDocument/2006/relationships/hyperlink" Target="https://www.sec.gov/Archives/edgar/data/1847903/000119312522258932/d378676dex31.htm" TargetMode="External"/><Relationship Id="rId4" Type="http://schemas.openxmlformats.org/officeDocument/2006/relationships/hyperlink" Target="https://www.sec.gov/Archives/edgar/data/1847903/000119312521170068/d123754dex41.htm" TargetMode="External"/><Relationship Id="rId5" Type="http://schemas.openxmlformats.org/officeDocument/2006/relationships/hyperlink" Target="https://www.sec.gov/Archives/edgar/data/1847903/000119312521170068/d123754dex41.htm" TargetMode="External"/><Relationship Id="rId6" Type="http://schemas.openxmlformats.org/officeDocument/2006/relationships/hyperlink" Target="https://www.sec.gov/Archives/edgar/data/1847903/000119312521170068/d123754dex41.htm" TargetMode="External"/><Relationship Id="rId7" Type="http://schemas.openxmlformats.org/officeDocument/2006/relationships/hyperlink" Target="https://www.sec.gov/Archives/edgar/data/1847903/000119312521170068/d123754dex41.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79171</Words>
  <Characters>441919</Characters>
  <CharactersWithSpaces>519271</CharactersWithSpaces>
  <Paragraphs>2696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kanesagreementexhibit</dc:title>
</cp:coreProperties>
</file>