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20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(Exact name of Registrant, as specified in its charter)</w:t>
            </w:r>
          </w:p>
        </w:tc>
        <w:tc>
          <w:tcPr>
            <w:tcW w:w="3360" w:type="dxa"/>
            <w:vAlign w:val="bottom"/>
          </w:tcPr>
          <w:p>
            <w:pPr>
              <w:spacing w:after="0"/>
              <w:rPr>
                <w:sz w:val="20"/>
                <w:szCs w:val="20"/>
                <w:color w:val="auto"/>
              </w:rPr>
            </w:pPr>
          </w:p>
        </w:tc>
      </w:tr>
      <w:tr>
        <w:trPr>
          <w:trHeight w:val="351"/>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England and Wales</w:t>
            </w:r>
          </w:p>
        </w:tc>
        <w:tc>
          <w:tcPr>
            <w:tcW w:w="3780" w:type="dxa"/>
            <w:vAlign w:val="bottom"/>
            <w:gridSpan w:val="2"/>
          </w:tcPr>
          <w:p>
            <w:pPr>
              <w:jc w:val="right"/>
              <w:ind w:right="1372"/>
              <w:spacing w:after="0"/>
              <w:rPr>
                <w:sz w:val="20"/>
                <w:szCs w:val="20"/>
                <w:color w:val="auto"/>
              </w:rPr>
            </w:pPr>
            <w:r>
              <w:rPr>
                <w:rFonts w:ascii="Arial" w:cs="Arial" w:eastAsia="Arial" w:hAnsi="Arial"/>
                <w:sz w:val="18"/>
                <w:szCs w:val="18"/>
                <w:b w:val="1"/>
                <w:bCs w:val="1"/>
                <w:color w:val="auto"/>
              </w:rPr>
              <w:t>001-04321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jc w:val="center"/>
              <w:ind w:right="259"/>
              <w:spacing w:after="0"/>
              <w:rPr>
                <w:sz w:val="20"/>
                <w:szCs w:val="20"/>
                <w:color w:val="auto"/>
              </w:rPr>
            </w:pPr>
            <w:r>
              <w:rPr>
                <w:rFonts w:ascii="Arial" w:cs="Arial" w:eastAsia="Arial" w:hAnsi="Arial"/>
                <w:sz w:val="18"/>
                <w:szCs w:val="18"/>
                <w:b w:val="1"/>
                <w:bCs w:val="1"/>
                <w:color w:val="auto"/>
                <w:w w:val="89"/>
              </w:rPr>
              <w:t>Not applicable</w:t>
            </w:r>
          </w:p>
        </w:tc>
      </w:tr>
      <w:tr>
        <w:trPr>
          <w:trHeight w:val="17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jc w:val="center"/>
              <w:ind w:right="259"/>
              <w:spacing w:after="0"/>
              <w:rPr>
                <w:sz w:val="20"/>
                <w:szCs w:val="20"/>
                <w:color w:val="auto"/>
              </w:rPr>
            </w:pPr>
            <w:r>
              <w:rPr>
                <w:rFonts w:ascii="Arial" w:cs="Arial" w:eastAsia="Arial" w:hAnsi="Arial"/>
                <w:sz w:val="14"/>
                <w:szCs w:val="14"/>
                <w:color w:val="auto"/>
                <w:w w:val="96"/>
              </w:rPr>
              <w:t>(I.R.S. Employer Identification Number)</w:t>
            </w:r>
          </w:p>
        </w:tc>
      </w:tr>
      <w:tr>
        <w:trPr>
          <w:trHeight w:val="52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Mailing address:</w:t>
            </w:r>
          </w:p>
        </w:tc>
        <w:tc>
          <w:tcPr>
            <w:tcW w:w="336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3rd Floor</w:t>
            </w:r>
          </w:p>
        </w:tc>
        <w:tc>
          <w:tcPr>
            <w:tcW w:w="33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1 Ashley Road</w:t>
            </w:r>
          </w:p>
        </w:tc>
        <w:tc>
          <w:tcPr>
            <w:tcW w:w="33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Altrincham</w:t>
            </w:r>
          </w:p>
        </w:tc>
        <w:tc>
          <w:tcPr>
            <w:tcW w:w="33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Cheshire WA14 2DT</w:t>
            </w:r>
          </w:p>
        </w:tc>
        <w:tc>
          <w:tcPr>
            <w:tcW w:w="3360" w:type="dxa"/>
            <w:vAlign w:val="bottom"/>
          </w:tcPr>
          <w:p>
            <w:pPr>
              <w:spacing w:after="0"/>
              <w:rPr>
                <w:sz w:val="18"/>
                <w:szCs w:val="18"/>
                <w:color w:val="auto"/>
              </w:rPr>
            </w:pPr>
          </w:p>
        </w:tc>
      </w:tr>
      <w:tr>
        <w:trPr>
          <w:trHeight w:val="22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United Kingdom</w:t>
            </w:r>
          </w:p>
        </w:tc>
        <w:tc>
          <w:tcPr>
            <w:tcW w:w="33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(Address of principal executive offices) (Zip code)</w:t>
            </w:r>
          </w:p>
        </w:tc>
        <w:tc>
          <w:tcPr>
            <w:tcW w:w="33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+44 7391 789784</w:t>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address, if changed since last report:</w:t>
      </w:r>
    </w:p>
    <w:p>
      <w:pPr>
        <w:spacing w:after="0" w:line="360" w:lineRule="exact"/>
        <w:rPr>
          <w:sz w:val="24"/>
          <w:szCs w:val="24"/>
          <w:color w:val="auto"/>
        </w:rPr>
      </w:pPr>
    </w:p>
    <w:p>
      <w:pPr>
        <w:jc w:val="both"/>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60" w:firstLine="8"/>
        <w:spacing w:after="0" w:line="402"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2"/>
          </w:tcPr>
          <w:p>
            <w:pPr>
              <w:ind w:left="136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Trading Symbol(s)</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Ordinary shares, nominal value £0.002 per share</w:t>
            </w:r>
          </w:p>
        </w:tc>
        <w:tc>
          <w:tcPr>
            <w:tcW w:w="40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CNTA</w:t>
            </w:r>
          </w:p>
        </w:tc>
        <w:tc>
          <w:tcPr>
            <w:tcW w:w="400" w:type="dxa"/>
            <w:vAlign w:val="bottom"/>
          </w:tcPr>
          <w:p>
            <w:pPr>
              <w:spacing w:after="0"/>
              <w:rPr>
                <w:sz w:val="20"/>
                <w:szCs w:val="20"/>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Stock Market, LLC*</w:t>
            </w:r>
          </w:p>
        </w:tc>
      </w:tr>
      <w:tr>
        <w:trPr>
          <w:trHeight w:val="201"/>
        </w:trPr>
        <w:tc>
          <w:tcPr>
            <w:tcW w:w="44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American Depositary Shares, each representing one</w:t>
            </w:r>
          </w:p>
        </w:tc>
        <w:tc>
          <w:tcPr>
            <w:tcW w:w="2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44"/>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ordinary share, nominal value £0.002 per share</w:t>
            </w:r>
          </w:p>
        </w:tc>
        <w:tc>
          <w:tcPr>
            <w:tcW w:w="26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CNTA</w:t>
            </w: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*Not for trading, but only in connection with the listing of the American Depositary Shares on The Nasdaq Stock Market, LLC.</w:t>
      </w:r>
    </w:p>
    <w:p>
      <w:pPr>
        <w:spacing w:after="0" w:line="11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Emerging growth company x</w:t>
      </w:r>
    </w:p>
    <w:p>
      <w:pPr>
        <w:spacing w:after="0" w:line="104"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4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August 16, 2021, Centessa Pharmaceuticals plc announced its financial results for the quarter ended June 30, 2021. The full text of the press release issued in connection with the announcement is furnished as Exhibit 99.1 to this Current Report on Form 8-K.</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No.</w:t>
      </w:r>
    </w:p>
    <w:p>
      <w:pPr>
        <w:spacing w:after="0" w:line="36"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 xml:space="preserve">Press Release dated </w:t>
        </w:r>
      </w:hyperlink>
      <w:r>
        <w:rPr>
          <w:rFonts w:ascii="Arial" w:cs="Arial" w:eastAsia="Arial" w:hAnsi="Arial"/>
          <w:sz w:val="18"/>
          <w:szCs w:val="18"/>
          <w:color w:val="auto"/>
        </w:rPr>
        <w:t xml:space="preserve">August </w:t>
      </w:r>
      <w:hyperlink w:anchor="page4">
        <w:r>
          <w:rPr>
            <w:rFonts w:ascii="Arial" w:cs="Arial" w:eastAsia="Arial" w:hAnsi="Arial"/>
            <w:sz w:val="18"/>
            <w:szCs w:val="18"/>
            <w:u w:val="single" w:color="auto"/>
            <w:color w:val="0000FF"/>
          </w:rPr>
          <w:t>16, 2021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88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Saurabh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Saurabh Saha, M.D., Ph.D.</w:t>
      </w:r>
    </w:p>
    <w:p>
      <w:pPr>
        <w:spacing w:after="0" w:line="27"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891" w:right="499" w:bottom="1440" w:gutter="0" w:footer="0" w:header="0"/>
        </w:sectPr>
      </w:pPr>
    </w:p>
    <w:bookmarkStart w:id="3" w:name="page4"/>
    <w:bookmarkEnd w:id="3"/>
    <w:p>
      <w:pPr>
        <w:ind w:left="4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6054725</wp:posOffset>
            </wp:positionH>
            <wp:positionV relativeFrom="page">
              <wp:posOffset>88900</wp:posOffset>
            </wp:positionV>
            <wp:extent cx="1285875"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71805"/>
                    </a:xfrm>
                    <a:prstGeom prst="rect">
                      <a:avLst/>
                    </a:prstGeom>
                    <a:noFill/>
                  </pic:spPr>
                </pic:pic>
              </a:graphicData>
            </a:graphic>
          </wp:anchor>
        </w:drawing>
        <w:t>Centessa Pharmaceuticals Announces Second Quarter 2021 Financial Results and Business Updates</w:t>
      </w:r>
    </w:p>
    <w:p>
      <w:pPr>
        <w:spacing w:after="0" w:line="242" w:lineRule="exact"/>
        <w:rPr>
          <w:sz w:val="20"/>
          <w:szCs w:val="20"/>
          <w:color w:val="auto"/>
        </w:rPr>
      </w:pPr>
    </w:p>
    <w:p>
      <w:pPr>
        <w:jc w:val="center"/>
        <w:ind w:left="2900" w:right="60" w:hanging="2767"/>
        <w:spacing w:after="0" w:line="253" w:lineRule="auto"/>
        <w:tabs>
          <w:tab w:leader="none" w:pos="31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completion of an initial public offering of American Depositary Shares raising gross proceeds of $379.5 million to help advance portfolio of 16 clinical and preclinical programs ~</w:t>
      </w:r>
    </w:p>
    <w:p>
      <w:pPr>
        <w:spacing w:after="0" w:line="190" w:lineRule="exact"/>
        <w:rPr>
          <w:rFonts w:ascii="Arial" w:cs="Arial" w:eastAsia="Arial" w:hAnsi="Arial"/>
          <w:sz w:val="20"/>
          <w:szCs w:val="20"/>
          <w:i w:val="1"/>
          <w:iCs w:val="1"/>
          <w:color w:val="auto"/>
        </w:rPr>
      </w:pPr>
    </w:p>
    <w:p>
      <w:pPr>
        <w:ind w:left="1780" w:hanging="176"/>
        <w:spacing w:after="0"/>
        <w:tabs>
          <w:tab w:leader="none" w:pos="1780" w:val="left"/>
        </w:tabs>
        <w:numPr>
          <w:ilvl w:val="1"/>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Centessa leadership team strengthened through appointment of key industry executives ~</w:t>
      </w:r>
    </w:p>
    <w:p>
      <w:pPr>
        <w:spacing w:after="0" w:line="243" w:lineRule="exact"/>
        <w:rPr>
          <w:sz w:val="20"/>
          <w:szCs w:val="20"/>
          <w:color w:val="auto"/>
        </w:rPr>
      </w:pPr>
    </w:p>
    <w:p>
      <w:pPr>
        <w:jc w:val="center"/>
        <w:ind w:left="2480" w:right="240" w:hanging="2165"/>
        <w:spacing w:after="0" w:line="267" w:lineRule="auto"/>
        <w:tabs>
          <w:tab w:leader="none" w:pos="49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Programs across Centessa portfolio continue to progress, with new data releases and/or trial initiations anticipated from ApcinteX, Palladio, Z-Factor and Pega-One in the second half of 2021 ~</w:t>
      </w:r>
    </w:p>
    <w:p>
      <w:pPr>
        <w:spacing w:after="0" w:line="21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CAMBRIDGE, Mass. &amp; LONDON, August 16, 2021 – Centessa Pharmaceuticals plc (Nasdaq: CNTA), a clinical-stage company leveraging its innovative asset-centric business model to discover, develop and ultimately deliver impactful medicines to patients, today reported financial results for the quarter ended June 30, 2021, and provided a review of recent accomplishments and anticipated upcoming milestones.</w:t>
      </w:r>
    </w:p>
    <w:p>
      <w:pPr>
        <w:spacing w:after="0" w:line="237" w:lineRule="exact"/>
        <w:rPr>
          <w:sz w:val="20"/>
          <w:szCs w:val="20"/>
          <w:color w:val="auto"/>
        </w:rPr>
      </w:pPr>
    </w:p>
    <w:p>
      <w:pPr>
        <w:ind w:right="20"/>
        <w:spacing w:after="0"/>
        <w:rPr>
          <w:sz w:val="20"/>
          <w:szCs w:val="20"/>
          <w:color w:val="auto"/>
        </w:rPr>
      </w:pPr>
      <w:r>
        <w:rPr>
          <w:rFonts w:ascii="Arial" w:cs="Arial" w:eastAsia="Arial" w:hAnsi="Arial"/>
          <w:sz w:val="20"/>
          <w:szCs w:val="20"/>
          <w:color w:val="auto"/>
        </w:rPr>
        <w:t>“Centessa has made significant progress since launch and completion of our $250 million Series A financing in January,” said Saurabh Saha, M.D., Ph.D., Chief Executive Officer of Centessa. “The successful execution of our upsized initial public offering in the second quarter has substantially enhanced our resources and will support the advancement of our broad portfolio of assets across our 10 subsidiary companies. This added capital, together with the appointment of exceptional industry leaders in key functional areas across the organization, positions us for continued success. We look forward to sharing our progress, including a planned Phase 2a data update from ApcinteX in the coming weeks.”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Updates</w:t>
      </w:r>
    </w:p>
    <w:p>
      <w:pPr>
        <w:spacing w:after="0" w:line="243" w:lineRule="exact"/>
        <w:rPr>
          <w:sz w:val="20"/>
          <w:szCs w:val="20"/>
          <w:color w:val="auto"/>
        </w:rPr>
      </w:pPr>
    </w:p>
    <w:p>
      <w:pPr>
        <w:ind w:left="660" w:right="40" w:hanging="328"/>
        <w:spacing w:after="0" w:line="24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$379.5 Million Initial Public Offering (IPO) Successfully Completed</w:t>
      </w:r>
      <w:r>
        <w:rPr>
          <w:rFonts w:ascii="Arial" w:cs="Arial" w:eastAsia="Arial" w:hAnsi="Arial"/>
          <w:sz w:val="20"/>
          <w:szCs w:val="20"/>
          <w:color w:val="auto"/>
        </w:rPr>
        <w:t>: In the second quarter, Centessa closed its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public offering of 16,500,000 American Depositary Shares (ADSs). In addition, the underwriters fully exercised their option to purchase an additional 2,475,000 ADSs at the IPO price of $20.00 per ADS, less underwriting discounts and commissions. The gross proceeds to Centessa from its IPO, before deducting underwriting discounts, commissions and other estimated offering expenses, totaled an aggregate of $379.5 million.</w:t>
      </w:r>
    </w:p>
    <w:p>
      <w:pPr>
        <w:spacing w:after="0" w:line="207" w:lineRule="exact"/>
        <w:rPr>
          <w:rFonts w:ascii="Arial" w:cs="Arial" w:eastAsia="Arial" w:hAnsi="Arial"/>
          <w:sz w:val="20"/>
          <w:szCs w:val="20"/>
          <w:color w:val="auto"/>
        </w:rPr>
      </w:pPr>
    </w:p>
    <w:p>
      <w:pPr>
        <w:ind w:left="660" w:right="20" w:hanging="328"/>
        <w:spacing w:after="0" w:line="24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Leadership Team Strengthened by Appointment of Key Industry Executives</w:t>
      </w:r>
      <w:r>
        <w:rPr>
          <w:rFonts w:ascii="Arial" w:cs="Arial" w:eastAsia="Arial" w:hAnsi="Arial"/>
          <w:sz w:val="20"/>
          <w:szCs w:val="20"/>
          <w:color w:val="auto"/>
        </w:rPr>
        <w:t>: In May, Centessa announced the</w:t>
      </w:r>
      <w:r>
        <w:rPr>
          <w:rFonts w:ascii="Arial" w:cs="Arial" w:eastAsia="Arial" w:hAnsi="Arial"/>
          <w:sz w:val="20"/>
          <w:szCs w:val="20"/>
          <w:b w:val="1"/>
          <w:bCs w:val="1"/>
          <w:color w:val="auto"/>
        </w:rPr>
        <w:t xml:space="preserve"> </w:t>
      </w:r>
      <w:r>
        <w:rPr>
          <w:rFonts w:ascii="Arial" w:cs="Arial" w:eastAsia="Arial" w:hAnsi="Arial"/>
          <w:sz w:val="20"/>
          <w:szCs w:val="20"/>
          <w:color w:val="auto"/>
        </w:rPr>
        <w:t>leadership appointments of Antoine Yver, M.D., M.Sc., Chief Medical Officer; Tia Bush, Chief Quality Officer; David Chao, Ph.D., Chief Administrative Officer; and Thomas Templeman, Ph.D., Chief Technology Officer. In addition, Marella Thorell was promoted to Chief Accounting Officer, and Carol Stuckley joined the Board of Directors, serving as Chairperson of the Audit Committee. Each of these leaders provides significant expertise in their respective functions and will help drive execution across the Company’s portfolio of programs.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Upcoming Milestones in the Second Half of 2021</w:t>
      </w:r>
    </w:p>
    <w:p>
      <w:pPr>
        <w:spacing w:after="0" w:line="243" w:lineRule="exact"/>
        <w:rPr>
          <w:sz w:val="20"/>
          <w:szCs w:val="20"/>
          <w:color w:val="auto"/>
        </w:rPr>
      </w:pPr>
    </w:p>
    <w:p>
      <w:pPr>
        <w:ind w:left="660" w:right="360" w:hanging="328"/>
        <w:spacing w:after="0" w:line="252"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Topline Phase 2a data from ApcinteX’s 24-week repeat dose study evaluating SerpinPC in hemophilia A (HA) and hemophilia B (HB) patients</w:t>
      </w:r>
    </w:p>
    <w:p>
      <w:pPr>
        <w:ind w:left="980" w:right="400" w:hanging="324"/>
        <w:spacing w:after="0" w:line="241" w:lineRule="auto"/>
        <w:tabs>
          <w:tab w:leader="none" w:pos="977"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SerpinPC, a first-in-class coagulation rebalancing agent, is a specific inhibitor of activated protein C (APC) being evaluated as a monthly subcutaneous therapeutic for HA and HB patients that has the potential to significantly reduce bleeding rates.</w:t>
      </w:r>
    </w:p>
    <w:p>
      <w:pPr>
        <w:sectPr>
          <w:pgSz w:w="11900" w:h="16838" w:orient="portrait"/>
          <w:cols w:equalWidth="0" w:num="1">
            <w:col w:w="11180"/>
          </w:cols>
          <w:pgMar w:left="320" w:top="1255" w:right="399" w:bottom="1440" w:gutter="0" w:footer="0" w:header="0"/>
        </w:sectPr>
      </w:pPr>
    </w:p>
    <w:bookmarkStart w:id="4" w:name="page5"/>
    <w:bookmarkEnd w:id="4"/>
    <w:p>
      <w:pPr>
        <w:ind w:left="980" w:hanging="324"/>
        <w:spacing w:after="0"/>
        <w:tabs>
          <w:tab w:leader="none" w:pos="980" w:val="left"/>
        </w:tabs>
        <w:numPr>
          <w:ilvl w:val="1"/>
          <w:numId w:val="6"/>
        </w:numPr>
        <w:rPr>
          <w:rFonts w:ascii="Courier New" w:cs="Courier New" w:eastAsia="Courier New" w:hAnsi="Courier New"/>
          <w:sz w:val="19"/>
          <w:szCs w:val="19"/>
          <w:color w:val="auto"/>
        </w:rPr>
      </w:pPr>
      <w:r>
        <w:rPr>
          <w:rFonts w:ascii="Arial" w:cs="Arial" w:eastAsia="Arial" w:hAnsi="Arial"/>
          <w:sz w:val="19"/>
          <w:szCs w:val="19"/>
          <w:color w:val="auto"/>
        </w:rPr>
        <w:t>The Phase 2a has completed dosing and the Company anticipates sharing topline results in the third quarter of 2021.</w:t>
      </w:r>
    </w:p>
    <w:p>
      <w:pPr>
        <w:spacing w:after="0" w:line="7" w:lineRule="exact"/>
        <w:rPr>
          <w:rFonts w:ascii="Courier New" w:cs="Courier New" w:eastAsia="Courier New" w:hAnsi="Courier New"/>
          <w:sz w:val="19"/>
          <w:szCs w:val="19"/>
          <w:color w:val="auto"/>
        </w:rPr>
      </w:pPr>
    </w:p>
    <w:p>
      <w:pPr>
        <w:ind w:left="980" w:right="220" w:hanging="324"/>
        <w:spacing w:after="0" w:line="242" w:lineRule="auto"/>
        <w:tabs>
          <w:tab w:leader="none" w:pos="977" w:val="left"/>
        </w:tabs>
        <w:numPr>
          <w:ilvl w:val="1"/>
          <w:numId w:val="6"/>
        </w:numPr>
        <w:rPr>
          <w:rFonts w:ascii="Courier New" w:cs="Courier New" w:eastAsia="Courier New" w:hAnsi="Courier New"/>
          <w:sz w:val="20"/>
          <w:szCs w:val="20"/>
          <w:color w:val="auto"/>
        </w:rPr>
      </w:pPr>
      <w:r>
        <w:rPr>
          <w:rFonts w:ascii="Arial" w:cs="Arial" w:eastAsia="Arial" w:hAnsi="Arial"/>
          <w:sz w:val="20"/>
          <w:szCs w:val="20"/>
          <w:color w:val="auto"/>
        </w:rPr>
        <w:t>All subjects who have completed the 24-week repeat dose portion of the study have elected to roll-over into a long-term open-label extension study.</w:t>
      </w:r>
    </w:p>
    <w:p>
      <w:pPr>
        <w:spacing w:after="0" w:line="209" w:lineRule="exact"/>
        <w:rPr>
          <w:rFonts w:ascii="Courier New" w:cs="Courier New" w:eastAsia="Courier New" w:hAnsi="Courier New"/>
          <w:sz w:val="20"/>
          <w:szCs w:val="20"/>
          <w:color w:val="auto"/>
        </w:rPr>
      </w:pPr>
    </w:p>
    <w:p>
      <w:pPr>
        <w:ind w:left="660" w:right="260" w:hanging="328"/>
        <w:spacing w:after="0" w:line="25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Start-up activities have begun for the ACTION Study, Palladio Biosciences' global Phase 3 registrational study of lixivaptan in autosomal dominant polycystic kidney disease (ADPKD)</w:t>
      </w:r>
    </w:p>
    <w:p>
      <w:pPr>
        <w:ind w:left="980" w:right="20" w:hanging="324"/>
        <w:spacing w:after="0" w:line="237" w:lineRule="auto"/>
        <w:tabs>
          <w:tab w:leader="none" w:pos="977" w:val="left"/>
        </w:tabs>
        <w:numPr>
          <w:ilvl w:val="1"/>
          <w:numId w:val="6"/>
        </w:numPr>
        <w:rPr>
          <w:rFonts w:ascii="Courier New" w:cs="Courier New" w:eastAsia="Courier New" w:hAnsi="Courier New"/>
          <w:sz w:val="20"/>
          <w:szCs w:val="20"/>
          <w:color w:val="auto"/>
        </w:rPr>
      </w:pPr>
      <w:r>
        <w:rPr>
          <w:rFonts w:ascii="Arial" w:cs="Arial" w:eastAsia="Arial" w:hAnsi="Arial"/>
          <w:sz w:val="20"/>
          <w:szCs w:val="20"/>
          <w:color w:val="auto"/>
        </w:rPr>
        <w:t>Lixivaptan, a vasopressin V2 receptor antagonist, is being investigated as a potential best-in-class therapy in patients with ADPKD.</w:t>
      </w:r>
    </w:p>
    <w:p>
      <w:pPr>
        <w:ind w:left="980" w:hanging="324"/>
        <w:spacing w:after="0" w:line="229" w:lineRule="auto"/>
        <w:tabs>
          <w:tab w:leader="none" w:pos="980" w:val="left"/>
        </w:tabs>
        <w:numPr>
          <w:ilvl w:val="1"/>
          <w:numId w:val="6"/>
        </w:numPr>
        <w:rPr>
          <w:rFonts w:ascii="Courier New" w:cs="Courier New" w:eastAsia="Courier New" w:hAnsi="Courier New"/>
          <w:sz w:val="20"/>
          <w:szCs w:val="20"/>
          <w:color w:val="auto"/>
        </w:rPr>
      </w:pPr>
      <w:r>
        <w:rPr>
          <w:rFonts w:ascii="Arial" w:cs="Arial" w:eastAsia="Arial" w:hAnsi="Arial"/>
          <w:sz w:val="20"/>
          <w:szCs w:val="20"/>
          <w:color w:val="auto"/>
        </w:rPr>
        <w:t>The Company anticipates dosing the first patient in the registrational ACTION Study in the first quarter of 2022.</w:t>
      </w:r>
    </w:p>
    <w:p>
      <w:pPr>
        <w:spacing w:after="0" w:line="6" w:lineRule="exact"/>
        <w:rPr>
          <w:rFonts w:ascii="Courier New" w:cs="Courier New" w:eastAsia="Courier New" w:hAnsi="Courier New"/>
          <w:sz w:val="20"/>
          <w:szCs w:val="20"/>
          <w:color w:val="auto"/>
        </w:rPr>
      </w:pPr>
    </w:p>
    <w:p>
      <w:pPr>
        <w:ind w:left="980" w:right="540" w:hanging="324"/>
        <w:spacing w:after="0" w:line="257" w:lineRule="auto"/>
        <w:tabs>
          <w:tab w:leader="none" w:pos="941"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Company expects to report ongoing safety data from the initial subjects in the open-label ALERT Study of patients who previously discontinued JYNARQUE® (tolvaptan) due to liver toxicity in the fourth quarter of 2021.</w:t>
      </w:r>
    </w:p>
    <w:p>
      <w:pPr>
        <w:spacing w:after="0" w:line="183" w:lineRule="exact"/>
        <w:rPr>
          <w:rFonts w:ascii="Arial" w:cs="Arial" w:eastAsia="Arial" w:hAnsi="Arial"/>
          <w:sz w:val="19"/>
          <w:szCs w:val="19"/>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Phase 1 data from Z Factor’s study evaluating ZF874 for the treatment of alpha-1-antitrypsin deficiency (AATD)</w:t>
      </w:r>
    </w:p>
    <w:p>
      <w:pPr>
        <w:spacing w:after="0" w:line="23" w:lineRule="exact"/>
        <w:rPr>
          <w:rFonts w:ascii="Arial" w:cs="Arial" w:eastAsia="Arial" w:hAnsi="Arial"/>
          <w:sz w:val="20"/>
          <w:szCs w:val="20"/>
          <w:color w:val="auto"/>
        </w:rPr>
      </w:pPr>
    </w:p>
    <w:p>
      <w:pPr>
        <w:ind w:left="980" w:right="60" w:hanging="324"/>
        <w:spacing w:after="0" w:line="238" w:lineRule="auto"/>
        <w:tabs>
          <w:tab w:leader="none" w:pos="977" w:val="left"/>
        </w:tabs>
        <w:numPr>
          <w:ilvl w:val="1"/>
          <w:numId w:val="6"/>
        </w:numPr>
        <w:rPr>
          <w:rFonts w:ascii="Courier New" w:cs="Courier New" w:eastAsia="Courier New" w:hAnsi="Courier New"/>
          <w:sz w:val="20"/>
          <w:szCs w:val="20"/>
          <w:color w:val="auto"/>
        </w:rPr>
      </w:pPr>
      <w:r>
        <w:rPr>
          <w:rFonts w:ascii="Arial" w:cs="Arial" w:eastAsia="Arial" w:hAnsi="Arial"/>
          <w:sz w:val="20"/>
          <w:szCs w:val="20"/>
          <w:color w:val="auto"/>
        </w:rPr>
        <w:t>ZF874, a small molecule folding corrector of the Z variant of alpha-1-antitrypsin, is designed to increase serum levels of alpha-1-antitrypsin and reduce liver polymer burden to treat or prevent associated lung and liver disease manifestations associated with AATD.</w:t>
      </w:r>
    </w:p>
    <w:p>
      <w:pPr>
        <w:ind w:left="980" w:right="280" w:hanging="324"/>
        <w:spacing w:after="0" w:line="242" w:lineRule="auto"/>
        <w:tabs>
          <w:tab w:leader="none" w:pos="977" w:val="left"/>
        </w:tabs>
        <w:numPr>
          <w:ilvl w:val="1"/>
          <w:numId w:val="6"/>
        </w:numPr>
        <w:rPr>
          <w:rFonts w:ascii="Courier New" w:cs="Courier New" w:eastAsia="Courier New" w:hAnsi="Courier New"/>
          <w:sz w:val="20"/>
          <w:szCs w:val="20"/>
          <w:color w:val="auto"/>
        </w:rPr>
      </w:pPr>
      <w:r>
        <w:rPr>
          <w:rFonts w:ascii="Arial" w:cs="Arial" w:eastAsia="Arial" w:hAnsi="Arial"/>
          <w:sz w:val="20"/>
          <w:szCs w:val="20"/>
          <w:color w:val="auto"/>
        </w:rPr>
        <w:t>The Company anticipates providing an update from an ongoing 28-day repeat dose Phase 1 study in subjects with PiXZ genotype by the end of 2021.</w:t>
      </w:r>
    </w:p>
    <w:p>
      <w:pPr>
        <w:spacing w:after="0" w:line="209"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Phase 2 trial initiation with Pega-One’s imgatuzumab in advanced cutaneous squamous cell carcinoma (CSCC)</w:t>
      </w:r>
    </w:p>
    <w:p>
      <w:pPr>
        <w:spacing w:after="0" w:line="23" w:lineRule="exact"/>
        <w:rPr>
          <w:rFonts w:ascii="Arial" w:cs="Arial" w:eastAsia="Arial" w:hAnsi="Arial"/>
          <w:sz w:val="20"/>
          <w:szCs w:val="20"/>
          <w:color w:val="auto"/>
        </w:rPr>
      </w:pPr>
    </w:p>
    <w:p>
      <w:pPr>
        <w:ind w:left="980" w:right="220" w:hanging="324"/>
        <w:spacing w:after="0" w:line="238" w:lineRule="auto"/>
        <w:tabs>
          <w:tab w:leader="none" w:pos="977" w:val="left"/>
        </w:tabs>
        <w:numPr>
          <w:ilvl w:val="1"/>
          <w:numId w:val="6"/>
        </w:numPr>
        <w:rPr>
          <w:rFonts w:ascii="Courier New" w:cs="Courier New" w:eastAsia="Courier New" w:hAnsi="Courier New"/>
          <w:sz w:val="20"/>
          <w:szCs w:val="20"/>
          <w:color w:val="auto"/>
        </w:rPr>
      </w:pPr>
      <w:r>
        <w:rPr>
          <w:rFonts w:ascii="Arial" w:cs="Arial" w:eastAsia="Arial" w:hAnsi="Arial"/>
          <w:sz w:val="20"/>
          <w:szCs w:val="20"/>
          <w:color w:val="auto"/>
        </w:rPr>
        <w:t>Imgatuzumab, a non-fucosylated epidermal growth factor receptor (EGFR) targeting monoclonal antibody (mAb), is being investigated as a next-generation EGFR agent with enhanced Antibody-Dependent Cellular Cytotoxicity (ADCC) and Antibody-Dependent Cellular Phagocytosis (ADCP) properties to potentially address CSCC.</w:t>
      </w:r>
    </w:p>
    <w:p>
      <w:pPr>
        <w:ind w:left="980" w:right="160" w:hanging="324"/>
        <w:spacing w:after="0" w:line="242" w:lineRule="auto"/>
        <w:tabs>
          <w:tab w:leader="none" w:pos="977" w:val="left"/>
        </w:tabs>
        <w:numPr>
          <w:ilvl w:val="1"/>
          <w:numId w:val="6"/>
        </w:numPr>
        <w:rPr>
          <w:rFonts w:ascii="Courier New" w:cs="Courier New" w:eastAsia="Courier New" w:hAnsi="Courier New"/>
          <w:sz w:val="20"/>
          <w:szCs w:val="20"/>
          <w:color w:val="auto"/>
        </w:rPr>
      </w:pPr>
      <w:r>
        <w:rPr>
          <w:rFonts w:ascii="Arial" w:cs="Arial" w:eastAsia="Arial" w:hAnsi="Arial"/>
          <w:sz w:val="20"/>
          <w:szCs w:val="20"/>
          <w:color w:val="auto"/>
        </w:rPr>
        <w:t>The Company expects to initiate an open label, single arm, Phase 2 trial of imgatuzumab in advanced CSCC by the end of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243"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were $613.8 million as of June 30, 2021, compared to $ 7.2 million for the Centessa</w:t>
      </w:r>
      <w:r>
        <w:rPr>
          <w:rFonts w:ascii="Arial" w:cs="Arial" w:eastAsia="Arial" w:hAnsi="Arial"/>
          <w:sz w:val="20"/>
          <w:szCs w:val="20"/>
          <w:b w:val="1"/>
          <w:bCs w:val="1"/>
          <w:color w:val="auto"/>
        </w:rPr>
        <w:t xml:space="preserve"> </w:t>
      </w:r>
      <w:r>
        <w:rPr>
          <w:rFonts w:ascii="Arial" w:cs="Arial" w:eastAsia="Arial" w:hAnsi="Arial"/>
          <w:sz w:val="20"/>
          <w:szCs w:val="20"/>
          <w:color w:val="auto"/>
        </w:rPr>
        <w:t>Predecessor Group (comprised of Z Factor Limited, LockBody Therapeutics Ltd, and Morphogen-IX Limited, three of the Centessa Subsidiaries acquired in January 2021) as of December 31, 2020. The increase in cash resulted from $344.1 million in net proceeds from the Company’s initial public offering completed in June 2021, and the full exercise of the underwriters’ option to purchase additional shares, $241.6 million in net proceeds from the Company’s Series A financing completed in January 2021, and cash contributed upon the acquisition of the additional Centessa Subsidiaries, net of cash used during the period. Based on the current, non-risk-adjusted operating plan, the Company expects the cash and cash equivalents as of June 30, 2021, to fund its operations until the end of 2023.</w:t>
      </w:r>
    </w:p>
    <w:p>
      <w:pPr>
        <w:spacing w:after="0" w:line="227"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color w:val="auto"/>
        </w:rPr>
        <w:t xml:space="preserve">Research &amp; Development (R&amp;D) Expenses: </w:t>
      </w:r>
      <w:r>
        <w:rPr>
          <w:rFonts w:ascii="Arial" w:cs="Arial" w:eastAsia="Arial" w:hAnsi="Arial"/>
          <w:sz w:val="20"/>
          <w:szCs w:val="20"/>
          <w:color w:val="auto"/>
        </w:rPr>
        <w:t>R&amp;D expenses for the Company for the three months ended June 30, 2021, were</w:t>
      </w:r>
      <w:r>
        <w:rPr>
          <w:rFonts w:ascii="Arial" w:cs="Arial" w:eastAsia="Arial" w:hAnsi="Arial"/>
          <w:sz w:val="20"/>
          <w:szCs w:val="20"/>
          <w:b w:val="1"/>
          <w:bCs w:val="1"/>
          <w:color w:val="auto"/>
        </w:rPr>
        <w:t xml:space="preserve"> </w:t>
      </w:r>
      <w:r>
        <w:rPr>
          <w:rFonts w:ascii="Arial" w:cs="Arial" w:eastAsia="Arial" w:hAnsi="Arial"/>
          <w:sz w:val="20"/>
          <w:szCs w:val="20"/>
          <w:color w:val="auto"/>
        </w:rPr>
        <w:t>$18.1 million, compared to $1.9 million for the Centessa Predecessor Group during the three months ended June 30, 2020. The $16.2 million increase is primarily attributable to the growth in the portfolio of product candidates under development following the acquisition of the Centessa Subsidiaries in January 2021, as well as increased spending in the Centessa Predecessor Group.</w:t>
      </w:r>
    </w:p>
    <w:p>
      <w:pPr>
        <w:sectPr>
          <w:pgSz w:w="11900" w:h="16838" w:orient="portrait"/>
          <w:cols w:equalWidth="0" w:num="1">
            <w:col w:w="11240"/>
          </w:cols>
          <w:pgMar w:left="320" w:top="1270" w:right="339" w:bottom="1440" w:gutter="0" w:footer="0" w:header="0"/>
        </w:sectPr>
      </w:pPr>
    </w:p>
    <w:bookmarkStart w:id="5" w:name="page6"/>
    <w:bookmarkEnd w:id="5"/>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color w:val="auto"/>
        </w:rPr>
        <w:t xml:space="preserve">General &amp; Administrative (G&amp;A) Expenses: </w:t>
      </w:r>
      <w:r>
        <w:rPr>
          <w:rFonts w:ascii="Arial" w:cs="Arial" w:eastAsia="Arial" w:hAnsi="Arial"/>
          <w:sz w:val="20"/>
          <w:szCs w:val="20"/>
          <w:color w:val="auto"/>
        </w:rPr>
        <w:t>G&amp;A expenses for the Company for the three months ended June 30, 2021. were</w:t>
      </w:r>
      <w:r>
        <w:rPr>
          <w:rFonts w:ascii="Arial" w:cs="Arial" w:eastAsia="Arial" w:hAnsi="Arial"/>
          <w:sz w:val="20"/>
          <w:szCs w:val="20"/>
          <w:b w:val="1"/>
          <w:bCs w:val="1"/>
          <w:color w:val="auto"/>
        </w:rPr>
        <w:t xml:space="preserve"> </w:t>
      </w:r>
      <w:r>
        <w:rPr>
          <w:rFonts w:ascii="Arial" w:cs="Arial" w:eastAsia="Arial" w:hAnsi="Arial"/>
          <w:sz w:val="20"/>
          <w:szCs w:val="20"/>
          <w:color w:val="auto"/>
        </w:rPr>
        <w:t>$11.8 million, compared to $0.3 million for the Centessa Predecessor Group during the three months ended June 30, 2020. The $11.5 million increase is primarily attributable to public company costs, the operating costs of Centessa Pharmaceuticals plc and Centessa Pharmaceutical Inc. including professional fees, personnel costs and share-based compensation expense, and the increase in operating costs resulting from the acquired Centessa Subsidiaries.</w:t>
      </w:r>
    </w:p>
    <w:p>
      <w:pPr>
        <w:spacing w:after="0" w:line="234"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b w:val="1"/>
          <w:bCs w:val="1"/>
          <w:color w:val="auto"/>
        </w:rPr>
        <w:t xml:space="preserve">Change in Fair Value of Contingent Value Rights (CVR): </w:t>
      </w:r>
      <w:r>
        <w:rPr>
          <w:rFonts w:ascii="Arial" w:cs="Arial" w:eastAsia="Arial" w:hAnsi="Arial"/>
          <w:sz w:val="19"/>
          <w:szCs w:val="19"/>
          <w:color w:val="auto"/>
        </w:rPr>
        <w:t>The Company recognized a charge of $11.3 million for the three</w:t>
      </w:r>
      <w:r>
        <w:rPr>
          <w:rFonts w:ascii="Arial" w:cs="Arial" w:eastAsia="Arial" w:hAnsi="Arial"/>
          <w:sz w:val="19"/>
          <w:szCs w:val="19"/>
          <w:b w:val="1"/>
          <w:bCs w:val="1"/>
          <w:color w:val="auto"/>
        </w:rPr>
        <w:t xml:space="preserve"> </w:t>
      </w:r>
      <w:r>
        <w:rPr>
          <w:rFonts w:ascii="Arial" w:cs="Arial" w:eastAsia="Arial" w:hAnsi="Arial"/>
          <w:sz w:val="19"/>
          <w:szCs w:val="19"/>
          <w:color w:val="auto"/>
        </w:rPr>
        <w:t>months ended June 30, 2021, compared to $0.0 million for the three months ended June 30, 2020. The CVR, issued at the time of the acquisition, represents future payments (that will be satisfied through the issuance of Centessa shares) that are contingent upon the dosing of the first patient in a registrational Phase 3 study of Palladio Biosciences’ lixivaptan. The fair value is based on the cumulative probability of achieving this milestone, which increased during the period resulting in the charge.</w:t>
      </w:r>
    </w:p>
    <w:p>
      <w:pPr>
        <w:spacing w:after="0" w:line="193"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attributable to common stockholders for the quarter ended June 30, 2021, was $41.5 million, or $0.65 per</w:t>
      </w:r>
      <w:r>
        <w:rPr>
          <w:rFonts w:ascii="Arial" w:cs="Arial" w:eastAsia="Arial" w:hAnsi="Arial"/>
          <w:sz w:val="20"/>
          <w:szCs w:val="20"/>
          <w:b w:val="1"/>
          <w:bCs w:val="1"/>
          <w:color w:val="auto"/>
        </w:rPr>
        <w:t xml:space="preserve"> </w:t>
      </w:r>
      <w:r>
        <w:rPr>
          <w:rFonts w:ascii="Arial" w:cs="Arial" w:eastAsia="Arial" w:hAnsi="Arial"/>
          <w:sz w:val="20"/>
          <w:szCs w:val="20"/>
          <w:color w:val="auto"/>
        </w:rPr>
        <w:t>share, compared to a net loss of $2.2 million for the Centessa Predecessor Group for the quarter ended 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Centessa Pharmaceuticals</w:t>
      </w:r>
    </w:p>
    <w:p>
      <w:pPr>
        <w:spacing w:after="0" w:line="24"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Centessa Pharmaceuticals plc aims to bring impactful new medicines to patients by combining the strengths of an asset-centric model with the benefits of scale and diversification typical of larger R&amp;D organizations. The asset-centric model refers to a highly specialized, singular-focused company that is led by a team of well-recognized subject matter experts. Centessa’s asset-centric companies’ programs range from discovery-stage to late-stage development and include diverse therapeutic areas such as oncology, hematology, immunology/inflammation, neuroscience, hepatology, pulmonology and nephrology. For more information, visit </w:t>
      </w:r>
      <w:r>
        <w:rPr>
          <w:rFonts w:ascii="Arial" w:cs="Arial" w:eastAsia="Arial" w:hAnsi="Arial"/>
          <w:sz w:val="20"/>
          <w:szCs w:val="20"/>
          <w:u w:val="single" w:color="auto"/>
          <w:color w:val="0094FF"/>
        </w:rPr>
        <w:t>www.centessa.com</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 Looking Statements</w:t>
      </w:r>
    </w:p>
    <w:p>
      <w:pPr>
        <w:spacing w:after="0" w:line="24"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highlight w:val="white"/>
        </w:rPr>
        <w:t>This press release contains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including statements related to the Company’s ability to deliver impactful medicines to patients; the ability of our key executives to drive execution of the Company’s portfolio of programs; our asset-centric business model and the intended advantages and benefits thereof; research and clinical development plans; the scope, progress, results and costs of developing our product candidates or any other future product candidates; strategy; regulatory matters, including the timing and likelihood of success of obtaining approvals to initiate or continue clinical trials or market any products; market size and opportunity; our ability to</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highlight w:val="white"/>
        </w:rPr>
        <w:t xml:space="preserve">complete certain milestones; and </w:t>
      </w:r>
      <w:r>
        <w:rPr>
          <w:rFonts w:ascii="Arial" w:cs="Arial" w:eastAsia="Arial" w:hAnsi="Arial"/>
          <w:sz w:val="21"/>
          <w:szCs w:val="21"/>
          <w:color w:val="auto"/>
        </w:rPr>
        <w:t>our</w:t>
      </w:r>
      <w:r>
        <w:rPr>
          <w:rFonts w:ascii="Arial" w:cs="Arial" w:eastAsia="Arial" w:hAnsi="Arial"/>
          <w:sz w:val="20"/>
          <w:szCs w:val="20"/>
          <w:color w:val="auto"/>
          <w:highlight w:val="white"/>
        </w:rPr>
        <w:t xml:space="preserve"> current cash position and runway.</w:t>
      </w:r>
    </w:p>
    <w:p>
      <w:pPr>
        <w:spacing w:after="0" w:line="247"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highlight w:val="white"/>
        </w:rPr>
        <w:t>Any forward-looking statements in this press release are based on our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related to our ability to protect and maintain our intellectual property position; business, regulatory, economic and competitive risks, uncertainties, contingencies and assumptions about the Company; risks</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highlight w:val="white"/>
        </w:rPr>
        <w:t xml:space="preserve">inherent in developing products and technologies; future results from our ongoing and planned clinical trials; our ability to obtain adequate financing to fund our planned clinical trials and other expenses; trends in the industry; the legal and regulatory framework for the industry; </w:t>
      </w:r>
      <w:r>
        <w:rPr>
          <w:rFonts w:ascii="Arial" w:cs="Arial" w:eastAsia="Arial" w:hAnsi="Arial"/>
          <w:sz w:val="20"/>
          <w:szCs w:val="20"/>
          <w:color w:val="auto"/>
        </w:rPr>
        <w:t>future expenditures risks related to our asset-centric corporate model; the</w:t>
      </w:r>
      <w:r>
        <w:rPr>
          <w:rFonts w:ascii="Arial" w:cs="Arial" w:eastAsia="Arial" w:hAnsi="Arial"/>
          <w:sz w:val="20"/>
          <w:szCs w:val="20"/>
          <w:color w:val="auto"/>
          <w:highlight w:val="white"/>
        </w:rPr>
        <w:t xml:space="preserve"> risk that any one or more of our product candidates will not be successfully developed and commercialized; the risk that the results of preclinical studies or clinical studies will not be predictive of future results in connection with future studies; and risks related to the COVID-19 pandemic including the effects of the Delta variant. These and other risks </w:t>
      </w:r>
      <w:r>
        <w:rPr>
          <w:rFonts w:ascii="Arial" w:cs="Arial" w:eastAsia="Arial" w:hAnsi="Arial"/>
          <w:sz w:val="20"/>
          <w:szCs w:val="20"/>
          <w:color w:val="auto"/>
        </w:rPr>
        <w:t>concerning our programs and operations are</w:t>
      </w:r>
      <w:r>
        <w:rPr>
          <w:rFonts w:ascii="Arial" w:cs="Arial" w:eastAsia="Arial" w:hAnsi="Arial"/>
          <w:sz w:val="20"/>
          <w:szCs w:val="20"/>
          <w:color w:val="auto"/>
          <w:highlight w:val="white"/>
        </w:rPr>
        <w:t xml:space="preserve"> </w:t>
      </w:r>
      <w:r>
        <w:rPr>
          <w:rFonts w:ascii="Arial" w:cs="Arial" w:eastAsia="Arial" w:hAnsi="Arial"/>
          <w:sz w:val="20"/>
          <w:szCs w:val="20"/>
          <w:color w:val="auto"/>
        </w:rPr>
        <w:t xml:space="preserve">described in additional detail in our registration statement on Form S-1 and our other reports, which are on file with the SEC. We explicitly disclaim any obligation to update any forward-looking statements </w:t>
      </w:r>
      <w:r>
        <w:rPr>
          <w:rFonts w:ascii="Arial" w:cs="Arial" w:eastAsia="Arial" w:hAnsi="Arial"/>
          <w:sz w:val="20"/>
          <w:szCs w:val="20"/>
          <w:color w:val="auto"/>
          <w:highlight w:val="white"/>
        </w:rPr>
        <w:t>except to the extent required by law.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gridSpan w:val="2"/>
            <w:shd w:val="clear" w:color="auto" w:fill="FEFEFE"/>
          </w:tcPr>
          <w:p>
            <w:pPr>
              <w:spacing w:after="0"/>
              <w:rPr>
                <w:sz w:val="20"/>
                <w:szCs w:val="20"/>
                <w:color w:val="auto"/>
              </w:rPr>
            </w:pPr>
            <w:r>
              <w:rPr>
                <w:rFonts w:ascii="Arial" w:cs="Arial" w:eastAsia="Arial" w:hAnsi="Arial"/>
                <w:sz w:val="20"/>
                <w:szCs w:val="20"/>
                <w:b w:val="1"/>
                <w:bCs w:val="1"/>
                <w:color w:val="auto"/>
                <w:highlight w:val="white"/>
                <w:w w:val="97"/>
              </w:rPr>
              <w:t>Contacts:</w:t>
            </w:r>
          </w:p>
        </w:tc>
        <w:tc>
          <w:tcPr>
            <w:tcW w:w="1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544"/>
        </w:trPr>
        <w:tc>
          <w:tcPr>
            <w:tcW w:w="20" w:type="dxa"/>
            <w:vAlign w:val="bottom"/>
          </w:tcPr>
          <w:p>
            <w:pPr>
              <w:spacing w:after="0"/>
              <w:rPr>
                <w:sz w:val="24"/>
                <w:szCs w:val="24"/>
                <w:color w:val="auto"/>
              </w:rPr>
            </w:pPr>
          </w:p>
        </w:tc>
        <w:tc>
          <w:tcPr>
            <w:tcW w:w="4380" w:type="dxa"/>
            <w:vAlign w:val="bottom"/>
            <w:gridSpan w:val="3"/>
          </w:tcPr>
          <w:p>
            <w:pPr>
              <w:ind w:left="60"/>
              <w:spacing w:after="0"/>
              <w:rPr>
                <w:sz w:val="20"/>
                <w:szCs w:val="20"/>
                <w:color w:val="auto"/>
              </w:rPr>
            </w:pPr>
            <w:r>
              <w:rPr>
                <w:rFonts w:ascii="Arial" w:cs="Arial" w:eastAsia="Arial" w:hAnsi="Arial"/>
                <w:sz w:val="20"/>
                <w:szCs w:val="20"/>
                <w:b w:val="1"/>
                <w:bCs w:val="1"/>
                <w:color w:val="auto"/>
              </w:rPr>
              <w:t>Investor Contact:</w:t>
            </w: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b w:val="1"/>
                <w:bCs w:val="1"/>
                <w:color w:val="auto"/>
              </w:rPr>
              <w:t>Media Contacts:</w:t>
            </w:r>
          </w:p>
        </w:tc>
      </w:tr>
      <w:tr>
        <w:trPr>
          <w:trHeight w:val="283"/>
        </w:trPr>
        <w:tc>
          <w:tcPr>
            <w:tcW w:w="20" w:type="dxa"/>
            <w:vAlign w:val="bottom"/>
          </w:tcPr>
          <w:p>
            <w:pPr>
              <w:spacing w:after="0"/>
              <w:rPr>
                <w:sz w:val="24"/>
                <w:szCs w:val="24"/>
                <w:color w:val="auto"/>
              </w:rPr>
            </w:pPr>
          </w:p>
        </w:tc>
        <w:tc>
          <w:tcPr>
            <w:tcW w:w="4380" w:type="dxa"/>
            <w:vAlign w:val="bottom"/>
            <w:gridSpan w:val="3"/>
          </w:tcPr>
          <w:p>
            <w:pPr>
              <w:ind w:left="60"/>
              <w:spacing w:after="0"/>
              <w:rPr>
                <w:sz w:val="20"/>
                <w:szCs w:val="20"/>
                <w:color w:val="auto"/>
              </w:rPr>
            </w:pPr>
            <w:r>
              <w:rPr>
                <w:rFonts w:ascii="Arial" w:cs="Arial" w:eastAsia="Arial" w:hAnsi="Arial"/>
                <w:sz w:val="20"/>
                <w:szCs w:val="20"/>
                <w:color w:val="auto"/>
              </w:rPr>
              <w:t>Jennifer Porcelli, Head of Investor Relations</w:t>
            </w: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b w:val="1"/>
                <w:bCs w:val="1"/>
                <w:i w:val="1"/>
                <w:iCs w:val="1"/>
                <w:color w:val="auto"/>
              </w:rPr>
              <w:t>US</w:t>
            </w:r>
          </w:p>
        </w:tc>
      </w:tr>
      <w:tr>
        <w:trPr>
          <w:trHeight w:val="283"/>
        </w:trPr>
        <w:tc>
          <w:tcPr>
            <w:tcW w:w="20" w:type="dxa"/>
            <w:vAlign w:val="bottom"/>
          </w:tcPr>
          <w:p>
            <w:pPr>
              <w:spacing w:after="0"/>
              <w:rPr>
                <w:sz w:val="24"/>
                <w:szCs w:val="24"/>
                <w:color w:val="auto"/>
              </w:rPr>
            </w:pPr>
          </w:p>
        </w:tc>
        <w:tc>
          <w:tcPr>
            <w:tcW w:w="4380" w:type="dxa"/>
            <w:vAlign w:val="bottom"/>
            <w:gridSpan w:val="3"/>
          </w:tcPr>
          <w:p>
            <w:pPr>
              <w:ind w:left="60"/>
              <w:spacing w:after="0"/>
              <w:rPr>
                <w:sz w:val="20"/>
                <w:szCs w:val="20"/>
                <w:color w:val="auto"/>
              </w:rPr>
            </w:pPr>
            <w:r>
              <w:rPr>
                <w:rFonts w:ascii="Arial" w:cs="Arial" w:eastAsia="Arial" w:hAnsi="Arial"/>
                <w:sz w:val="20"/>
                <w:szCs w:val="20"/>
                <w:color w:val="auto"/>
              </w:rPr>
              <w:t>Centessa Pharmaceuticals</w:t>
            </w: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color w:val="auto"/>
              </w:rPr>
              <w:t>Dan Budwick, 1AB</w:t>
            </w:r>
          </w:p>
        </w:tc>
      </w:tr>
      <w:tr>
        <w:trPr>
          <w:trHeight w:val="226"/>
        </w:trPr>
        <w:tc>
          <w:tcPr>
            <w:tcW w:w="20" w:type="dxa"/>
            <w:vAlign w:val="bottom"/>
          </w:tcPr>
          <w:p>
            <w:pPr>
              <w:spacing w:after="0"/>
              <w:rPr>
                <w:sz w:val="19"/>
                <w:szCs w:val="19"/>
                <w:color w:val="auto"/>
              </w:rPr>
            </w:pPr>
          </w:p>
        </w:tc>
        <w:tc>
          <w:tcPr>
            <w:tcW w:w="2500" w:type="dxa"/>
            <w:vAlign w:val="bottom"/>
            <w:tcBorders>
              <w:bottom w:val="single" w:sz="8" w:color="40AEFF"/>
            </w:tcBorders>
            <w:gridSpan w:val="2"/>
          </w:tcPr>
          <w:p>
            <w:pPr>
              <w:spacing w:after="0"/>
              <w:rPr>
                <w:sz w:val="20"/>
                <w:szCs w:val="20"/>
                <w:color w:val="auto"/>
              </w:rPr>
            </w:pPr>
            <w:r>
              <w:rPr>
                <w:rFonts w:ascii="Arial" w:cs="Arial" w:eastAsia="Arial" w:hAnsi="Arial"/>
                <w:sz w:val="18"/>
                <w:szCs w:val="18"/>
                <w:color w:val="40AEFF"/>
                <w:w w:val="99"/>
              </w:rPr>
              <w:t>jennifer.porcelli@centessa.com</w:t>
            </w:r>
          </w:p>
        </w:tc>
        <w:tc>
          <w:tcPr>
            <w:tcW w:w="1880" w:type="dxa"/>
            <w:vAlign w:val="bottom"/>
          </w:tcPr>
          <w:p>
            <w:pPr>
              <w:spacing w:after="0"/>
              <w:rPr>
                <w:sz w:val="19"/>
                <w:szCs w:val="19"/>
                <w:color w:val="auto"/>
              </w:rPr>
            </w:pPr>
          </w:p>
        </w:tc>
        <w:tc>
          <w:tcPr>
            <w:tcW w:w="1720" w:type="dxa"/>
            <w:vAlign w:val="bottom"/>
            <w:tcBorders>
              <w:bottom w:val="single" w:sz="8" w:color="40AEFF"/>
            </w:tcBorders>
            <w:gridSpan w:val="3"/>
          </w:tcPr>
          <w:p>
            <w:pPr>
              <w:spacing w:after="0"/>
              <w:rPr>
                <w:sz w:val="20"/>
                <w:szCs w:val="20"/>
                <w:color w:val="auto"/>
              </w:rPr>
            </w:pPr>
            <w:r>
              <w:rPr>
                <w:rFonts w:ascii="Arial" w:cs="Arial" w:eastAsia="Arial" w:hAnsi="Arial"/>
                <w:sz w:val="18"/>
                <w:szCs w:val="18"/>
                <w:color w:val="40AEFF"/>
              </w:rPr>
              <w:t>dan@1abmedia.com</w:t>
            </w:r>
          </w:p>
        </w:tc>
        <w:tc>
          <w:tcPr>
            <w:tcW w:w="4260" w:type="dxa"/>
            <w:vAlign w:val="bottom"/>
            <w:gridSpan w:val="2"/>
          </w:tcPr>
          <w:p>
            <w:pPr>
              <w:spacing w:after="0"/>
              <w:rPr>
                <w:sz w:val="19"/>
                <w:szCs w:val="19"/>
                <w:color w:val="auto"/>
              </w:rPr>
            </w:pPr>
          </w:p>
        </w:tc>
      </w:tr>
      <w:tr>
        <w:trPr>
          <w:trHeight w:val="5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b w:val="1"/>
                <w:bCs w:val="1"/>
                <w:i w:val="1"/>
                <w:iCs w:val="1"/>
                <w:color w:val="444444"/>
              </w:rPr>
              <w:t>UK/Greater Europe</w:t>
            </w:r>
          </w:p>
        </w:tc>
      </w:tr>
      <w:tr>
        <w:trPr>
          <w:trHeight w:val="28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color w:val="444444"/>
                <w:w w:val="98"/>
              </w:rPr>
              <w:t>Mary Clark &amp; Shabnam Bashir, Optimum Strategic Communications</w:t>
            </w:r>
          </w:p>
        </w:tc>
      </w:tr>
      <w:tr>
        <w:trPr>
          <w:trHeight w:val="239"/>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80" w:type="dxa"/>
            <w:vAlign w:val="bottom"/>
            <w:tcBorders>
              <w:bottom w:val="single" w:sz="8" w:color="40AEFF"/>
            </w:tcBorders>
            <w:gridSpan w:val="3"/>
          </w:tcPr>
          <w:p>
            <w:pPr>
              <w:spacing w:after="0"/>
              <w:rPr>
                <w:sz w:val="20"/>
                <w:szCs w:val="20"/>
                <w:color w:val="auto"/>
              </w:rPr>
            </w:pPr>
            <w:r>
              <w:rPr>
                <w:rFonts w:ascii="Arial" w:cs="Arial" w:eastAsia="Arial" w:hAnsi="Arial"/>
                <w:sz w:val="20"/>
                <w:szCs w:val="20"/>
                <w:color w:val="40AEFF"/>
              </w:rPr>
              <w:t>centessa@optimumcomms.com</w:t>
            </w:r>
          </w:p>
        </w:tc>
        <w:tc>
          <w:tcPr>
            <w:tcW w:w="3060" w:type="dxa"/>
            <w:vAlign w:val="bottom"/>
          </w:tcPr>
          <w:p>
            <w:pPr>
              <w:spacing w:after="0"/>
              <w:rPr>
                <w:sz w:val="20"/>
                <w:szCs w:val="20"/>
                <w:color w:val="auto"/>
              </w:rPr>
            </w:pPr>
          </w:p>
        </w:tc>
      </w:tr>
      <w:tr>
        <w:trPr>
          <w:trHeight w:val="5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b w:val="1"/>
                <w:bCs w:val="1"/>
                <w:i w:val="1"/>
                <w:iCs w:val="1"/>
                <w:color w:val="444444"/>
              </w:rPr>
              <w:t>Switzerland</w:t>
            </w:r>
          </w:p>
        </w:tc>
      </w:tr>
      <w:tr>
        <w:trPr>
          <w:trHeight w:val="28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color w:val="444444"/>
              </w:rPr>
              <w:t>Marcus Veith, VEITHing Spirit</w:t>
            </w:r>
          </w:p>
        </w:tc>
      </w:tr>
      <w:tr>
        <w:trPr>
          <w:trHeight w:val="239"/>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Borders>
              <w:bottom w:val="single" w:sz="8" w:color="40AEFF"/>
            </w:tcBorders>
          </w:tcPr>
          <w:p>
            <w:pPr>
              <w:spacing w:after="0"/>
              <w:rPr>
                <w:sz w:val="20"/>
                <w:szCs w:val="20"/>
                <w:color w:val="auto"/>
              </w:rPr>
            </w:pPr>
            <w:r>
              <w:rPr>
                <w:rFonts w:ascii="Arial" w:cs="Arial" w:eastAsia="Arial" w:hAnsi="Arial"/>
                <w:sz w:val="20"/>
                <w:szCs w:val="20"/>
                <w:color w:val="40AEFF"/>
                <w:w w:val="98"/>
              </w:rPr>
              <w:t>marcus@vspirit.ch</w:t>
            </w:r>
          </w:p>
        </w:tc>
        <w:tc>
          <w:tcPr>
            <w:tcW w:w="4300" w:type="dxa"/>
            <w:vAlign w:val="bottom"/>
            <w:gridSpan w:val="3"/>
          </w:tcPr>
          <w:p>
            <w:pPr>
              <w:spacing w:after="0"/>
              <w:rPr>
                <w:sz w:val="20"/>
                <w:szCs w:val="20"/>
                <w:color w:val="auto"/>
              </w:rPr>
            </w:pPr>
          </w:p>
        </w:tc>
      </w:tr>
      <w:tr>
        <w:trPr>
          <w:trHeight w:val="30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20"/>
                <w:szCs w:val="20"/>
                <w:color w:val="444444"/>
              </w:rPr>
              <w:t>M: +41 79 20 75 111</w:t>
            </w:r>
          </w:p>
        </w:tc>
      </w:tr>
    </w:tbl>
    <w:p>
      <w:pPr>
        <w:sectPr>
          <w:pgSz w:w="11900" w:h="16838" w:orient="portrait"/>
          <w:cols w:equalWidth="0" w:num="1">
            <w:col w:w="11220"/>
          </w:cols>
          <w:pgMar w:left="320" w:top="127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Centessa Pharmaceuticals plc (Successor) and Centessa Predecessor Group (Predecessor)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Period from</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4"/>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1, 2021</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260" w:type="dxa"/>
            <w:vAlign w:val="bottom"/>
          </w:tcPr>
          <w:p>
            <w:pPr>
              <w:spacing w:after="0"/>
              <w:rPr>
                <w:sz w:val="14"/>
                <w:szCs w:val="14"/>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January 30,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through</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Three months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ended June 30,</w:t>
            </w:r>
          </w:p>
        </w:tc>
        <w:tc>
          <w:tcPr>
            <w:tcW w:w="260" w:type="dxa"/>
            <w:vAlign w:val="bottom"/>
          </w:tcPr>
          <w:p>
            <w:pPr>
              <w:spacing w:after="0"/>
              <w:rPr>
                <w:sz w:val="14"/>
                <w:szCs w:val="14"/>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through 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January 29,</w:t>
            </w:r>
          </w:p>
        </w:tc>
        <w:tc>
          <w:tcPr>
            <w:tcW w:w="22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ended June 30,</w:t>
            </w:r>
          </w:p>
        </w:tc>
        <w:tc>
          <w:tcPr>
            <w:tcW w:w="180" w:type="dxa"/>
            <w:vAlign w:val="bottom"/>
          </w:tcPr>
          <w:p>
            <w:pPr>
              <w:spacing w:after="0"/>
              <w:rPr>
                <w:sz w:val="14"/>
                <w:szCs w:val="14"/>
                <w:color w:val="auto"/>
              </w:rPr>
            </w:pPr>
          </w:p>
        </w:tc>
        <w:tc>
          <w:tcPr>
            <w:tcW w:w="138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6"/>
        </w:trPr>
        <w:tc>
          <w:tcPr>
            <w:tcW w:w="308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3"/>
        </w:trPr>
        <w:tc>
          <w:tcPr>
            <w:tcW w:w="30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value rights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Arial" w:cs="Arial" w:eastAsia="Arial" w:hAnsi="Arial"/>
                <w:sz w:val="18"/>
                <w:szCs w:val="18"/>
                <w:color w:val="auto"/>
              </w:rPr>
              <w:t>Acquired in-process research and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440"/>
              <w:spacing w:after="0"/>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w w:val="91"/>
              </w:rPr>
              <w:t>Foreign currency translation adjustment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loss per ordinary share - basic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ordinary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outstanding - basic and diluted</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63,516,656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57,309,693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8" w:name="page9"/>
    <w:bookmarkEnd w:id="8"/>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Centessa Pharmaceuticals plc (Successor) and Centessa Predecessor Group (Predecessor)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and 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580" w:type="dxa"/>
            <w:vAlign w:val="bottom"/>
          </w:tcPr>
          <w:p>
            <w:pPr>
              <w:jc w:val="right"/>
              <w:ind w:right="76"/>
              <w:spacing w:after="0"/>
              <w:rPr>
                <w:sz w:val="20"/>
                <w:szCs w:val="20"/>
                <w:color w:val="auto"/>
              </w:rPr>
            </w:pPr>
            <w:r>
              <w:rPr>
                <w:rFonts w:ascii="Arial" w:cs="Arial" w:eastAsia="Arial" w:hAnsi="Arial"/>
                <w:sz w:val="14"/>
                <w:szCs w:val="14"/>
                <w:b w:val="1"/>
                <w:bCs w:val="1"/>
                <w:color w:val="auto"/>
              </w:rPr>
              <w:t>Successor</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674"/>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45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Total Assets</w:t>
            </w: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613,759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15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29,998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580" w:type="dxa"/>
            <w:vAlign w:val="bottom"/>
            <w:tcBorders>
              <w:bottom w:val="single" w:sz="8" w:color="auto"/>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643,757</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Liabilities</w:t>
            </w:r>
          </w:p>
        </w:tc>
        <w:tc>
          <w:tcPr>
            <w:tcW w:w="1580" w:type="dxa"/>
            <w:vAlign w:val="bottom"/>
          </w:tcPr>
          <w:p>
            <w:pPr>
              <w:jc w:val="right"/>
              <w:ind w:right="137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24,185</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Contingent value rights</w:t>
            </w:r>
          </w:p>
        </w:tc>
        <w:tc>
          <w:tcPr>
            <w:tcW w:w="15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15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58,115</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Total combined deficit and shareholders' equity</w:t>
            </w:r>
          </w:p>
        </w:tc>
        <w:tc>
          <w:tcPr>
            <w:tcW w:w="1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585,642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combined deficit and shareholders' equity</w:t>
            </w:r>
          </w:p>
        </w:tc>
        <w:tc>
          <w:tcPr>
            <w:tcW w:w="1580" w:type="dxa"/>
            <w:vAlign w:val="bottom"/>
            <w:tcBorders>
              <w:bottom w:val="single" w:sz="8" w:color="auto"/>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643,757</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2021-08-16T06:10:50Z</dcterms:created>
  <dcterms:modified xsi:type="dcterms:W3CDTF">2021-08-16T06:10:50Z</dcterms:modified>
</cp:coreProperties>
</file>