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UK£0.002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152309100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Gosk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General Atlantic Service Company,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 East 52nd Street, 33rd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715-4000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1(f) or 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13d-1(a) for other parties to whom copies are to be sent.</w:t>
      </w:r>
    </w:p>
    <w:p>
      <w:pPr>
        <w:spacing w:after="0" w:line="14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**This CUSIP number applies to Centessa Pharmaceuticals plc.’s American Depositary Shares, each representing one ordinary share.</w:t>
      </w:r>
    </w:p>
    <w:p>
      <w:pPr>
        <w:spacing w:after="0" w:line="18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2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Coöperatief U.A.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The Netherlands</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3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UM B.V.</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The Netherlands</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4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Partners (Bermuda) IV,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5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Partners (Bermuda) EU,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6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Partners (Lux) SCSp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7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GenPar (Lux) SCSp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8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(Lux) S.à r.l.</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9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GenPar (Bermuda),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87"/>
              </w:rPr>
              <w:t>Page 10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GAP (Bermuda) Limited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152309100</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87"/>
              </w:rPr>
              <w:t>Page 11 of 21</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General Atlantic Coöperatief,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9,681,818</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9,681,818</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9,681,818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152309100</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12 of 21</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189" w:lineRule="exact"/>
        <w:rPr>
          <w:sz w:val="20"/>
          <w:szCs w:val="20"/>
          <w:color w:val="auto"/>
        </w:rPr>
      </w:pPr>
    </w:p>
    <w:p>
      <w:pPr>
        <w:ind w:right="240" w:firstLine="648"/>
        <w:spacing w:after="0" w:line="225" w:lineRule="auto"/>
        <w:rPr>
          <w:sz w:val="20"/>
          <w:szCs w:val="20"/>
          <w:color w:val="auto"/>
        </w:rPr>
      </w:pPr>
      <w:r>
        <w:rPr>
          <w:rFonts w:ascii="Arial" w:cs="Arial" w:eastAsia="Arial" w:hAnsi="Arial"/>
          <w:sz w:val="18"/>
          <w:szCs w:val="18"/>
          <w:color w:val="auto"/>
        </w:rPr>
        <w:t>This Schedule 13D (the “</w:t>
      </w:r>
      <w:r>
        <w:rPr>
          <w:rFonts w:ascii="Arial" w:cs="Arial" w:eastAsia="Arial" w:hAnsi="Arial"/>
          <w:sz w:val="18"/>
          <w:szCs w:val="18"/>
          <w:u w:val="single" w:color="auto"/>
          <w:color w:val="auto"/>
        </w:rPr>
        <w:t>Statement</w:t>
      </w:r>
      <w:r>
        <w:rPr>
          <w:rFonts w:ascii="Arial" w:cs="Arial" w:eastAsia="Arial" w:hAnsi="Arial"/>
          <w:sz w:val="18"/>
          <w:szCs w:val="18"/>
          <w:color w:val="auto"/>
        </w:rPr>
        <w:t>”) relates to the ordinary shares, par value UK£0.002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Centessa Pharmaceuticals plc, a public limited company incorporated in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whose principal executive offices are located at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1 Ashley Road, Altrincham, Cheshire, United Kingdom, WA14 2DT.</w:t>
      </w:r>
    </w:p>
    <w:p>
      <w:pPr>
        <w:spacing w:after="0" w:line="1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Company’s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each representing one ordinary share, are listed on the Nasdaq Global Select Market under the symbol “CNTA.”</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 (f) This Statement is being filed by a “group,” as defined in Rule 13d-5 of the General Rules and Regulations promulgated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Exchange Act. The members of the group are:</w:t>
      </w:r>
    </w:p>
    <w:p>
      <w:pPr>
        <w:spacing w:after="0" w:line="184" w:lineRule="exact"/>
        <w:rPr>
          <w:sz w:val="20"/>
          <w:szCs w:val="20"/>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Coöperatief U.A., a Dutch cooperative association (“GA Coop UA”);</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UM B.V., a Dutch private limited company (“GA UM”);</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Partners (Bermuda) IV, L.P., a Bermuda exempted limited partnership (“</w:t>
      </w:r>
      <w:r>
        <w:rPr>
          <w:rFonts w:ascii="Arial" w:cs="Arial" w:eastAsia="Arial" w:hAnsi="Arial"/>
          <w:sz w:val="18"/>
          <w:szCs w:val="18"/>
          <w:u w:val="single" w:color="auto"/>
          <w:color w:val="auto"/>
        </w:rPr>
        <w:t>GAP Bermuda IV</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Partners (Bermuda) EU, L.P. a Bermuda exempted limited partnership (“</w:t>
      </w:r>
      <w:r>
        <w:rPr>
          <w:rFonts w:ascii="Arial" w:cs="Arial" w:eastAsia="Arial" w:hAnsi="Arial"/>
          <w:sz w:val="18"/>
          <w:szCs w:val="18"/>
          <w:u w:val="single" w:color="auto"/>
          <w:color w:val="auto"/>
        </w:rPr>
        <w:t>GAP Bermuda EU</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Partners (Lux) SCSp, a Luxembourg special limited partnership (“</w:t>
      </w:r>
      <w:r>
        <w:rPr>
          <w:rFonts w:ascii="Arial" w:cs="Arial" w:eastAsia="Arial" w:hAnsi="Arial"/>
          <w:sz w:val="18"/>
          <w:szCs w:val="18"/>
          <w:u w:val="single" w:color="auto"/>
          <w:color w:val="auto"/>
        </w:rPr>
        <w:t>GAP Lux</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Coöperatief, L.P., a Bermuda exempted limited partnership (“GA Coop LP”);</w:t>
      </w:r>
    </w:p>
    <w:p>
      <w:pPr>
        <w:spacing w:after="0" w:line="198"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General Atlantic GenPar (Lux) SCSp, a Luxembourg special limited partnership (“GA </w:t>
      </w:r>
      <w:r>
        <w:rPr>
          <w:rFonts w:ascii="Arial" w:cs="Arial" w:eastAsia="Arial" w:hAnsi="Arial"/>
          <w:sz w:val="18"/>
          <w:szCs w:val="18"/>
          <w:u w:val="single" w:color="auto"/>
          <w:color w:val="auto"/>
        </w:rPr>
        <w:t>GenPar Lux</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(Lux) S.à r.l., a Luxembourg private limited liability company (“</w:t>
      </w:r>
      <w:r>
        <w:rPr>
          <w:rFonts w:ascii="Arial" w:cs="Arial" w:eastAsia="Arial" w:hAnsi="Arial"/>
          <w:sz w:val="18"/>
          <w:szCs w:val="18"/>
          <w:u w:val="single" w:color="auto"/>
          <w:color w:val="auto"/>
        </w:rPr>
        <w:t>GA Lux Sarl</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Atlantic GenPar (Bermuda), L.P., a Bermuda exempted limited partnership (“</w:t>
      </w:r>
      <w:r>
        <w:rPr>
          <w:rFonts w:ascii="Arial" w:cs="Arial" w:eastAsia="Arial" w:hAnsi="Arial"/>
          <w:sz w:val="18"/>
          <w:szCs w:val="18"/>
          <w:u w:val="single" w:color="auto"/>
          <w:color w:val="auto"/>
        </w:rPr>
        <w:t>GenPar Bermuda</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80" w:hanging="724"/>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GAP (Bermuda) Limited, a Bermuda exempted company (“</w:t>
      </w:r>
      <w:r>
        <w:rPr>
          <w:rFonts w:ascii="Arial" w:cs="Arial" w:eastAsia="Arial" w:hAnsi="Arial"/>
          <w:sz w:val="18"/>
          <w:szCs w:val="18"/>
          <w:u w:val="single" w:color="auto"/>
          <w:color w:val="auto"/>
        </w:rPr>
        <w:t>GAP (Bermuda)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the foregoing is referred to as a Reporting Person and collectively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GAP Bermuda IV, GAP Bermuda EU, GAP Lux and GA Coop LP are collectively referred to as the “</w:t>
      </w:r>
      <w:r>
        <w:rPr>
          <w:rFonts w:ascii="Arial" w:cs="Arial" w:eastAsia="Arial" w:hAnsi="Arial"/>
          <w:sz w:val="18"/>
          <w:szCs w:val="18"/>
          <w:u w:val="single" w:color="auto"/>
          <w:color w:val="auto"/>
        </w:rPr>
        <w:t>GA Funds</w:t>
      </w:r>
      <w:r>
        <w:rPr>
          <w:rFonts w:ascii="Arial" w:cs="Arial" w:eastAsia="Arial" w:hAnsi="Arial"/>
          <w:sz w:val="18"/>
          <w:szCs w:val="18"/>
          <w:color w:val="auto"/>
        </w:rPr>
        <w:t>.”</w:t>
      </w:r>
    </w:p>
    <w:p>
      <w:pPr>
        <w:spacing w:after="0" w:line="14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registered address of each of the Reporting Persons (other than GA Coop UA, GA UM, GAP Lux, GA GenPar Lux and GA Lux Sarl) is Clarendon House, 2 Church Street, Hamilton HM 11, Bermuda. The registered address of GA Coop UA and GA UM is Raamplein 1, 1016 XK, Amsterdam, The Netherlands. The registered address of GAP Lux, GA GenPar Lux and GA Lux Sarl is 412F, route d’Esch, L-2086 Luxembourg, Grand Duchy of Luxembourg.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of the Reporting Persons is engaged in acquiring, holding and disposing of interests in various companies for investment purposes.</w:t>
      </w:r>
    </w:p>
    <w:p>
      <w:pPr>
        <w:spacing w:after="0" w:line="19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GA UM is wholly owned by GA Coop UA. The members of GA UM that share beneficial ownership of the ordinary shares held of record by GA UM through Coop UA are the GA Funds. The general partner of GAP Lux is GA GenPar Lux and the general partner of GA GenPar Lux is GA Sarl. The general partner of GAP Bermuda IV and GAP Bermuda EU and the sole shareholder of GA Sarl is GenPar Bermuda. GAP (Bermuda) is the general partner of GenPar Bermuda and GA Coop LP. There are nine members of the management committee of GAP (Bermuda) (the “</w:t>
      </w:r>
      <w:r>
        <w:rPr>
          <w:rFonts w:ascii="Arial" w:cs="Arial" w:eastAsia="Arial" w:hAnsi="Arial"/>
          <w:sz w:val="17"/>
          <w:szCs w:val="17"/>
          <w:u w:val="single" w:color="auto"/>
          <w:color w:val="auto"/>
        </w:rPr>
        <w:t>GA Management Committee</w:t>
      </w:r>
      <w:r>
        <w:rPr>
          <w:rFonts w:ascii="Arial" w:cs="Arial" w:eastAsia="Arial" w:hAnsi="Arial"/>
          <w:sz w:val="17"/>
          <w:szCs w:val="17"/>
          <w:color w:val="auto"/>
        </w:rPr>
        <w:t xml:space="preserve">”) as of the date hereof. Each of the members of the GA Management Committee disclaims ownership of the ordinary shares except to the extent he has a pecuniary interest therein. The information required by General Instruction C to Schedule 13D is attached hereto as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and is hereby incorporated by reference. The present principal occupation or employment of each of the members of the GA Management Committee is as a managing director of General Atlantic LLC, a Delaware limited liability company (“GA LLC”).</w:t>
      </w:r>
    </w:p>
    <w:p>
      <w:pPr>
        <w:spacing w:after="0" w:line="15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(d)-(e) None of the Reporting Persons and none of the individuals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has,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3" w:name="page14"/>
    <w:bookmarkEnd w:id="13"/>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In connection with the closing of the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the Company on June 2, 2021, 8,181,818 Series A preferred shares of the Company held directly by GA UM automatically converted on a one-for-one basis into an equal number of ordinary shares.</w:t>
      </w:r>
    </w:p>
    <w:p>
      <w:pPr>
        <w:spacing w:after="0" w:line="10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GA UM purchased 1,500,000 ADSs at a price of $20 per ADS in the IPO. The funds to purchase the ADSs were obtained from contributions from the GA Funds.</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Reporting Persons acquired the ADSs reported herein for investment purposes. Consistent with such purposes, the Reporting Persons may engage in communications with, without limitation, one or more shareholders of the Company, management of the Company, one or more members of the board of directors of the Company, and may make suggestions concerning the Company’s operations, prospects, business and financial strategies, strategic transactions, assets and liabilities, business and financing alternatives, the composition of the board of directors of the Company and such other matters as the Reporting Persons may deem relevant to their investment in the ordinary shares or the ADSs. The Reporting Persons expect that they will, from time to time, review their investment position in the ADSs or the Company and may, depending on the Company’s performance and other market conditions, increase or decrease their investment position in the ADSs or the ordinary shares. The Reporting Persons may, from time to time, make additional purchases of ADSs or ordinary shares either in the open market or in privately-negotiated transactions, depending upon the Reporting Persons’ evaluation of the Company’s business, prospects and financial condition, the market for the ADSs or the ordinary shares, other opportunities available to the Reporting Persons, general economic conditions, stock market conditions and other factors. Depending upon the factors noted above, the Reporting Persons may also decide to hold or dispose of all or part of their investments in the ADSs or the ordinary shares and/or enter into derivative transactions with institutional counterparties with respect to the Company’s securities, including the ADSs or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4" w:name="page15"/>
    <w:bookmarkEnd w:id="14"/>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Except as set forth in this Item 4 or Item 6 below, the Reporting Persons have no present plans or proposals that relate to, or that would result in, any of the actions specified in clauses (a) through (j) of Item 4 of Schedule 13D of the Exchange Act.</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89" w:lineRule="exact"/>
        <w:rPr>
          <w:sz w:val="20"/>
          <w:szCs w:val="20"/>
          <w:color w:val="auto"/>
        </w:rPr>
      </w:pPr>
    </w:p>
    <w:p>
      <w:pPr>
        <w:ind w:right="140" w:firstLine="656"/>
        <w:spacing w:after="0" w:line="263" w:lineRule="auto"/>
        <w:tabs>
          <w:tab w:leader="none" w:pos="8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percentages used herein are calculated based upon on an aggregate of 89,889,419 ordinary shares issued and outstanding following the closing of the IPO, as reported in the Company’s prospectus filed under Rule 424(b)(4), dated May 27, 2021, filed with the U. 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1, 2021.</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the date hereof, each of the Reporting Persons may be deemed to beneficially own 9,681,818 ordinary shares, or approximately 10.8% of the aggregate 89,889,419 ordinary shares.</w:t>
      </w:r>
    </w:p>
    <w:p>
      <w:pPr>
        <w:spacing w:after="0" w:line="14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By virtue of the fact that (i) GA Coop UA owns all of GA UM’s voting shares, (ii) the GA Funds contributed the capital to GA Coop UA to fund GA UM’s purchases of the ADSs and may direct GA Coop UA with respect to its shares of GA UM, (iii) GAP (Bermuda) is the general partner of GenPar Bermuda and GA Coop LP, and GenPar Bermuda is the general partner of GAP Bermuda IV and GAP Bermuda EU, and is the sole shareholder of GA Sarl, (iv) GA Sarl is the general partner of GA Genpar Lux and GA Genpar Lux is the general partner of GAP Lux, and (v) the members of the GA Management Committee control the investment decisions of GAP (Bermuda), the Reporting Persons may be deemed to have the power to vote and direct the disposition of the ADSs owned of record by GA UM. As a result, as of the date hereof, each of the Reporting Persons may be deemed to beneficially own an aggregate of 9,681,818 ordinary shares, or approximately 10.8% of the aggregate 87,424,419 ordinary shares as described above.</w:t>
      </w:r>
    </w:p>
    <w:p>
      <w:pPr>
        <w:spacing w:after="0" w:line="126" w:lineRule="exact"/>
        <w:rPr>
          <w:sz w:val="20"/>
          <w:szCs w:val="20"/>
          <w:color w:val="auto"/>
        </w:rPr>
      </w:pPr>
    </w:p>
    <w:p>
      <w:pPr>
        <w:ind w:right="20" w:firstLine="656"/>
        <w:spacing w:after="0" w:line="277"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Reporting Persons has the shared power to vote or direct the vote and the shared power to dispose or to direct the disposition of the 9,681,818 ordinary shares that may be deemed to be beneficially owned by each of them.</w:t>
      </w:r>
    </w:p>
    <w:p>
      <w:pPr>
        <w:spacing w:after="0" w:line="129" w:lineRule="exact"/>
        <w:rPr>
          <w:rFonts w:ascii="Arial" w:cs="Arial" w:eastAsia="Arial" w:hAnsi="Arial"/>
          <w:sz w:val="18"/>
          <w:szCs w:val="18"/>
          <w:color w:val="auto"/>
        </w:rPr>
      </w:pPr>
    </w:p>
    <w:p>
      <w:pPr>
        <w:ind w:right="120" w:firstLine="656"/>
        <w:spacing w:after="0" w:line="342"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set forth in Item 3, or otherwise herein, to the knowledge of the Reporting Persons with respect to the persons named in response to Item 5(a), none of the persons named in response to Item 5(a) has effected any transactions in the 9,681,818 ordinary shares during the past 60 days.</w:t>
      </w:r>
    </w:p>
    <w:p>
      <w:pPr>
        <w:spacing w:after="0" w:line="96" w:lineRule="exact"/>
        <w:rPr>
          <w:rFonts w:ascii="Arial" w:cs="Arial" w:eastAsia="Arial" w:hAnsi="Arial"/>
          <w:sz w:val="16"/>
          <w:szCs w:val="16"/>
          <w:color w:val="auto"/>
        </w:rPr>
      </w:pPr>
    </w:p>
    <w:p>
      <w:pPr>
        <w:ind w:right="600" w:firstLine="656"/>
        <w:spacing w:after="0" w:line="277"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person other than the persons listed is known to have the right to receive or the power to direct the receipt of dividends from, or the proceeds from the sale of, any securities owned by any member of the group.</w:t>
      </w:r>
    </w:p>
    <w:p>
      <w:pPr>
        <w:spacing w:after="0" w:line="129"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15" w:name="page16"/>
    <w:bookmarkEnd w:id="15"/>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the Issuer.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disclosed under Item 3 and Item 4 above is hereby incorporated by reference into this Item 6.</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Please see Item 5(a), which is hereby incorporated by reference. The GA Funds and the members of the GA Management Committee may, from time to time, consult among themselves and coordinate the voting and disposition of ordinary shares held of record by GA UM as well as such other action taken on behalf of the Reporting Persons with respect to the ADSs or ordinary shares held by the Reporting Persons as they deem to be in the collective interest of the Reporting Persons.</w:t>
      </w:r>
    </w:p>
    <w:p>
      <w:pPr>
        <w:spacing w:after="0" w:line="14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Pursuant 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dated January 29, 2021, by and among the Company, GA UM and the other shareholders of the Company named therein, the Reporting Persons are entitled to certain customary demand registration and piggyback registration rights, in each case subject to the terms and conditions of the Registration Rights Agreement.</w:t>
      </w:r>
    </w:p>
    <w:p>
      <w:pPr>
        <w:spacing w:after="0" w:line="13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Registration Rights Agreement, which is incorporated herein by reference to Exhibit 10.1 to the Company’s Registration Statement on Form S-1 declared effective by SEC on May 25, 2021.</w:t>
      </w:r>
    </w:p>
    <w:p>
      <w:pPr>
        <w:spacing w:after="0" w:line="14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GA UM entered into a customary lock-up agreement with the underwriters in the IPO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 pursuant to which it agreed, subject to specified exceptions, not to directly or indirectly (1) offer, pledge, sell, contract to sell, sell any option or contract to purchase, purchase any option or contract to sell, grant any option, right or warrant to purchase, lend, or otherwise transfer or dispose of, directly or indirectly, ADSs or ordinary shares or any other securities convertible into ADSs or ordinary shares or (2) enter into any swap or other arrangement that transfers to another, in whole or in part, any of the economic consequences of ownership of the ADSs or ordinary shares, for a period commencing on April 21, 2021 and ending 180 days after May 27, 2021, the date of the final prospectus with respect to the IPO.</w:t>
      </w:r>
    </w:p>
    <w:p>
      <w:pPr>
        <w:spacing w:after="0" w:line="1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foregoing description of the Lock-Up Agreement does not purport to be complete and is qualified in its entirety by reference to the Lock-Up Agreement. A copy of the Lock-Up Agreement is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Reporting Persons entered into a Joint Filing Agreement on June 11, 2021 (the “</w:t>
      </w:r>
      <w:r>
        <w:rPr>
          <w:rFonts w:ascii="Arial" w:cs="Arial" w:eastAsia="Arial" w:hAnsi="Arial"/>
          <w:sz w:val="18"/>
          <w:szCs w:val="18"/>
          <w:u w:val="single" w:color="auto"/>
          <w:color w:val="auto"/>
        </w:rPr>
        <w:t>Joint Filing Agreement</w:t>
      </w:r>
      <w:r>
        <w:rPr>
          <w:rFonts w:ascii="Arial" w:cs="Arial" w:eastAsia="Arial" w:hAnsi="Arial"/>
          <w:sz w:val="18"/>
          <w:szCs w:val="18"/>
          <w:color w:val="auto"/>
        </w:rPr>
        <w:t xml:space="preserve">”), pursuant to which they have agreed to file this Statement jointly in accordance with the provisions of Rule 13d-1(k)(1) under the Exchange Act. A copy of the Joint Filing Agreement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16" w:name="page17"/>
    <w:bookmarkEnd w:id="16"/>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Except as described above or elsewhere in this Statement or incorporated by reference in this Statement, there are no contracts, arrangements, understandings or relationships (legal or otherwise) between the Reporting Persons or, to the best of their knowledge, any of the persons named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hereto and any other person with respect to any securities of the Company, including, but not limited to, transfer or voting of any securities, finder’s fees, joint ventures, loan or option arrangements, puts or calls, guarantees of profits, division of profits or losses, or the giving or withholding of proxies.</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18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Agreement relating to the filing of joint acquisition statements as required by Rule 13d-1(k)(1) under the Exchange Act.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Lock-Up Agreement between Centessa Pharmaceuticals plc and General Atlantic UM B.V., dated as of 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17" w:name="page18"/>
    <w:bookmarkEnd w:id="17"/>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COÖPERATIEF U.A.</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Rik van Velzen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Rik van Velzen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UM B.V.</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Rik van Velzen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Rik van Velzen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GENPAR (BERMUDA),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L.P.,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18" w:name="page19"/>
    <w:bookmarkEnd w:id="18"/>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GENPAR (BERMUDA),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L.P.,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(LUX) S.À R.L.</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c>
          <w:tcPr>
            <w:tcW w:w="1120" w:type="dxa"/>
            <w:vAlign w:val="bottom"/>
          </w:tcPr>
          <w:p>
            <w:pPr>
              <w:spacing w:after="0"/>
              <w:rPr>
                <w:sz w:val="20"/>
                <w:szCs w:val="20"/>
                <w:color w:val="auto"/>
              </w:rPr>
            </w:pPr>
          </w:p>
        </w:tc>
      </w:tr>
      <w:tr>
        <w:trPr>
          <w:trHeight w:val="574"/>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5" w:right="339" w:bottom="1440" w:gutter="0" w:footer="0" w:header="0"/>
          <w:type w:val="continuous"/>
        </w:sectPr>
      </w:pPr>
    </w:p>
    <w:bookmarkStart w:id="19" w:name="page20"/>
    <w:bookmarkEnd w:id="19"/>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-127635</wp:posOffset>
            </wp:positionV>
            <wp:extent cx="14401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14401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180"/>
          </w:cols>
          <w:pgMar w:left="360" w:top="985"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S.À R.L.</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(LUX) S.À R.L.</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LMITED,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502920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85" w:right="359" w:bottom="1440" w:gutter="0" w:footer="0" w:header="0"/>
          <w:type w:val="continuous"/>
        </w:sectPr>
      </w:pPr>
    </w:p>
    <w:bookmarkStart w:id="20" w:name="page21"/>
    <w:bookmarkEnd w:id="20"/>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t>CUSIP No. 152309100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-127635</wp:posOffset>
            </wp:positionV>
            <wp:extent cx="14401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180"/>
          </w:cols>
          <w:pgMar w:left="360" w:top="661"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(BERMUDA) LIMITED</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COÖPERATIEF,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GAP (BERMUDA) LIMITED, its general partner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485775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661" w:right="35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Members of the GA Management Committee (as of the date hereof)</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Business Address</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Citizenship</w:t>
            </w:r>
          </w:p>
        </w:tc>
      </w:tr>
      <w:tr>
        <w:trPr>
          <w:trHeight w:val="34"/>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9"/>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William E. Ford</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(Chief Executive Officer)</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shd w:val="clear" w:color="auto" w:fill="C6F4F9"/>
          </w:tcPr>
          <w:p>
            <w:pPr>
              <w:spacing w:after="0"/>
              <w:rPr>
                <w:sz w:val="18"/>
                <w:szCs w:val="18"/>
                <w:color w:val="auto"/>
              </w:rPr>
            </w:pPr>
          </w:p>
        </w:tc>
      </w:tr>
      <w:tr>
        <w:trPr>
          <w:trHeight w:val="269"/>
        </w:trPr>
        <w:tc>
          <w:tcPr>
            <w:tcW w:w="3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38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Gabriel Caillaux</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 Savile Row</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W1S 2ET</w:t>
            </w:r>
          </w:p>
        </w:tc>
        <w:tc>
          <w:tcPr>
            <w:tcW w:w="288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80" w:type="dxa"/>
            <w:vAlign w:val="bottom"/>
            <w:tcBorders>
              <w:right w:val="single" w:sz="8" w:color="auto"/>
            </w:tcBorders>
          </w:tcPr>
          <w:p>
            <w:pPr>
              <w:spacing w:after="0"/>
              <w:rPr>
                <w:sz w:val="20"/>
                <w:szCs w:val="20"/>
                <w:color w:val="auto"/>
              </w:rPr>
            </w:pPr>
          </w:p>
        </w:tc>
      </w:tr>
      <w:tr>
        <w:trPr>
          <w:trHeight w:val="34"/>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9"/>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Andrew Crawford</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shd w:val="clear" w:color="auto" w:fill="C6F4F9"/>
          </w:tcPr>
          <w:p>
            <w:pPr>
              <w:spacing w:after="0"/>
              <w:rPr>
                <w:sz w:val="18"/>
                <w:szCs w:val="18"/>
                <w:color w:val="auto"/>
              </w:rPr>
            </w:pP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shd w:val="clear" w:color="auto" w:fill="C6F4F9"/>
          </w:tcPr>
          <w:p>
            <w:pPr>
              <w:spacing w:after="0"/>
              <w:rPr>
                <w:sz w:val="18"/>
                <w:szCs w:val="18"/>
                <w:color w:val="auto"/>
              </w:rPr>
            </w:pPr>
          </w:p>
        </w:tc>
      </w:tr>
      <w:tr>
        <w:trPr>
          <w:trHeight w:val="269"/>
        </w:trPr>
        <w:tc>
          <w:tcPr>
            <w:tcW w:w="3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38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Martin Escobari</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and Brazil</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right w:val="single" w:sz="8" w:color="auto"/>
            </w:tcBorders>
          </w:tcPr>
          <w:p>
            <w:pPr>
              <w:spacing w:after="0"/>
              <w:rPr>
                <w:sz w:val="20"/>
                <w:szCs w:val="20"/>
                <w:color w:val="auto"/>
              </w:rPr>
            </w:pPr>
          </w:p>
        </w:tc>
      </w:tr>
      <w:tr>
        <w:trPr>
          <w:trHeight w:val="34"/>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9"/>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Anton J. Levy</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shd w:val="clear" w:color="auto" w:fill="C6F4F9"/>
          </w:tcPr>
          <w:p>
            <w:pPr>
              <w:spacing w:after="0"/>
              <w:rPr>
                <w:sz w:val="18"/>
                <w:szCs w:val="18"/>
                <w:color w:val="auto"/>
              </w:rPr>
            </w:pP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shd w:val="clear" w:color="auto" w:fill="C6F4F9"/>
          </w:tcPr>
          <w:p>
            <w:pPr>
              <w:spacing w:after="0"/>
              <w:rPr>
                <w:sz w:val="18"/>
                <w:szCs w:val="18"/>
                <w:color w:val="auto"/>
              </w:rPr>
            </w:pPr>
          </w:p>
        </w:tc>
      </w:tr>
      <w:tr>
        <w:trPr>
          <w:trHeight w:val="269"/>
        </w:trPr>
        <w:tc>
          <w:tcPr>
            <w:tcW w:w="3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38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Sandeep Naik</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Square Tower 1</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Marina View, #41-04</w:t>
            </w:r>
          </w:p>
        </w:tc>
        <w:tc>
          <w:tcPr>
            <w:tcW w:w="288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 018960</w:t>
            </w:r>
          </w:p>
        </w:tc>
        <w:tc>
          <w:tcPr>
            <w:tcW w:w="2880" w:type="dxa"/>
            <w:vAlign w:val="bottom"/>
            <w:tcBorders>
              <w:right w:val="single" w:sz="8" w:color="auto"/>
            </w:tcBorders>
          </w:tcPr>
          <w:p>
            <w:pPr>
              <w:spacing w:after="0"/>
              <w:rPr>
                <w:sz w:val="20"/>
                <w:szCs w:val="20"/>
                <w:color w:val="auto"/>
              </w:rPr>
            </w:pPr>
          </w:p>
        </w:tc>
      </w:tr>
      <w:tr>
        <w:trPr>
          <w:trHeight w:val="34"/>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9"/>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Graves Tompkins</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shd w:val="clear" w:color="auto" w:fill="C6F4F9"/>
          </w:tcPr>
          <w:p>
            <w:pPr>
              <w:spacing w:after="0"/>
              <w:rPr>
                <w:sz w:val="18"/>
                <w:szCs w:val="18"/>
                <w:color w:val="auto"/>
              </w:rPr>
            </w:pP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shd w:val="clear" w:color="auto" w:fill="C6F4F9"/>
          </w:tcPr>
          <w:p>
            <w:pPr>
              <w:spacing w:after="0"/>
              <w:rPr>
                <w:sz w:val="18"/>
                <w:szCs w:val="18"/>
                <w:color w:val="auto"/>
              </w:rPr>
            </w:pPr>
          </w:p>
        </w:tc>
      </w:tr>
      <w:tr>
        <w:trPr>
          <w:trHeight w:val="269"/>
        </w:trPr>
        <w:tc>
          <w:tcPr>
            <w:tcW w:w="3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38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 Robbert Vorhoff</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55 East 52nd Street</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States</w:t>
            </w:r>
          </w:p>
        </w:tc>
      </w:tr>
      <w:tr>
        <w:trPr>
          <w:trHeight w:val="216"/>
        </w:trPr>
        <w:tc>
          <w:tcPr>
            <w:tcW w:w="3980" w:type="dxa"/>
            <w:vAlign w:val="bottom"/>
            <w:tcBorders>
              <w:left w:val="single" w:sz="8" w:color="auto"/>
              <w:right w:val="single" w:sz="8" w:color="auto"/>
            </w:tcBorders>
          </w:tcPr>
          <w:p>
            <w:pPr>
              <w:spacing w:after="0"/>
              <w:rPr>
                <w:sz w:val="18"/>
                <w:szCs w:val="18"/>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33rd Floor</w:t>
            </w:r>
          </w:p>
        </w:tc>
        <w:tc>
          <w:tcPr>
            <w:tcW w:w="288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2880" w:type="dxa"/>
            <w:vAlign w:val="bottom"/>
            <w:tcBorders>
              <w:right w:val="single" w:sz="8" w:color="auto"/>
            </w:tcBorders>
          </w:tcPr>
          <w:p>
            <w:pPr>
              <w:spacing w:after="0"/>
              <w:rPr>
                <w:sz w:val="20"/>
                <w:szCs w:val="20"/>
                <w:color w:val="auto"/>
              </w:rPr>
            </w:pPr>
          </w:p>
        </w:tc>
      </w:tr>
      <w:tr>
        <w:trPr>
          <w:trHeight w:val="34"/>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9"/>
        </w:trPr>
        <w:tc>
          <w:tcPr>
            <w:tcW w:w="398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Eric Zhang</w:t>
            </w: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Suite 5704-5706, 57F</w:t>
            </w:r>
          </w:p>
        </w:tc>
        <w:tc>
          <w:tcPr>
            <w:tcW w:w="2880" w:type="dxa"/>
            <w:vAlign w:val="bottom"/>
            <w:tcBorders>
              <w:righ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Hong Kong SAR</w:t>
            </w:r>
          </w:p>
        </w:tc>
      </w:tr>
      <w:tr>
        <w:trPr>
          <w:trHeight w:val="216"/>
        </w:trPr>
        <w:tc>
          <w:tcPr>
            <w:tcW w:w="3980" w:type="dxa"/>
            <w:vAlign w:val="bottom"/>
            <w:tcBorders>
              <w:left w:val="single" w:sz="8" w:color="auto"/>
              <w:right w:val="single" w:sz="8" w:color="auto"/>
            </w:tcBorders>
            <w:shd w:val="clear" w:color="auto" w:fill="C6F4F9"/>
          </w:tcPr>
          <w:p>
            <w:pPr>
              <w:spacing w:after="0"/>
              <w:rPr>
                <w:sz w:val="18"/>
                <w:szCs w:val="18"/>
                <w:color w:val="auto"/>
              </w:rPr>
            </w:pPr>
          </w:p>
        </w:tc>
        <w:tc>
          <w:tcPr>
            <w:tcW w:w="438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Two IFC, 8 Finance Street</w:t>
            </w:r>
          </w:p>
        </w:tc>
        <w:tc>
          <w:tcPr>
            <w:tcW w:w="2880" w:type="dxa"/>
            <w:vAlign w:val="bottom"/>
            <w:tcBorders>
              <w:right w:val="single" w:sz="8" w:color="auto"/>
            </w:tcBorders>
            <w:shd w:val="clear" w:color="auto" w:fill="C6F4F9"/>
          </w:tcPr>
          <w:p>
            <w:pPr>
              <w:spacing w:after="0"/>
              <w:rPr>
                <w:sz w:val="18"/>
                <w:szCs w:val="18"/>
                <w:color w:val="auto"/>
              </w:rPr>
            </w:pPr>
          </w:p>
        </w:tc>
      </w:tr>
      <w:tr>
        <w:trPr>
          <w:trHeight w:val="269"/>
        </w:trPr>
        <w:tc>
          <w:tcPr>
            <w:tcW w:w="398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438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Central, Hong Kong, China</w:t>
            </w:r>
          </w:p>
        </w:tc>
        <w:tc>
          <w:tcPr>
            <w:tcW w:w="288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763"/>
        </w:trPr>
        <w:tc>
          <w:tcPr>
            <w:tcW w:w="3980" w:type="dxa"/>
            <w:vAlign w:val="bottom"/>
            <w:tcBorders>
              <w:top w:val="single" w:sz="8" w:color="auto"/>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spacing w:after="0"/>
              <w:rPr>
                <w:sz w:val="24"/>
                <w:szCs w:val="24"/>
                <w:color w:val="auto"/>
              </w:rPr>
            </w:pPr>
          </w:p>
        </w:tc>
        <w:tc>
          <w:tcPr>
            <w:tcW w:w="28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850"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JOINT ACQUISITION STATEMENT</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ind w:right="80" w:firstLine="972"/>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11,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COÖPERATIEF U.A.</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Rik van Velzen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Rik van Velzen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UM B.V.</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Rik van Velzen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Rik van Velzen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GENPAR (BERMUDA),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L.P.,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564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GENPAR (BERMUDA),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L.P.,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(LUX) S.À R.L.</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S.À R.L.</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(LUX) S.À R.L.</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LMITED,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GAP (BERMUDA) LIMITED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COÖPERATIEF,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GAP (BERMUDA) LIMITED,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8"/>
          <w:szCs w:val="18"/>
          <w:color w:val="auto"/>
        </w:rPr>
        <w:t>April 21,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 10036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New York 10022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 Evercore Group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 East 52nd Street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New York 10055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understands that Morgan Stanley &amp; Co. LLC, Goldman Sachs &amp; Co. LLC, Jefferies LLC and Evercore Group L.L.C.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Centessa Pharmaceuticals Limited, a private limited company incorporated under the laws of England &amp; Wales (to be registered as a public limited company prior to the Public Offering as defined herein)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of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representing ordinary shares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and, together with the ADSs,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relating to the Public Offering (the “</w:t>
      </w:r>
      <w:r>
        <w:rPr>
          <w:rFonts w:ascii="Arial" w:cs="Arial" w:eastAsia="Arial" w:hAnsi="Arial"/>
          <w:sz w:val="18"/>
          <w:szCs w:val="18"/>
          <w:b w:val="1"/>
          <w:bCs w:val="1"/>
          <w:color w:val="auto"/>
        </w:rPr>
        <w:t>Prospectus</w:t>
      </w:r>
      <w:r>
        <w:rPr>
          <w:rFonts w:ascii="Arial" w:cs="Arial" w:eastAsia="Arial" w:hAnsi="Arial"/>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Securities 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92" w:lineRule="auto"/>
        <w:rPr>
          <w:sz w:val="20"/>
          <w:szCs w:val="20"/>
          <w:color w:val="auto"/>
        </w:rPr>
      </w:pPr>
      <w:r>
        <w:rPr>
          <w:rFonts w:ascii="Arial" w:cs="Arial" w:eastAsia="Arial" w:hAnsi="Arial"/>
          <w:sz w:val="16"/>
          <w:szCs w:val="16"/>
          <w:color w:val="auto"/>
        </w:rPr>
        <w:t>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Securities or (2) enter into any swap or other arrangement that transfers to another, in whole or in part, any of the economic consequences of ownership of the Securities, whether any such transaction described in clause (1) or (2) above is to be settled by delivery of Securities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Securities, or securities convertible into or exercisable or exchangeable for Securities, even if any such sale or disposition transaction or transactions would be made or executed by or on behalf of someone other than the undersigned. The foregoing restrictions shall not apply to:</w:t>
      </w:r>
    </w:p>
    <w:p>
      <w:pPr>
        <w:spacing w:after="0" w:line="179" w:lineRule="exact"/>
        <w:rPr>
          <w:sz w:val="20"/>
          <w:szCs w:val="20"/>
          <w:color w:val="auto"/>
        </w:rPr>
      </w:pPr>
    </w:p>
    <w:p>
      <w:pPr>
        <w:jc w:val="both"/>
        <w:ind w:firstLine="656"/>
        <w:spacing w:after="0" w:line="259" w:lineRule="auto"/>
        <w:tabs>
          <w:tab w:leader="none" w:pos="1086"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transactions relating to Securities acquired in (i) the Public Offering (other than, if the undersigned is an officer or director of the Company, any issuer-directed Securities purchased in the Public Offering by such officer or director of the Company), (ii) private placement transactions exempt from registration consummated substantially concurrently with or following the Public Offering or (iii) open market transactions after the completion of the Public Offering;</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 as a bona fide gift;</w:t>
      </w:r>
    </w:p>
    <w:p>
      <w:pPr>
        <w:spacing w:after="0" w:line="238" w:lineRule="exact"/>
        <w:rPr>
          <w:rFonts w:ascii="Arial" w:cs="Arial" w:eastAsia="Arial" w:hAnsi="Arial"/>
          <w:sz w:val="18"/>
          <w:szCs w:val="18"/>
          <w:color w:val="auto"/>
        </w:rPr>
      </w:pPr>
    </w:p>
    <w:p>
      <w:pPr>
        <w:jc w:val="both"/>
        <w:ind w:firstLine="656"/>
        <w:spacing w:after="0" w:line="257" w:lineRule="auto"/>
        <w:tabs>
          <w:tab w:leader="none" w:pos="1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distributions of Securities or any security convertible into or exercisable or exchangeable for Securities to limited partners, shareholders, members, general partners, managers, directors, officers or employees or trust beneficiaries of the undersigned or of the undersigned’s affiliates (as defined in Rule 405 promulgated under the Securities Act of 1933, as amended) or to any investment fund or other entity that is directly or indirectly controlling, controlled by, managing or managed by or under common control with the undersigned or the undersigned’s affiliates in a transaction not involving a disposition for value;</w:t>
      </w:r>
    </w:p>
    <w:p>
      <w:pPr>
        <w:spacing w:after="0" w:line="187" w:lineRule="exact"/>
        <w:rPr>
          <w:rFonts w:ascii="Arial" w:cs="Arial" w:eastAsia="Arial" w:hAnsi="Arial"/>
          <w:sz w:val="18"/>
          <w:szCs w:val="18"/>
          <w:color w:val="auto"/>
        </w:rPr>
      </w:pPr>
    </w:p>
    <w:p>
      <w:pPr>
        <w:ind w:right="20" w:firstLine="656"/>
        <w:spacing w:after="0" w:line="277" w:lineRule="auto"/>
        <w:tabs>
          <w:tab w:leader="none" w:pos="113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Securities during the Restricted Period;</w:t>
      </w:r>
    </w:p>
    <w:p>
      <w:pPr>
        <w:spacing w:after="0" w:line="183" w:lineRule="exact"/>
        <w:rPr>
          <w:rFonts w:ascii="Arial" w:cs="Arial" w:eastAsia="Arial" w:hAnsi="Arial"/>
          <w:sz w:val="18"/>
          <w:szCs w:val="18"/>
          <w:color w:val="auto"/>
        </w:rPr>
      </w:pPr>
    </w:p>
    <w:p>
      <w:pPr>
        <w:ind w:firstLine="656"/>
        <w:spacing w:after="0" w:line="308" w:lineRule="auto"/>
        <w:tabs>
          <w:tab w:leader="none" w:pos="1077"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transfers or dispositions of Securities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59" w:lineRule="exact"/>
        <w:rPr>
          <w:rFonts w:ascii="Arial" w:cs="Arial" w:eastAsia="Arial" w:hAnsi="Arial"/>
          <w:sz w:val="17"/>
          <w:szCs w:val="17"/>
          <w:color w:val="auto"/>
        </w:rPr>
      </w:pPr>
    </w:p>
    <w:p>
      <w:pPr>
        <w:jc w:val="both"/>
        <w:ind w:firstLine="656"/>
        <w:spacing w:after="0" w:line="255" w:lineRule="auto"/>
        <w:tabs>
          <w:tab w:leader="none" w:pos="11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or dispositions of Securities or any security convertible into or exercisable or exchangeable for Securities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Securities or any securities convertible into or exercisable or exchangeable for Securities to a fund managed by the same manager or managing member or general partner or management company or by an entity controlling, controlled by, or under common control with such manager or managing member or general partner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company as the undersigned or who shares a common investment advisor with the undersigned, in a transaction not involving a disposition for value;</w:t>
      </w:r>
    </w:p>
    <w:p>
      <w:pPr>
        <w:spacing w:after="0" w:line="250" w:lineRule="exact"/>
        <w:rPr>
          <w:sz w:val="20"/>
          <w:szCs w:val="20"/>
          <w:color w:val="auto"/>
        </w:rPr>
      </w:pPr>
    </w:p>
    <w:p>
      <w:pPr>
        <w:jc w:val="both"/>
        <w:ind w:firstLine="656"/>
        <w:spacing w:after="0" w:line="263" w:lineRule="auto"/>
        <w:tabs>
          <w:tab w:leader="none" w:pos="1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transfers or dispositions of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183" w:lineRule="exact"/>
        <w:rPr>
          <w:rFonts w:ascii="Arial" w:cs="Arial" w:eastAsia="Arial" w:hAnsi="Arial"/>
          <w:sz w:val="18"/>
          <w:szCs w:val="18"/>
          <w:color w:val="auto"/>
        </w:rPr>
      </w:pPr>
    </w:p>
    <w:p>
      <w:pPr>
        <w:jc w:val="both"/>
        <w:ind w:firstLine="656"/>
        <w:spacing w:after="0" w:line="296" w:lineRule="auto"/>
        <w:tabs>
          <w:tab w:leader="none" w:pos="114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transfers or dispositions of Securities or any other security convertible into or exercisable or exchangeable for Securities to the Company pursuant to any contractual arrangement in effect prior to the date hereof and disclosed to each of the Representatives that provides for the repurchase of the undersigned’s Securities by the Company or in connection with the termination of the undersigned’s employment with or service to the Company,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repurchase price for any such Securities shall not exceed the original purchase price (subject to appropriate adjustment in the event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 dividend, share split, combination or other similar recapitalization) paid by the undersigned to the Company for such securities;</w:t>
      </w:r>
    </w:p>
    <w:p>
      <w:pPr>
        <w:spacing w:after="0" w:line="174" w:lineRule="exact"/>
        <w:rPr>
          <w:rFonts w:ascii="Arial" w:cs="Arial" w:eastAsia="Arial" w:hAnsi="Arial"/>
          <w:sz w:val="16"/>
          <w:szCs w:val="16"/>
          <w:color w:val="auto"/>
        </w:rPr>
      </w:pPr>
    </w:p>
    <w:p>
      <w:pPr>
        <w:jc w:val="both"/>
        <w:ind w:firstLine="656"/>
        <w:spacing w:after="0" w:line="271" w:lineRule="auto"/>
        <w:tabs>
          <w:tab w:leader="none" w:pos="109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conversion of any convertible preferred shares described in the Prospectus and outstanding as of the date of the Prospectus into, or the exercise of any option or warrant described in the Prospectus and outstanding as of the date of the Prospectus for,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Securities received by the undersigned shall be subject to the terms of this letter;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public filing or public announcement under Section 16(a) of the Exchange Act shall be voluntarily made and any public filing or public announcement under Section 16(a) of the Exchange Act required during the Restricted Period in connection with the conversion of such preferred share or the exercise of such share option or warrant shall clearly indicate in the footnotes thereto or comments section thereof that the filing relates to the conversion of preferred share or the exercise of a share option or warrant, as the case may be, that no Securities were sold by the reporting person and that the Securities received upon exercise of the share option or warrant are subject to a lock-up agreement with the Underwriters of the Public Offering;</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073"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transfers or dispositions of Securities or such other securities pursuant to a bona fide tender offer for shares of the Company’s share capital,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Securities or other securities in connection with such transaction) that has been approved by the board of directors of the Company, provided that, in the event that such Change of Control transaction is not consummated, this clause (j) shall not be applicable and the undersigned’s shares and other securities shall remain subject to the restrictions contained in this letter; or</w:t>
      </w:r>
    </w:p>
    <w:p>
      <w:pPr>
        <w:spacing w:after="0" w:line="191" w:lineRule="exact"/>
        <w:rPr>
          <w:rFonts w:ascii="Arial" w:cs="Arial" w:eastAsia="Arial" w:hAnsi="Arial"/>
          <w:sz w:val="17"/>
          <w:szCs w:val="17"/>
          <w:color w:val="auto"/>
        </w:rPr>
      </w:pPr>
    </w:p>
    <w:p>
      <w:pPr>
        <w:jc w:val="both"/>
        <w:ind w:firstLine="656"/>
        <w:spacing w:after="0" w:line="259" w:lineRule="auto"/>
        <w:tabs>
          <w:tab w:leader="none" w:pos="113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the registration of the offer and sale of the ADSs and the sale of such ADSs to the Underwriters, in each case as contemplated by the Underwriting Agreement or (B) the deposit of Ordinary Shares with the depositary, in exchange for the issuance of ADSs, or the cancellation of ADSs in exchange for the issuance of Ordinary Shares, provided that such ADSs or Ordinary Shares issued pursuant to clauses (A) and (B) held by the undersigned shall remain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clauses (b), (c), (e), (f) or (g), each transferee or distributee shall sign and deliver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of the Representatives a lock-up letter substantially in the form of this letter;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any transfer or distribution pursuant to clauses (a), (b), (c), (d), (e), (f), (g) or (h), no public announcement or public filing under Section 16(a) of the Exchange Act relating to such transfer or distribution shall be required or shall be voluntarily made during the Restricted Period.</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For purposes of this letter, “</w:t>
      </w:r>
      <w:r>
        <w:rPr>
          <w:rFonts w:ascii="Arial" w:cs="Arial" w:eastAsia="Arial" w:hAnsi="Arial"/>
          <w:sz w:val="16"/>
          <w:szCs w:val="16"/>
          <w:b w:val="1"/>
          <w:bCs w:val="1"/>
          <w:color w:val="auto"/>
        </w:rPr>
        <w:t>immediate family</w:t>
      </w:r>
      <w:r>
        <w:rPr>
          <w:rFonts w:ascii="Arial" w:cs="Arial" w:eastAsia="Arial" w:hAnsi="Arial"/>
          <w:sz w:val="16"/>
          <w:szCs w:val="16"/>
          <w:color w:val="auto"/>
        </w:rPr>
        <w:t>” shall mean any relationship by blood, marriage, domestic partnership or adoption, not more remote than first cousin, and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75% of the outstanding voting securities of the Company (or the surviving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Public Offering shall not constitute a Change of Control.</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the undersigned agrees that, without the prior written consent of each of the Representatives on behalf of the Underwriters, it will not, during the Restricted Period, make any demand for or exercise any right with respect to, the registration of any Securities or any security convertible into or exercisable or exchangeable for Securities. The undersigned also agrees and consents to the entry of stop transfer instructions with the Company’s transfer agent and registrar against the transfer of the undersigned’s Securities during the Restricted Period except in compliance with the foregoing restrictions.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Securities the undersigned may purchase in the Public Offering.</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undersigned is an officer or director of the Company, (i) each of the Representatives agree that, at least three business days before the effective date of any release or waiver of the foregoing restrictions in connection with a transfer of Securities, each of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each of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agreement to the extent and for the duration that such terms remain in effect at the time of the transfer.</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 release is granted to any officer or director of the Company or any Major Holder (as defined below) other than the undersigned relating to the lock-up restrictions set forth above for shares of the Company’s Securities (a “</w:t>
      </w:r>
      <w:r>
        <w:rPr>
          <w:rFonts w:ascii="Arial" w:cs="Arial" w:eastAsia="Arial" w:hAnsi="Arial"/>
          <w:sz w:val="18"/>
          <w:szCs w:val="18"/>
          <w:b w:val="1"/>
          <w:bCs w:val="1"/>
          <w:color w:val="auto"/>
        </w:rPr>
        <w:t>Discretionary Release</w:t>
      </w:r>
      <w:r>
        <w:rPr>
          <w:rFonts w:ascii="Arial" w:cs="Arial" w:eastAsia="Arial" w:hAnsi="Arial"/>
          <w:sz w:val="18"/>
          <w:szCs w:val="18"/>
          <w:color w:val="auto"/>
        </w:rPr>
        <w:t>”), the same pro rata percentage of shares of the Company’s Securities held by the undersigned (the “</w:t>
      </w:r>
      <w:r>
        <w:rPr>
          <w:rFonts w:ascii="Arial" w:cs="Arial" w:eastAsia="Arial" w:hAnsi="Arial"/>
          <w:sz w:val="18"/>
          <w:szCs w:val="18"/>
          <w:b w:val="1"/>
          <w:bCs w:val="1"/>
          <w:color w:val="auto"/>
        </w:rPr>
        <w:t>Pro-rata Release</w:t>
      </w:r>
      <w:r>
        <w:rPr>
          <w:rFonts w:ascii="Arial" w:cs="Arial" w:eastAsia="Arial" w:hAnsi="Arial"/>
          <w:sz w:val="18"/>
          <w:szCs w:val="18"/>
          <w:color w:val="auto"/>
        </w:rPr>
        <w:t>”) shall be immediately released from the lock-up restrictions set forth herein, on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spacing w:after="0" w:line="285" w:lineRule="auto"/>
        <w:rPr>
          <w:sz w:val="20"/>
          <w:szCs w:val="20"/>
          <w:color w:val="auto"/>
        </w:rPr>
      </w:pPr>
      <w:r>
        <w:rPr>
          <w:rFonts w:ascii="Arial" w:cs="Arial" w:eastAsia="Arial" w:hAnsi="Arial"/>
          <w:sz w:val="16"/>
          <w:szCs w:val="16"/>
          <w:color w:val="auto"/>
        </w:rPr>
        <w:t xml:space="preserve">terms and conditions and subject to the same restrictions applicable to such Discretionary Release;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Pro-rata Release shall not be required in connection with any Discretionary Release (a) to the extent all such Discretionary Releases granted to all parties by each of the Representatives constitute in the aggregate an amount less than or equal to 1% of the Company’s total outstanding shares (determined as of the closing date of the Public Offering for, and giving effect to, the Public Offering) and no releases are granted to any officer or director of the Company; (b) granted in connection with any underwritten primary or secondary public offering (an “</w:t>
      </w:r>
      <w:r>
        <w:rPr>
          <w:rFonts w:ascii="Arial" w:cs="Arial" w:eastAsia="Arial" w:hAnsi="Arial"/>
          <w:sz w:val="16"/>
          <w:szCs w:val="16"/>
          <w:b w:val="1"/>
          <w:bCs w:val="1"/>
          <w:color w:val="auto"/>
        </w:rPr>
        <w:t>Underwritten Sale</w:t>
      </w:r>
      <w:r>
        <w:rPr>
          <w:rFonts w:ascii="Arial" w:cs="Arial" w:eastAsia="Arial" w:hAnsi="Arial"/>
          <w:sz w:val="16"/>
          <w:szCs w:val="16"/>
          <w:color w:val="auto"/>
        </w:rPr>
        <w:t xml:space="preserve">”) of the Company’s Securities during the Restricted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undersigned, to the extent the undersigned has a contractual right to demand or require the registration of the undersigned’s Securities or otherwise “piggyback” on a registration statement filed by the Company for the offer and sale of its Securities, is offered the opportunity to participate on a pro rata basis consistent with such contractual rights with and otherwise on the same terms as any other equity holders in such Underwritten Sale; (c) if the release or waiver is effected solely to permit a transfer not involving a disposition for value; or (d) granted upon a determination by each of the Representatives in their sole judgment that a natural person who is a record or beneficial owner of any Securities or other securities should be granted an early Discretionary Release due to circumstances of an emergency or hardship. In the event that the undersigned is released from any of its obligations under this letter during the Restricted Period, each of the Representatives shall use their commercially reasonable efforts to provide notification of such to the undersigned within three business days thereof, which notification shall state the percentage of shares held by such person or entity to be released;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provide such notice to the Company or the undersigned shall not give rise to any claim or liability against the Representatives or the Underwriters. For purposes of this letter, “</w:t>
      </w:r>
      <w:r>
        <w:rPr>
          <w:rFonts w:ascii="Arial" w:cs="Arial" w:eastAsia="Arial" w:hAnsi="Arial"/>
          <w:sz w:val="16"/>
          <w:szCs w:val="16"/>
          <w:b w:val="1"/>
          <w:bCs w:val="1"/>
          <w:color w:val="auto"/>
        </w:rPr>
        <w:t>Major Holder</w:t>
      </w:r>
      <w:r>
        <w:rPr>
          <w:rFonts w:ascii="Arial" w:cs="Arial" w:eastAsia="Arial" w:hAnsi="Arial"/>
          <w:sz w:val="16"/>
          <w:szCs w:val="16"/>
          <w:color w:val="auto"/>
        </w:rPr>
        <w:t xml:space="preserve">” means any shareholder who beneficially owns (as such term is used in Rule 13d-3 of the Exchange Act), as of immediately prior to the consummation of the Public Offering, more than 5% of the outstanding Securities, calculated on an as-converted, fully-diluted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beneficial ownership of a shareholder, all shares of Securities beneficially owned by investment funds affiliated with such shareholder shall be aggregated.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agreement, beneficially owns, directly or indirectly, 50% or more of the common equity interests, or 50% or more of the voting power, in the undersigned.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consents to receipt of this agreement in electronic form and understand and agree that this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understands that, if (i) each of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execution of the Underwriting Agreement or (iv) the Underwriting Agreement is not executed on or before September 30, 2021 (which date may be extended for an additional three months by the Company upon written notice to the undersigned), then, in each case, this letter shall automatically, and without any action on the part of any other party, be of no further force and effect, and the undersigned shall be automatically released from all obligations under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IF AN INDIVIDUAL:</w:t>
      </w: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63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jc w:val="right"/>
        <w:ind w:right="2480"/>
        <w:spacing w:after="0"/>
        <w:rPr>
          <w:sz w:val="20"/>
          <w:szCs w:val="20"/>
          <w:color w:val="auto"/>
        </w:rPr>
      </w:pPr>
      <w:r>
        <w:rPr>
          <w:rFonts w:ascii="Arial" w:cs="Arial" w:eastAsia="Arial" w:hAnsi="Arial"/>
          <w:sz w:val="18"/>
          <w:szCs w:val="18"/>
          <w:i w:val="1"/>
          <w:iCs w:val="1"/>
          <w:color w:val="auto"/>
        </w:rPr>
        <w:t>(please print 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-130175</wp:posOffset>
            </wp:positionV>
            <wp:extent cx="2288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2863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8632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885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IF AN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Atlantic UM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(please print complete name of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0"/>
                <w:szCs w:val="20"/>
                <w:color w:val="auto"/>
              </w:rPr>
            </w:pPr>
            <w:r>
              <w:rPr>
                <w:rFonts w:ascii="Arial" w:cs="Arial" w:eastAsia="Arial" w:hAnsi="Arial"/>
                <w:sz w:val="18"/>
                <w:szCs w:val="18"/>
                <w:color w:val="auto"/>
              </w:rPr>
              <w:t>/s/ I.M. van der</w:t>
            </w:r>
          </w:p>
        </w:tc>
        <w:tc>
          <w:tcPr>
            <w:tcW w:w="1920" w:type="dxa"/>
            <w:vAlign w:val="bottom"/>
          </w:tcPr>
          <w:p>
            <w:pPr>
              <w:ind w:left="120"/>
              <w:spacing w:after="0"/>
              <w:rPr>
                <w:sz w:val="20"/>
                <w:szCs w:val="20"/>
                <w:color w:val="auto"/>
              </w:rPr>
            </w:pPr>
            <w:r>
              <w:rPr>
                <w:rFonts w:ascii="Arial" w:cs="Arial" w:eastAsia="Arial" w:hAnsi="Arial"/>
                <w:sz w:val="18"/>
                <w:szCs w:val="18"/>
                <w:color w:val="auto"/>
              </w:rPr>
              <w:t>/s/ W.H. Kamphuijs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Hoorn</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(duly authorized signature)</w:t>
            </w:r>
          </w:p>
        </w:tc>
        <w:tc>
          <w:tcPr>
            <w:tcW w:w="0" w:type="dxa"/>
            <w:vAlign w:val="bottom"/>
          </w:tcPr>
          <w:p>
            <w:pPr>
              <w:spacing w:after="0"/>
              <w:rPr>
                <w:sz w:val="1"/>
                <w:szCs w:val="1"/>
                <w:color w:val="auto"/>
              </w:rPr>
            </w:pPr>
          </w:p>
        </w:tc>
      </w:tr>
      <w:tr>
        <w:trPr>
          <w:trHeight w:val="40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1680" w:type="dxa"/>
            <w:vAlign w:val="bottom"/>
          </w:tcPr>
          <w:p>
            <w:pPr>
              <w:spacing w:after="0"/>
              <w:rPr>
                <w:sz w:val="20"/>
                <w:szCs w:val="20"/>
                <w:color w:val="auto"/>
              </w:rPr>
            </w:pPr>
            <w:r>
              <w:rPr>
                <w:rFonts w:ascii="Arial" w:cs="Arial" w:eastAsia="Arial" w:hAnsi="Arial"/>
                <w:sz w:val="18"/>
                <w:szCs w:val="18"/>
                <w:color w:val="auto"/>
              </w:rPr>
              <w:t>I.M. van der</w:t>
            </w:r>
          </w:p>
        </w:tc>
        <w:tc>
          <w:tcPr>
            <w:tcW w:w="1920" w:type="dxa"/>
            <w:vAlign w:val="bottom"/>
          </w:tcPr>
          <w:p>
            <w:pPr>
              <w:ind w:left="120"/>
              <w:spacing w:after="0"/>
              <w:rPr>
                <w:sz w:val="20"/>
                <w:szCs w:val="20"/>
                <w:color w:val="auto"/>
              </w:rPr>
            </w:pPr>
            <w:r>
              <w:rPr>
                <w:rFonts w:ascii="Arial" w:cs="Arial" w:eastAsia="Arial" w:hAnsi="Arial"/>
                <w:sz w:val="18"/>
                <w:szCs w:val="18"/>
                <w:color w:val="auto"/>
              </w:rPr>
              <w:t>W.H.</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Hoorn</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Kamphuijs</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(please print full name)</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A</w:t>
            </w: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 B</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i w:val="1"/>
                <w:iCs w:val="1"/>
                <w:color w:val="auto"/>
                <w:w w:val="95"/>
              </w:rPr>
              <w:t>(please print full title)</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Raamplein 1</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1016 XK Amsterdam</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 Netherlands</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880" w:type="dxa"/>
            <w:vAlign w:val="bottom"/>
          </w:tcPr>
          <w:p>
            <w:pPr>
              <w:spacing w:after="0"/>
              <w:rPr>
                <w:sz w:val="20"/>
                <w:szCs w:val="20"/>
                <w:color w:val="auto"/>
              </w:rPr>
            </w:pPr>
            <w:r>
              <w:rPr>
                <w:rFonts w:ascii="Arial" w:cs="Arial" w:eastAsia="Arial" w:hAnsi="Arial"/>
                <w:sz w:val="18"/>
                <w:szCs w:val="18"/>
                <w:color w:val="auto"/>
              </w:rPr>
              <w:t>Email:</w:t>
            </w: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ivanderhoorn@generalatlantic.com</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gcruess@generalatlantic.com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471170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6040" w:space="720"/>
        <w:col w:w="448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2021-06-11T16:05:29Z</dcterms:created>
  <dcterms:modified xsi:type="dcterms:W3CDTF">2021-06-11T16:05:29Z</dcterms:modified>
</cp:coreProperties>
</file>